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0FE254" w14:textId="77777777" w:rsidR="00B611D1" w:rsidRDefault="00FB7689">
      <w:pPr>
        <w:bidi/>
        <w:spacing w:line="0" w:lineRule="atLeast"/>
        <w:ind w:right="-13"/>
        <w:jc w:val="center"/>
        <w:rPr>
          <w:sz w:val="23"/>
        </w:rPr>
      </w:pPr>
      <w:bookmarkStart w:id="0" w:name="_GoBack"/>
      <w:bookmarkEnd w:id="0"/>
      <w:r>
        <w:rPr>
          <w:sz w:val="23"/>
        </w:rPr>
        <w:tab/>
      </w:r>
    </w:p>
    <w:tbl>
      <w:tblPr>
        <w:tblStyle w:val="Grilledutableau"/>
        <w:tblpPr w:leftFromText="180" w:rightFromText="180" w:vertAnchor="page" w:horzAnchor="margin" w:tblpXSpec="center" w:tblpY="787"/>
        <w:tblW w:w="10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0"/>
        <w:gridCol w:w="1314"/>
        <w:gridCol w:w="936"/>
        <w:gridCol w:w="4248"/>
      </w:tblGrid>
      <w:tr w:rsidR="00B611D1" w14:paraId="4900E2BF" w14:textId="77777777">
        <w:trPr>
          <w:trHeight w:val="990"/>
        </w:trPr>
        <w:tc>
          <w:tcPr>
            <w:tcW w:w="10368" w:type="dxa"/>
            <w:gridSpan w:val="4"/>
            <w:vAlign w:val="center"/>
          </w:tcPr>
          <w:p w14:paraId="496A7154" w14:textId="77777777" w:rsidR="00B611D1" w:rsidRDefault="00FB7689">
            <w:pPr>
              <w:bidi/>
              <w:spacing w:after="200" w:line="276" w:lineRule="auto"/>
              <w:jc w:val="center"/>
              <w:rPr>
                <w:rFonts w:ascii="Bell MT" w:hAnsi="Bell MT" w:cs="Sakkal Majalla" w:hint="default"/>
                <w:b/>
                <w:bCs/>
                <w:rtl/>
                <w:lang w:val="en-US" w:bidi="ar-DZ"/>
              </w:rPr>
            </w:pPr>
            <w:r>
              <w:rPr>
                <w:rFonts w:ascii="Bell MT" w:hAnsi="Bell MT" w:cs="Sakkal Majalla"/>
                <w:b/>
                <w:bCs/>
                <w:rtl/>
                <w:lang w:val="en-US" w:bidi="ar-DZ"/>
              </w:rPr>
              <w:t>الجمهـــــوريـــة الجزائـــــــريـــــــــــــة الديــــــــــمقراطية الشعبيــــــــــــة</w:t>
            </w:r>
          </w:p>
          <w:p w14:paraId="138A81EE" w14:textId="77777777" w:rsidR="00B611D1" w:rsidRDefault="00FB7689">
            <w:pPr>
              <w:spacing w:after="200" w:line="276" w:lineRule="auto"/>
              <w:jc w:val="center"/>
              <w:rPr>
                <w:rFonts w:ascii="Bell MT" w:hAnsi="Bell MT" w:cs="Arial" w:hint="default"/>
                <w:i/>
                <w:iCs/>
                <w:rtl/>
              </w:rPr>
            </w:pPr>
            <w:r>
              <w:rPr>
                <w:rFonts w:ascii="Bell MT" w:hAnsi="Bell MT" w:cs="Arial"/>
                <w:i/>
                <w:iCs/>
              </w:rPr>
              <w:t>République Algérienne Démocratique Et Populaire</w:t>
            </w:r>
          </w:p>
          <w:p w14:paraId="43A735D7" w14:textId="77777777" w:rsidR="00B611D1" w:rsidRDefault="00FB7689">
            <w:pPr>
              <w:spacing w:after="200" w:line="276" w:lineRule="auto"/>
              <w:jc w:val="center"/>
              <w:rPr>
                <w:rFonts w:ascii="Bell MT" w:hAnsi="Bell MT" w:cs="Sakkal Majalla" w:hint="default"/>
                <w:b/>
                <w:bCs/>
              </w:rPr>
            </w:pPr>
            <w:r>
              <w:rPr>
                <w:rFonts w:ascii="Bell MT" w:hAnsi="Bell MT" w:cs="Sakkal Majalla"/>
                <w:b/>
                <w:bCs/>
                <w:rtl/>
              </w:rPr>
              <w:t>وزارة ال</w:t>
            </w:r>
            <w:r>
              <w:rPr>
                <w:rFonts w:ascii="Bell MT" w:hAnsi="Bell MT" w:cs="Sakkal Majalla" w:hint="cs"/>
                <w:b/>
                <w:bCs/>
                <w:rtl/>
                <w:lang w:bidi="ar-DZ"/>
              </w:rPr>
              <w:t>ــــ</w:t>
            </w:r>
            <w:r>
              <w:rPr>
                <w:rFonts w:ascii="Bell MT" w:hAnsi="Bell MT" w:cs="Sakkal Majalla"/>
                <w:b/>
                <w:bCs/>
                <w:rtl/>
              </w:rPr>
              <w:t>تع</w:t>
            </w:r>
            <w:r>
              <w:rPr>
                <w:rFonts w:ascii="Bell MT" w:hAnsi="Bell MT" w:cs="Sakkal Majalla" w:hint="cs"/>
                <w:b/>
                <w:bCs/>
                <w:rtl/>
              </w:rPr>
              <w:t>ــــــــــ</w:t>
            </w:r>
            <w:r>
              <w:rPr>
                <w:rFonts w:ascii="Bell MT" w:hAnsi="Bell MT" w:cs="Sakkal Majalla"/>
                <w:b/>
                <w:bCs/>
                <w:rtl/>
              </w:rPr>
              <w:t>لــــــــــــيــــــم العـــــالـــــــــي وال</w:t>
            </w:r>
            <w:r>
              <w:rPr>
                <w:rFonts w:ascii="Bell MT" w:hAnsi="Bell MT" w:cs="Sakkal Majalla" w:hint="cs"/>
                <w:b/>
                <w:bCs/>
                <w:rtl/>
              </w:rPr>
              <w:t>ــــــــــــ</w:t>
            </w:r>
            <w:r>
              <w:rPr>
                <w:rFonts w:ascii="Bell MT" w:hAnsi="Bell MT" w:cs="Sakkal Majalla"/>
                <w:b/>
                <w:bCs/>
                <w:rtl/>
              </w:rPr>
              <w:t>بــــحــــــــــث ال</w:t>
            </w:r>
            <w:r>
              <w:rPr>
                <w:rFonts w:ascii="Bell MT" w:hAnsi="Bell MT" w:cs="Sakkal Majalla" w:hint="cs"/>
                <w:b/>
                <w:bCs/>
                <w:rtl/>
              </w:rPr>
              <w:t>ــــــــــ</w:t>
            </w:r>
            <w:r>
              <w:rPr>
                <w:rFonts w:ascii="Bell MT" w:hAnsi="Bell MT" w:cs="Sakkal Majalla"/>
                <w:b/>
                <w:bCs/>
                <w:rtl/>
              </w:rPr>
              <w:t>عــــلمـ</w:t>
            </w:r>
            <w:r>
              <w:rPr>
                <w:rFonts w:ascii="Bell MT" w:hAnsi="Bell MT" w:cs="Sakkal Majalla" w:hint="cs"/>
                <w:b/>
                <w:bCs/>
                <w:rtl/>
              </w:rPr>
              <w:t>ــــ</w:t>
            </w:r>
            <w:r>
              <w:rPr>
                <w:rFonts w:ascii="Bell MT" w:hAnsi="Bell MT" w:cs="Sakkal Majalla"/>
                <w:b/>
                <w:bCs/>
                <w:rtl/>
              </w:rPr>
              <w:t>ـــــي</w:t>
            </w:r>
          </w:p>
          <w:p w14:paraId="00C963A8" w14:textId="77777777" w:rsidR="00B611D1" w:rsidRDefault="00FB7689">
            <w:pPr>
              <w:spacing w:after="200" w:line="276" w:lineRule="auto"/>
              <w:jc w:val="center"/>
              <w:rPr>
                <w:rFonts w:ascii="Bell MT" w:hAnsi="Bell MT" w:cs="Sakkal Majalla" w:hint="default"/>
                <w:rtl/>
              </w:rPr>
            </w:pPr>
            <w:r>
              <w:rPr>
                <w:rFonts w:ascii="Bell MT" w:hAnsi="Bell MT" w:cs="Arial"/>
                <w:i/>
                <w:iCs/>
              </w:rPr>
              <w:t>Ministère de l’Enseignement Supérieur et de la Recherche Scientifique</w:t>
            </w:r>
          </w:p>
        </w:tc>
      </w:tr>
      <w:tr w:rsidR="00B611D1" w14:paraId="055D52E4" w14:textId="77777777">
        <w:trPr>
          <w:trHeight w:val="1159"/>
        </w:trPr>
        <w:tc>
          <w:tcPr>
            <w:tcW w:w="3870" w:type="dxa"/>
            <w:vAlign w:val="center"/>
          </w:tcPr>
          <w:p w14:paraId="42079480" w14:textId="77777777" w:rsidR="00B611D1" w:rsidRDefault="00FB7689">
            <w:pPr>
              <w:spacing w:after="200" w:line="276" w:lineRule="auto"/>
              <w:jc w:val="center"/>
              <w:rPr>
                <w:rFonts w:ascii="Sakkal Majalla" w:hAnsi="Sakkal Majalla" w:cs="Sakkal Majalla" w:hint="default"/>
                <w:b/>
                <w:bCs/>
                <w:sz w:val="28"/>
                <w:szCs w:val="28"/>
              </w:rPr>
            </w:pPr>
            <w:r>
              <w:rPr>
                <w:rFonts w:ascii="Sakkal Majalla" w:hAnsi="Sakkal Majalla" w:cs="Sakkal Majalla"/>
                <w:b/>
                <w:bCs/>
                <w:sz w:val="28"/>
                <w:szCs w:val="28"/>
                <w:rtl/>
              </w:rPr>
              <w:t xml:space="preserve">كلية علوم الطبيعة </w:t>
            </w:r>
            <w:r>
              <w:rPr>
                <w:rFonts w:ascii="Sakkal Majalla" w:hAnsi="Sakkal Majalla" w:cs="Sakkal Majalla" w:hint="cs"/>
                <w:b/>
                <w:bCs/>
                <w:sz w:val="28"/>
                <w:szCs w:val="28"/>
                <w:rtl/>
              </w:rPr>
              <w:t>والحياة</w:t>
            </w:r>
            <w:r>
              <w:rPr>
                <w:rFonts w:ascii="Sakkal Majalla" w:hAnsi="Sakkal Majalla" w:cs="Sakkal Majalla"/>
                <w:b/>
                <w:bCs/>
                <w:sz w:val="28"/>
                <w:szCs w:val="28"/>
                <w:rtl/>
              </w:rPr>
              <w:t xml:space="preserve"> </w:t>
            </w:r>
            <w:r>
              <w:rPr>
                <w:rFonts w:ascii="Sakkal Majalla" w:hAnsi="Sakkal Majalla" w:cs="Sakkal Majalla" w:hint="cs"/>
                <w:b/>
                <w:bCs/>
                <w:sz w:val="28"/>
                <w:szCs w:val="28"/>
                <w:rtl/>
              </w:rPr>
              <w:t>وعلوم</w:t>
            </w:r>
            <w:r>
              <w:rPr>
                <w:rFonts w:ascii="Sakkal Majalla" w:hAnsi="Sakkal Majalla" w:cs="Sakkal Majalla"/>
                <w:b/>
                <w:bCs/>
                <w:sz w:val="28"/>
                <w:szCs w:val="28"/>
                <w:rtl/>
              </w:rPr>
              <w:t xml:space="preserve"> الأرض</w:t>
            </w:r>
          </w:p>
          <w:p w14:paraId="37D8D302" w14:textId="77777777" w:rsidR="00B611D1" w:rsidRDefault="00FB7689">
            <w:pPr>
              <w:spacing w:after="200" w:line="276" w:lineRule="auto"/>
              <w:jc w:val="center"/>
              <w:rPr>
                <w:rFonts w:ascii="Bell MT" w:hAnsi="Bell MT" w:cs="Arial" w:hint="default"/>
                <w:lang w:val="fr-FR"/>
              </w:rPr>
            </w:pPr>
            <w:r>
              <w:rPr>
                <w:rFonts w:ascii="Bell MT" w:hAnsi="Bell MT" w:cs="Arial"/>
                <w:lang w:val="fr-FR"/>
              </w:rPr>
              <w:t>Faculté Des Sciences de la Nature et de la Vie et des Sciences de la Terre</w:t>
            </w:r>
          </w:p>
          <w:p w14:paraId="1423CBC5" w14:textId="77777777" w:rsidR="00B611D1" w:rsidRDefault="00FB7689">
            <w:pPr>
              <w:spacing w:before="120" w:after="200" w:line="276" w:lineRule="auto"/>
              <w:jc w:val="center"/>
              <w:rPr>
                <w:rFonts w:ascii="Bell MT" w:hAnsi="Bell MT" w:cs="Arial" w:hint="default"/>
                <w:sz w:val="20"/>
                <w:szCs w:val="20"/>
              </w:rPr>
            </w:pPr>
            <w:r>
              <w:rPr>
                <w:rFonts w:ascii="Bell MT" w:hAnsi="Bell MT" w:cs="Arial"/>
              </w:rPr>
              <w:t xml:space="preserve">Département : </w:t>
            </w:r>
            <w:r>
              <w:rPr>
                <w:rFonts w:ascii="Bell MT" w:hAnsi="Bell MT" w:cs="Arial" w:hint="default"/>
              </w:rPr>
              <w:t>Biologie</w:t>
            </w:r>
          </w:p>
        </w:tc>
        <w:tc>
          <w:tcPr>
            <w:tcW w:w="1314" w:type="dxa"/>
            <w:vAlign w:val="center"/>
          </w:tcPr>
          <w:p w14:paraId="3C4D0874" w14:textId="77777777" w:rsidR="00B611D1" w:rsidRDefault="00B611D1">
            <w:pPr>
              <w:spacing w:after="200" w:line="276" w:lineRule="auto"/>
              <w:rPr>
                <w:rFonts w:ascii="Calibri" w:hAnsi="Calibri" w:cs="Arial" w:hint="default"/>
                <w:i/>
                <w:iCs/>
                <w:sz w:val="20"/>
                <w:szCs w:val="20"/>
              </w:rPr>
            </w:pPr>
          </w:p>
        </w:tc>
        <w:tc>
          <w:tcPr>
            <w:tcW w:w="936" w:type="dxa"/>
            <w:vAlign w:val="center"/>
          </w:tcPr>
          <w:p w14:paraId="724A1358" w14:textId="77777777" w:rsidR="00B611D1" w:rsidRDefault="00FB7689">
            <w:pPr>
              <w:spacing w:after="200" w:line="276" w:lineRule="auto"/>
              <w:rPr>
                <w:rFonts w:ascii="Calibri" w:hAnsi="Calibri" w:cs="Arial" w:hint="default"/>
                <w:i/>
                <w:iCs/>
                <w:sz w:val="20"/>
                <w:szCs w:val="20"/>
              </w:rPr>
            </w:pPr>
            <w:r>
              <w:rPr>
                <w:rFonts w:ascii="Calibri" w:hAnsi="Calibri" w:cs="Arial"/>
                <w:i/>
                <w:iCs/>
                <w:noProof/>
                <w:sz w:val="20"/>
                <w:szCs w:val="20"/>
                <w:lang w:val="en-US"/>
              </w:rPr>
              <w:drawing>
                <wp:anchor distT="0" distB="0" distL="114300" distR="114300" simplePos="0" relativeHeight="251659264" behindDoc="0" locked="0" layoutInCell="1" allowOverlap="1" wp14:anchorId="3DF66377" wp14:editId="30528EC5">
                  <wp:simplePos x="0" y="0"/>
                  <wp:positionH relativeFrom="margin">
                    <wp:posOffset>-558800</wp:posOffset>
                  </wp:positionH>
                  <wp:positionV relativeFrom="paragraph">
                    <wp:posOffset>39370</wp:posOffset>
                  </wp:positionV>
                  <wp:extent cx="1136650" cy="651510"/>
                  <wp:effectExtent l="0" t="0" r="6350" b="0"/>
                  <wp:wrapNone/>
                  <wp:docPr id="14" name="Picture 59" descr="A logo with blue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59" descr="A logo with blue and black text&#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136650" cy="651510"/>
                          </a:xfrm>
                          <a:prstGeom prst="rect">
                            <a:avLst/>
                          </a:prstGeom>
                          <a:noFill/>
                        </pic:spPr>
                      </pic:pic>
                    </a:graphicData>
                  </a:graphic>
                </wp:anchor>
              </w:drawing>
            </w:r>
            <w:r>
              <w:rPr>
                <w:rFonts w:ascii="Calibri" w:hAnsi="Calibri" w:cs="Arial"/>
                <w:i/>
                <w:iCs/>
                <w:sz w:val="20"/>
                <w:szCs w:val="20"/>
              </w:rPr>
              <w:t xml:space="preserve"> </w:t>
            </w:r>
          </w:p>
        </w:tc>
        <w:tc>
          <w:tcPr>
            <w:tcW w:w="4248" w:type="dxa"/>
            <w:vAlign w:val="center"/>
          </w:tcPr>
          <w:p w14:paraId="1ED50291" w14:textId="77777777" w:rsidR="00B611D1" w:rsidRDefault="00FB7689">
            <w:pPr>
              <w:spacing w:after="200" w:line="276" w:lineRule="auto"/>
              <w:jc w:val="center"/>
              <w:rPr>
                <w:rFonts w:ascii="Sakkal Majalla" w:hAnsi="Sakkal Majalla" w:cs="Sakkal Majalla" w:hint="default"/>
                <w:b/>
                <w:bCs/>
                <w:sz w:val="28"/>
                <w:szCs w:val="28"/>
              </w:rPr>
            </w:pPr>
            <w:r>
              <w:rPr>
                <w:rFonts w:ascii="Sakkal Majalla" w:hAnsi="Sakkal Majalla" w:cs="Sakkal Majalla"/>
                <w:b/>
                <w:bCs/>
                <w:sz w:val="28"/>
                <w:szCs w:val="28"/>
                <w:rtl/>
              </w:rPr>
              <w:t>جامعة الجيلالي بونعامة – خميس مليانة</w:t>
            </w:r>
          </w:p>
          <w:p w14:paraId="6CD04838" w14:textId="77777777" w:rsidR="00B611D1" w:rsidRDefault="00FB7689">
            <w:pPr>
              <w:spacing w:after="200" w:line="276" w:lineRule="auto"/>
              <w:jc w:val="center"/>
              <w:rPr>
                <w:rFonts w:ascii="Bell MT" w:hAnsi="Bell MT" w:cs="Arial" w:hint="default"/>
              </w:rPr>
            </w:pPr>
            <w:r>
              <w:rPr>
                <w:rFonts w:ascii="Bell MT" w:hAnsi="Bell MT" w:cs="Arial"/>
              </w:rPr>
              <w:t xml:space="preserve">Université Djilali Bounaama </w:t>
            </w:r>
          </w:p>
          <w:p w14:paraId="0D6F7A7E" w14:textId="77777777" w:rsidR="00B611D1" w:rsidRDefault="00FB7689">
            <w:pPr>
              <w:spacing w:after="200" w:line="276" w:lineRule="auto"/>
              <w:jc w:val="center"/>
              <w:rPr>
                <w:rFonts w:ascii="Bell MT" w:hAnsi="Bell MT" w:cs="Arial" w:hint="default"/>
              </w:rPr>
            </w:pPr>
            <w:r>
              <w:rPr>
                <w:rFonts w:ascii="Bell MT" w:hAnsi="Bell MT" w:cs="Arial"/>
              </w:rPr>
              <w:t>Khemis Miliana</w:t>
            </w:r>
          </w:p>
          <w:p w14:paraId="08BAE7DA" w14:textId="77777777" w:rsidR="00B611D1" w:rsidRDefault="00FB7689">
            <w:pPr>
              <w:spacing w:after="200" w:line="276" w:lineRule="auto"/>
              <w:jc w:val="center"/>
              <w:rPr>
                <w:rFonts w:ascii="Arabic Typesetting" w:hAnsi="Arabic Typesetting" w:cs="Arabic Typesetting" w:hint="default"/>
                <w:i/>
                <w:iCs/>
                <w:sz w:val="20"/>
                <w:szCs w:val="20"/>
                <w:rtl/>
                <w:lang w:bidi="ar-DZ"/>
              </w:rPr>
            </w:pPr>
            <w:r>
              <w:rPr>
                <w:rFonts w:ascii="Arabic Typesetting" w:hAnsi="Arabic Typesetting" w:cs="Arabic Typesetting"/>
                <w:sz w:val="32"/>
                <w:szCs w:val="32"/>
                <w:rtl/>
                <w:lang w:bidi="ar-DZ"/>
              </w:rPr>
              <w:t>قسم</w:t>
            </w:r>
            <w:r>
              <w:rPr>
                <w:rFonts w:ascii="Arabic Typesetting" w:hAnsi="Arabic Typesetting" w:cs="Arabic Typesetting" w:hint="cs"/>
                <w:sz w:val="32"/>
                <w:szCs w:val="32"/>
                <w:rtl/>
                <w:lang w:bidi="ar-DZ"/>
              </w:rPr>
              <w:t xml:space="preserve"> :</w:t>
            </w:r>
            <w:r>
              <w:rPr>
                <w:rFonts w:ascii="Arabic Typesetting" w:hAnsi="Arabic Typesetting" w:cs="Arabic Typesetting"/>
                <w:sz w:val="32"/>
                <w:szCs w:val="32"/>
                <w:rtl/>
                <w:lang w:bidi="ar-DZ"/>
              </w:rPr>
              <w:t xml:space="preserve"> </w:t>
            </w:r>
            <w:r>
              <w:rPr>
                <w:rFonts w:ascii="Arabic Typesetting" w:hAnsi="Arabic Typesetting" w:cs="Arabic Typesetting" w:hint="cs"/>
                <w:sz w:val="32"/>
                <w:szCs w:val="32"/>
                <w:rtl/>
                <w:lang w:bidi="ar-DZ"/>
              </w:rPr>
              <w:t>البيولوجيا</w:t>
            </w:r>
          </w:p>
        </w:tc>
      </w:tr>
    </w:tbl>
    <w:p w14:paraId="6841AD3F" w14:textId="77777777" w:rsidR="00B611D1" w:rsidRDefault="00B611D1">
      <w:pPr>
        <w:rPr>
          <w:i/>
          <w:iCs/>
        </w:rPr>
      </w:pPr>
    </w:p>
    <w:p w14:paraId="3AA04179" w14:textId="77777777" w:rsidR="00B611D1" w:rsidRDefault="00FB7689">
      <w:pPr>
        <w:spacing w:before="360"/>
        <w:jc w:val="center"/>
        <w:rPr>
          <w:rFonts w:ascii="Calisto MT" w:hAnsi="Calisto MT"/>
          <w:b/>
          <w:bCs/>
          <w:sz w:val="32"/>
          <w:szCs w:val="32"/>
        </w:rPr>
      </w:pPr>
      <w:r>
        <w:rPr>
          <w:rFonts w:ascii="Calisto MT" w:hAnsi="Calisto MT"/>
          <w:noProof/>
          <w:sz w:val="28"/>
          <w:szCs w:val="28"/>
          <w:lang w:val="en-US"/>
        </w:rPr>
        <w:drawing>
          <wp:anchor distT="0" distB="0" distL="114300" distR="114300" simplePos="0" relativeHeight="251660288" behindDoc="1" locked="0" layoutInCell="1" allowOverlap="1" wp14:anchorId="6A3BDA6E" wp14:editId="15379703">
            <wp:simplePos x="0" y="0"/>
            <wp:positionH relativeFrom="margin">
              <wp:align>center</wp:align>
            </wp:positionH>
            <wp:positionV relativeFrom="margin">
              <wp:align>center</wp:align>
            </wp:positionV>
            <wp:extent cx="5046980" cy="5046980"/>
            <wp:effectExtent l="0" t="0" r="1270" b="1270"/>
            <wp:wrapNone/>
            <wp:docPr id="4" name="Image 4" descr="Une image contenant art, Graphique, cercle, Caractère color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art, Graphique, cercle, Caractère coloré&#10;&#10;Description générée automatiquement"/>
                    <pic:cNvPicPr>
                      <a:picLocks noChangeAspect="1" noChangeArrowheads="1"/>
                    </pic:cNvPicPr>
                  </pic:nvPicPr>
                  <pic:blipFill>
                    <a:blip r:embed="rId10">
                      <a:alphaModFix amt="10000"/>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a:xfrm>
                      <a:off x="0" y="0"/>
                      <a:ext cx="5046980" cy="5046980"/>
                    </a:xfrm>
                    <a:prstGeom prst="rect">
                      <a:avLst/>
                    </a:prstGeom>
                    <a:noFill/>
                    <a:ln>
                      <a:noFill/>
                    </a:ln>
                  </pic:spPr>
                </pic:pic>
              </a:graphicData>
            </a:graphic>
          </wp:anchor>
        </w:drawing>
      </w:r>
      <w:r>
        <w:rPr>
          <w:rFonts w:ascii="Calisto MT" w:hAnsi="Calisto MT"/>
          <w:b/>
          <w:bCs/>
          <w:sz w:val="32"/>
          <w:szCs w:val="32"/>
        </w:rPr>
        <w:t>MEMOIRE DE FIN D’ETUDES</w:t>
      </w:r>
    </w:p>
    <w:p w14:paraId="30FC94E7" w14:textId="77777777" w:rsidR="00B611D1" w:rsidRDefault="00FB7689">
      <w:pPr>
        <w:tabs>
          <w:tab w:val="left" w:pos="3570"/>
        </w:tabs>
        <w:jc w:val="center"/>
        <w:rPr>
          <w:rFonts w:ascii="Calisto MT" w:hAnsi="Calisto MT"/>
          <w:lang w:val="fr-FR"/>
        </w:rPr>
      </w:pPr>
      <w:r>
        <w:rPr>
          <w:rFonts w:ascii="Calisto MT" w:hAnsi="Calisto MT"/>
          <w:lang w:val="fr-FR"/>
        </w:rPr>
        <w:t>En vue de l’obtention du diplôme de</w:t>
      </w:r>
    </w:p>
    <w:p w14:paraId="64E92281" w14:textId="77777777" w:rsidR="00B611D1" w:rsidRDefault="00FB7689">
      <w:pPr>
        <w:tabs>
          <w:tab w:val="left" w:pos="3570"/>
        </w:tabs>
        <w:spacing w:before="240" w:after="240"/>
        <w:jc w:val="center"/>
        <w:rPr>
          <w:rFonts w:ascii="Calisto MT" w:hAnsi="Calisto MT"/>
          <w:b/>
          <w:bCs/>
          <w:sz w:val="32"/>
          <w:szCs w:val="32"/>
          <w:lang w:val="fr-FR"/>
        </w:rPr>
      </w:pPr>
      <w:r>
        <w:rPr>
          <w:rFonts w:ascii="Calisto MT" w:hAnsi="Calisto MT"/>
          <w:b/>
          <w:bCs/>
          <w:sz w:val="32"/>
          <w:szCs w:val="32"/>
          <w:lang w:val="fr-FR"/>
        </w:rPr>
        <w:t>MASTER</w:t>
      </w:r>
    </w:p>
    <w:p w14:paraId="5EDD9EBB" w14:textId="77777777" w:rsidR="00B611D1" w:rsidRDefault="00FB7689">
      <w:pPr>
        <w:tabs>
          <w:tab w:val="left" w:pos="3570"/>
        </w:tabs>
        <w:jc w:val="center"/>
        <w:rPr>
          <w:rFonts w:ascii="Calisto MT" w:hAnsi="Calisto MT"/>
          <w:lang w:val="fr-FR"/>
        </w:rPr>
      </w:pPr>
      <w:r>
        <w:rPr>
          <w:rFonts w:ascii="Calisto MT" w:hAnsi="Calisto MT"/>
          <w:lang w:val="fr-FR"/>
        </w:rPr>
        <w:t>Domaine : Sciences de la nature de la vie</w:t>
      </w:r>
    </w:p>
    <w:p w14:paraId="771F4D0A" w14:textId="77777777" w:rsidR="00B611D1" w:rsidRDefault="00FB7689">
      <w:pPr>
        <w:tabs>
          <w:tab w:val="left" w:pos="3570"/>
        </w:tabs>
        <w:jc w:val="center"/>
        <w:rPr>
          <w:rFonts w:ascii="Calisto MT" w:hAnsi="Calisto MT"/>
          <w:lang w:val="fr-FR"/>
        </w:rPr>
      </w:pPr>
      <w:r>
        <w:rPr>
          <w:rFonts w:ascii="Calisto MT" w:hAnsi="Calisto MT"/>
          <w:lang w:val="fr-FR"/>
        </w:rPr>
        <w:t xml:space="preserve">Filière : Biotechnologies  </w:t>
      </w:r>
    </w:p>
    <w:p w14:paraId="06DB6210" w14:textId="77777777" w:rsidR="00B611D1" w:rsidRDefault="00FB7689">
      <w:pPr>
        <w:tabs>
          <w:tab w:val="left" w:pos="3570"/>
        </w:tabs>
        <w:jc w:val="center"/>
        <w:rPr>
          <w:rFonts w:ascii="Calisto MT" w:hAnsi="Calisto MT"/>
          <w:lang w:val="fr-FR"/>
        </w:rPr>
      </w:pPr>
      <w:r>
        <w:rPr>
          <w:rFonts w:ascii="Calisto MT" w:hAnsi="Calisto MT"/>
          <w:lang w:val="fr-FR"/>
        </w:rPr>
        <w:t>Spécialité : Biotechnologie microbienne</w:t>
      </w:r>
    </w:p>
    <w:p w14:paraId="294DA2CE" w14:textId="77777777" w:rsidR="00B611D1" w:rsidRDefault="00FB7689">
      <w:pPr>
        <w:tabs>
          <w:tab w:val="left" w:pos="3570"/>
        </w:tabs>
        <w:spacing w:before="720"/>
        <w:jc w:val="center"/>
        <w:rPr>
          <w:rFonts w:ascii="Bauhaus 93" w:hAnsi="Bauhaus 93"/>
          <w:sz w:val="28"/>
          <w:szCs w:val="28"/>
          <w:lang w:val="fr-FR"/>
        </w:rPr>
      </w:pPr>
      <w:r>
        <w:rPr>
          <w:rFonts w:ascii="Bauhaus 93" w:hAnsi="Bauhaus 93"/>
          <w:sz w:val="28"/>
          <w:szCs w:val="28"/>
          <w:lang w:val="fr-FR"/>
        </w:rPr>
        <w:t>THEME</w:t>
      </w:r>
    </w:p>
    <w:p w14:paraId="226B8C02" w14:textId="77777777" w:rsidR="00B611D1" w:rsidRDefault="00FB7689">
      <w:pPr>
        <w:pBdr>
          <w:top w:val="double" w:sz="4" w:space="1" w:color="215868" w:themeColor="accent5" w:themeShade="80"/>
          <w:bottom w:val="double" w:sz="4" w:space="1" w:color="215868" w:themeColor="accent5" w:themeShade="80"/>
        </w:pBdr>
        <w:tabs>
          <w:tab w:val="left" w:pos="3570"/>
        </w:tabs>
        <w:spacing w:line="276" w:lineRule="auto"/>
        <w:jc w:val="center"/>
        <w:rPr>
          <w:lang w:val="fr-FR"/>
        </w:rPr>
      </w:pPr>
      <w:bookmarkStart w:id="1" w:name="_Hlk166882183"/>
      <w:r>
        <w:rPr>
          <w:rFonts w:ascii="Calisto MT" w:hAnsi="Calisto MT"/>
          <w:b/>
          <w:bCs/>
          <w:sz w:val="32"/>
          <w:szCs w:val="32"/>
          <w:lang w:val="fr-FR"/>
        </w:rPr>
        <w:t>Isolement et caractérisation de souches bactériennes issues des surfaces hospitalières du service d'urgence</w:t>
      </w:r>
    </w:p>
    <w:bookmarkEnd w:id="1"/>
    <w:p w14:paraId="12E6F408" w14:textId="77777777" w:rsidR="00B611D1" w:rsidRDefault="00FB7689">
      <w:pPr>
        <w:tabs>
          <w:tab w:val="left" w:pos="3570"/>
        </w:tabs>
        <w:spacing w:before="240"/>
        <w:jc w:val="center"/>
        <w:rPr>
          <w:rFonts w:ascii="Arial Narrow" w:hAnsi="Arial Narrow"/>
          <w:b/>
          <w:bCs/>
          <w:sz w:val="28"/>
          <w:szCs w:val="28"/>
          <w:lang w:val="fr-FR"/>
        </w:rPr>
      </w:pPr>
      <w:r>
        <w:rPr>
          <w:rFonts w:ascii="Arial Narrow" w:hAnsi="Arial Narrow"/>
          <w:b/>
          <w:bCs/>
          <w:sz w:val="28"/>
          <w:szCs w:val="28"/>
          <w:lang w:val="fr-FR"/>
        </w:rPr>
        <w:t>Réalisé par :</w:t>
      </w:r>
    </w:p>
    <w:p w14:paraId="412C9F70" w14:textId="77777777" w:rsidR="00B611D1" w:rsidRDefault="00FB7689">
      <w:pPr>
        <w:tabs>
          <w:tab w:val="left" w:pos="3570"/>
        </w:tabs>
        <w:jc w:val="center"/>
        <w:rPr>
          <w:rFonts w:ascii="Calisto MT" w:hAnsi="Calisto MT"/>
          <w:lang w:val="fr-FR"/>
        </w:rPr>
      </w:pPr>
      <w:r>
        <w:rPr>
          <w:rFonts w:ascii="Calisto MT" w:hAnsi="Calisto MT"/>
          <w:lang w:val="fr-FR"/>
        </w:rPr>
        <w:t>Mohammed Bouziane Aya</w:t>
      </w:r>
    </w:p>
    <w:p w14:paraId="67ED5EEE" w14:textId="77777777" w:rsidR="00B611D1" w:rsidRDefault="00B611D1">
      <w:pPr>
        <w:tabs>
          <w:tab w:val="left" w:pos="3570"/>
        </w:tabs>
        <w:spacing w:line="276" w:lineRule="auto"/>
        <w:jc w:val="center"/>
        <w:rPr>
          <w:rFonts w:ascii="Calisto MT" w:hAnsi="Calisto MT"/>
          <w:lang w:val="fr-FR"/>
        </w:rPr>
      </w:pPr>
    </w:p>
    <w:p w14:paraId="185FC919" w14:textId="77777777" w:rsidR="00B611D1" w:rsidRDefault="00FB7689">
      <w:pPr>
        <w:tabs>
          <w:tab w:val="left" w:pos="3570"/>
        </w:tabs>
        <w:spacing w:line="480" w:lineRule="auto"/>
        <w:rPr>
          <w:rFonts w:ascii="Calisto MT" w:hAnsi="Calisto MT"/>
          <w:lang w:val="fr-FR" w:eastAsia="zh-CN"/>
        </w:rPr>
      </w:pPr>
      <w:r>
        <w:rPr>
          <w:rFonts w:ascii="Calisto MT" w:hAnsi="Calisto MT"/>
          <w:lang w:val="fr-FR"/>
        </w:rPr>
        <w:t>Soutenu le 24/06/2025 devant le jury composé de :</w:t>
      </w:r>
    </w:p>
    <w:p w14:paraId="2DB2887E" w14:textId="77777777" w:rsidR="00B611D1" w:rsidRDefault="00B611D1">
      <w:pPr>
        <w:tabs>
          <w:tab w:val="left" w:pos="3570"/>
        </w:tabs>
        <w:spacing w:line="480" w:lineRule="auto"/>
        <w:rPr>
          <w:rFonts w:ascii="Calisto MT" w:hAnsi="Calisto MT"/>
          <w:lang w:val="fr-FR" w:eastAsia="zh-CN"/>
        </w:rPr>
      </w:pPr>
    </w:p>
    <w:tbl>
      <w:tblPr>
        <w:tblStyle w:val="TableGridLight2"/>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8"/>
        <w:gridCol w:w="762"/>
        <w:gridCol w:w="3560"/>
        <w:gridCol w:w="931"/>
        <w:gridCol w:w="2944"/>
      </w:tblGrid>
      <w:tr w:rsidR="00B611D1" w14:paraId="5D01881E" w14:textId="77777777">
        <w:trPr>
          <w:trHeight w:val="439"/>
        </w:trPr>
        <w:tc>
          <w:tcPr>
            <w:tcW w:w="1788" w:type="dxa"/>
          </w:tcPr>
          <w:p w14:paraId="352B1D65" w14:textId="77777777" w:rsidR="00B611D1" w:rsidRDefault="00FB7689">
            <w:pPr>
              <w:tabs>
                <w:tab w:val="left" w:pos="3570"/>
              </w:tabs>
              <w:spacing w:after="200" w:line="276" w:lineRule="auto"/>
              <w:rPr>
                <w:rFonts w:ascii="Calisto MT" w:hAnsi="Calisto MT" w:cs="Arial"/>
                <w:b/>
                <w:bCs/>
                <w:color w:val="000000" w:themeColor="text1"/>
                <w:kern w:val="2"/>
                <w:lang w:eastAsia="zh-CN"/>
              </w:rPr>
            </w:pPr>
            <w:r>
              <w:rPr>
                <w:rFonts w:ascii="Calisto MT" w:hAnsi="Calisto MT" w:cs="Arial" w:hint="eastAsia"/>
                <w:b/>
                <w:bCs/>
                <w:color w:val="000000" w:themeColor="text1"/>
                <w:kern w:val="2"/>
              </w:rPr>
              <w:t>Président</w:t>
            </w:r>
          </w:p>
        </w:tc>
        <w:tc>
          <w:tcPr>
            <w:tcW w:w="762" w:type="dxa"/>
          </w:tcPr>
          <w:p w14:paraId="52137A71" w14:textId="77777777" w:rsidR="00B611D1" w:rsidRDefault="00FB7689">
            <w:pPr>
              <w:tabs>
                <w:tab w:val="left" w:pos="3570"/>
              </w:tabs>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Mr</w:t>
            </w:r>
          </w:p>
        </w:tc>
        <w:tc>
          <w:tcPr>
            <w:tcW w:w="3560" w:type="dxa"/>
          </w:tcPr>
          <w:p w14:paraId="504D1738" w14:textId="77777777" w:rsidR="00B611D1" w:rsidRDefault="00FB7689">
            <w:pPr>
              <w:tabs>
                <w:tab w:val="left" w:pos="3570"/>
              </w:tabs>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BELAABED B</w:t>
            </w:r>
          </w:p>
        </w:tc>
        <w:tc>
          <w:tcPr>
            <w:tcW w:w="931" w:type="dxa"/>
          </w:tcPr>
          <w:p w14:paraId="388094D6" w14:textId="77777777" w:rsidR="00B611D1" w:rsidRDefault="00FB7689">
            <w:pPr>
              <w:tabs>
                <w:tab w:val="left" w:pos="3570"/>
              </w:tabs>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MCB</w:t>
            </w:r>
          </w:p>
        </w:tc>
        <w:tc>
          <w:tcPr>
            <w:tcW w:w="2944" w:type="dxa"/>
          </w:tcPr>
          <w:p w14:paraId="37DAB93F" w14:textId="77777777" w:rsidR="00B611D1" w:rsidRDefault="00FB7689">
            <w:pPr>
              <w:tabs>
                <w:tab w:val="left" w:pos="3570"/>
              </w:tabs>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U. Khemis Miliana</w:t>
            </w:r>
          </w:p>
        </w:tc>
      </w:tr>
      <w:tr w:rsidR="00B611D1" w14:paraId="6575B2B5" w14:textId="77777777">
        <w:trPr>
          <w:trHeight w:val="439"/>
        </w:trPr>
        <w:tc>
          <w:tcPr>
            <w:tcW w:w="1788" w:type="dxa"/>
          </w:tcPr>
          <w:p w14:paraId="1ECFC5C3" w14:textId="77777777" w:rsidR="00B611D1" w:rsidRDefault="00FB7689">
            <w:pPr>
              <w:spacing w:after="200" w:line="276" w:lineRule="auto"/>
              <w:rPr>
                <w:rFonts w:ascii="Calisto MT" w:hAnsi="Calisto MT" w:cs="Arial"/>
                <w:b/>
                <w:bCs/>
                <w:color w:val="000000" w:themeColor="text1"/>
                <w:kern w:val="2"/>
                <w:lang w:val="fr-FR" w:eastAsia="zh-CN"/>
              </w:rPr>
            </w:pPr>
            <w:r>
              <w:rPr>
                <w:rFonts w:ascii="Calisto MT" w:hAnsi="Calisto MT" w:cs="Arial" w:hint="eastAsia"/>
                <w:b/>
                <w:bCs/>
                <w:color w:val="000000" w:themeColor="text1"/>
                <w:kern w:val="2"/>
              </w:rPr>
              <w:t>Promot</w:t>
            </w:r>
            <w:r>
              <w:rPr>
                <w:rFonts w:ascii="Calisto MT" w:hAnsi="Calisto MT" w:cs="Arial" w:hint="eastAsia"/>
                <w:b/>
                <w:bCs/>
                <w:color w:val="000000" w:themeColor="text1"/>
                <w:kern w:val="2"/>
                <w:lang w:val="fr-FR"/>
              </w:rPr>
              <w:t>rice</w:t>
            </w:r>
          </w:p>
        </w:tc>
        <w:tc>
          <w:tcPr>
            <w:tcW w:w="762" w:type="dxa"/>
          </w:tcPr>
          <w:p w14:paraId="23E27BAB"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Mme</w:t>
            </w:r>
          </w:p>
        </w:tc>
        <w:tc>
          <w:tcPr>
            <w:tcW w:w="3560" w:type="dxa"/>
          </w:tcPr>
          <w:p w14:paraId="42AF20F1"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SAADI W</w:t>
            </w:r>
          </w:p>
        </w:tc>
        <w:tc>
          <w:tcPr>
            <w:tcW w:w="931" w:type="dxa"/>
          </w:tcPr>
          <w:p w14:paraId="538FA4E0"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MCA</w:t>
            </w:r>
          </w:p>
        </w:tc>
        <w:tc>
          <w:tcPr>
            <w:tcW w:w="2944" w:type="dxa"/>
          </w:tcPr>
          <w:p w14:paraId="48B511B9"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U. Khemis Miliana</w:t>
            </w:r>
          </w:p>
        </w:tc>
      </w:tr>
      <w:tr w:rsidR="00B611D1" w14:paraId="05773E21" w14:textId="77777777">
        <w:trPr>
          <w:trHeight w:val="439"/>
        </w:trPr>
        <w:tc>
          <w:tcPr>
            <w:tcW w:w="1788" w:type="dxa"/>
          </w:tcPr>
          <w:p w14:paraId="6F55B50C" w14:textId="77777777" w:rsidR="00B611D1" w:rsidRDefault="00FB7689">
            <w:pPr>
              <w:spacing w:after="200" w:line="276" w:lineRule="auto"/>
              <w:rPr>
                <w:rFonts w:ascii="Calisto MT" w:hAnsi="Calisto MT" w:cs="Arial"/>
                <w:b/>
                <w:bCs/>
                <w:color w:val="000000" w:themeColor="text1"/>
                <w:kern w:val="2"/>
                <w:lang w:val="fr-FR"/>
              </w:rPr>
            </w:pPr>
            <w:r>
              <w:rPr>
                <w:rFonts w:ascii="Calisto MT" w:hAnsi="Calisto MT" w:cs="Arial" w:hint="eastAsia"/>
                <w:b/>
                <w:bCs/>
                <w:color w:val="000000" w:themeColor="text1"/>
                <w:kern w:val="2"/>
              </w:rPr>
              <w:t>Co-promotr</w:t>
            </w:r>
            <w:r>
              <w:rPr>
                <w:rFonts w:ascii="Calisto MT" w:hAnsi="Calisto MT" w:cs="Arial" w:hint="eastAsia"/>
                <w:b/>
                <w:bCs/>
                <w:color w:val="000000" w:themeColor="text1"/>
                <w:kern w:val="2"/>
                <w:lang w:val="fr-FR"/>
              </w:rPr>
              <w:t>ice</w:t>
            </w:r>
          </w:p>
        </w:tc>
        <w:tc>
          <w:tcPr>
            <w:tcW w:w="762" w:type="dxa"/>
          </w:tcPr>
          <w:p w14:paraId="460F91C2"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Mme</w:t>
            </w:r>
          </w:p>
        </w:tc>
        <w:tc>
          <w:tcPr>
            <w:tcW w:w="3560" w:type="dxa"/>
          </w:tcPr>
          <w:p w14:paraId="5E5797D1"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FATMI A</w:t>
            </w:r>
          </w:p>
        </w:tc>
        <w:tc>
          <w:tcPr>
            <w:tcW w:w="931" w:type="dxa"/>
          </w:tcPr>
          <w:p w14:paraId="61680CAF"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MCB</w:t>
            </w:r>
          </w:p>
        </w:tc>
        <w:tc>
          <w:tcPr>
            <w:tcW w:w="2944" w:type="dxa"/>
          </w:tcPr>
          <w:p w14:paraId="6FBB74A8"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 xml:space="preserve">U. </w:t>
            </w:r>
            <w:r>
              <w:rPr>
                <w:rFonts w:eastAsia="Calibri" w:hint="eastAsia"/>
                <w:kern w:val="2"/>
                <w:lang w:val="en-US"/>
              </w:rPr>
              <w:t>M'Sila</w:t>
            </w:r>
          </w:p>
        </w:tc>
      </w:tr>
      <w:tr w:rsidR="00B611D1" w14:paraId="10FB4FB9" w14:textId="77777777">
        <w:trPr>
          <w:trHeight w:val="439"/>
        </w:trPr>
        <w:tc>
          <w:tcPr>
            <w:tcW w:w="1788" w:type="dxa"/>
          </w:tcPr>
          <w:p w14:paraId="4A973D72" w14:textId="77777777" w:rsidR="00B611D1" w:rsidRDefault="00FB7689">
            <w:pPr>
              <w:spacing w:after="200" w:line="276" w:lineRule="auto"/>
              <w:rPr>
                <w:rFonts w:ascii="Calisto MT" w:hAnsi="Calisto MT" w:cs="Arial"/>
                <w:b/>
                <w:bCs/>
                <w:color w:val="000000" w:themeColor="text1"/>
                <w:kern w:val="2"/>
              </w:rPr>
            </w:pPr>
            <w:r>
              <w:rPr>
                <w:rFonts w:ascii="Calisto MT" w:hAnsi="Calisto MT" w:cs="Arial" w:hint="eastAsia"/>
                <w:b/>
                <w:bCs/>
                <w:color w:val="000000" w:themeColor="text1"/>
                <w:kern w:val="2"/>
              </w:rPr>
              <w:t>Examinatrice</w:t>
            </w:r>
          </w:p>
        </w:tc>
        <w:tc>
          <w:tcPr>
            <w:tcW w:w="762" w:type="dxa"/>
          </w:tcPr>
          <w:p w14:paraId="271D26DE"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Mme</w:t>
            </w:r>
          </w:p>
        </w:tc>
        <w:tc>
          <w:tcPr>
            <w:tcW w:w="3560" w:type="dxa"/>
          </w:tcPr>
          <w:p w14:paraId="2468CE12"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FEDOUL F</w:t>
            </w:r>
          </w:p>
        </w:tc>
        <w:tc>
          <w:tcPr>
            <w:tcW w:w="931" w:type="dxa"/>
          </w:tcPr>
          <w:p w14:paraId="63B63D96"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MAB</w:t>
            </w:r>
          </w:p>
        </w:tc>
        <w:tc>
          <w:tcPr>
            <w:tcW w:w="2944" w:type="dxa"/>
          </w:tcPr>
          <w:p w14:paraId="61659468" w14:textId="77777777" w:rsidR="00B611D1" w:rsidRDefault="00FB7689">
            <w:pPr>
              <w:spacing w:after="200" w:line="276" w:lineRule="auto"/>
              <w:rPr>
                <w:rFonts w:ascii="Calisto MT" w:hAnsi="Calisto MT" w:cs="Arial"/>
                <w:color w:val="000000" w:themeColor="text1"/>
                <w:kern w:val="2"/>
              </w:rPr>
            </w:pPr>
            <w:r>
              <w:rPr>
                <w:rFonts w:ascii="Calisto MT" w:hAnsi="Calisto MT" w:cs="Arial" w:hint="eastAsia"/>
                <w:color w:val="000000" w:themeColor="text1"/>
                <w:kern w:val="2"/>
              </w:rPr>
              <w:t>U. Khemis Miliana</w:t>
            </w:r>
          </w:p>
        </w:tc>
      </w:tr>
    </w:tbl>
    <w:p w14:paraId="142E1BF0" w14:textId="77777777" w:rsidR="00B611D1" w:rsidRDefault="00B611D1"/>
    <w:p w14:paraId="47F294B6" w14:textId="77777777" w:rsidR="00B611D1" w:rsidRDefault="00B611D1">
      <w:pPr>
        <w:bidi/>
        <w:spacing w:line="0" w:lineRule="atLeast"/>
        <w:ind w:right="-13"/>
        <w:jc w:val="center"/>
        <w:rPr>
          <w:sz w:val="23"/>
        </w:rPr>
      </w:pPr>
    </w:p>
    <w:p w14:paraId="403FF1BE" w14:textId="77777777" w:rsidR="00B611D1" w:rsidRDefault="00FB7689">
      <w:pPr>
        <w:pStyle w:val="Pieddepage"/>
        <w:tabs>
          <w:tab w:val="clear" w:pos="4536"/>
          <w:tab w:val="clear" w:pos="9072"/>
          <w:tab w:val="left" w:pos="5228"/>
        </w:tabs>
        <w:jc w:val="center"/>
        <w:rPr>
          <w:rFonts w:ascii="Times New Roman" w:hAnsi="Times New Roman" w:cs="Times New Roman"/>
          <w:lang w:val="fr-FR"/>
        </w:rPr>
        <w:sectPr w:rsidR="00B611D1">
          <w:headerReference w:type="default" r:id="rId11"/>
          <w:footerReference w:type="even" r:id="rId12"/>
          <w:footerReference w:type="default" r:id="rId13"/>
          <w:pgSz w:w="11910" w:h="16840"/>
          <w:pgMar w:top="1720" w:right="1360" w:bottom="280" w:left="1260" w:header="1428" w:footer="0" w:gutter="0"/>
          <w:pgBorders w:display="firstPage" w:offsetFrom="page">
            <w:top w:val="single" w:sz="4" w:space="24" w:color="auto"/>
            <w:left w:val="single" w:sz="4" w:space="24" w:color="auto"/>
            <w:bottom w:val="single" w:sz="4" w:space="24" w:color="auto"/>
            <w:right w:val="single" w:sz="4" w:space="24" w:color="auto"/>
          </w:pgBorders>
          <w:cols w:space="720"/>
        </w:sectPr>
      </w:pPr>
      <w:r>
        <w:rPr>
          <w:rFonts w:ascii="Times New Roman" w:hAnsi="Times New Roman" w:cs="Times New Roman"/>
          <w:b/>
          <w:bCs/>
          <w:lang w:val="fr-FR"/>
        </w:rPr>
        <w:t xml:space="preserve">Année universitaire : </w:t>
      </w:r>
      <w:r>
        <w:rPr>
          <w:rFonts w:ascii="Times New Roman" w:hAnsi="Times New Roman" w:cs="Times New Roman"/>
          <w:lang w:val="fr-FR"/>
        </w:rPr>
        <w:t>2024/202</w:t>
      </w:r>
      <w:bookmarkStart w:id="4" w:name="page2"/>
      <w:bookmarkEnd w:id="4"/>
      <w:r>
        <w:rPr>
          <w:rFonts w:ascii="Times New Roman" w:hAnsi="Times New Roman" w:cs="Times New Roman"/>
          <w:lang w:val="fr-FR"/>
        </w:rPr>
        <w:t>5</w:t>
      </w:r>
    </w:p>
    <w:p w14:paraId="7029E7E1" w14:textId="77777777" w:rsidR="00B611D1" w:rsidRDefault="00B611D1">
      <w:pPr>
        <w:spacing w:line="360" w:lineRule="auto"/>
        <w:rPr>
          <w:lang w:val="fr-FR"/>
        </w:rPr>
      </w:pPr>
    </w:p>
    <w:p w14:paraId="12B1851F" w14:textId="77777777" w:rsidR="00B611D1" w:rsidRDefault="00FB7689">
      <w:pPr>
        <w:spacing w:line="360" w:lineRule="auto"/>
        <w:jc w:val="center"/>
        <w:rPr>
          <w:lang w:val="fr-FR"/>
        </w:rPr>
      </w:pPr>
      <w:r>
        <w:rPr>
          <w:lang w:val="fr-FR"/>
        </w:rPr>
        <w:t>Avant toute chose, je remercie Dieu le Tout-Puissant avoir donné le courage, la volonté et la patience de mener à terme ce travail</w:t>
      </w:r>
    </w:p>
    <w:p w14:paraId="3F4CBCC5" w14:textId="77777777" w:rsidR="00B611D1" w:rsidRDefault="00B611D1">
      <w:pPr>
        <w:spacing w:line="360" w:lineRule="auto"/>
        <w:jc w:val="center"/>
        <w:rPr>
          <w:lang w:val="fr-FR"/>
        </w:rPr>
      </w:pPr>
    </w:p>
    <w:p w14:paraId="7DF2A87B" w14:textId="77777777" w:rsidR="00B611D1" w:rsidRDefault="00FB7689">
      <w:pPr>
        <w:spacing w:line="360" w:lineRule="auto"/>
        <w:jc w:val="center"/>
        <w:rPr>
          <w:lang w:val="fr-FR"/>
        </w:rPr>
      </w:pPr>
      <w:r>
        <w:rPr>
          <w:lang w:val="fr-FR"/>
        </w:rPr>
        <w:t xml:space="preserve">Je tiens à exprimer ma profonde gratitude à </w:t>
      </w:r>
      <w:r>
        <w:rPr>
          <w:b/>
          <w:bCs/>
          <w:lang w:val="fr-FR"/>
        </w:rPr>
        <w:t>Dr. Saadi Wiam</w:t>
      </w:r>
      <w:r>
        <w:rPr>
          <w:lang w:val="fr-FR"/>
        </w:rPr>
        <w:t xml:space="preserve">, pour son encadrement précieux, ses conseils éclairés et sa bienveillance tout au long de ce travail. Je remercie également </w:t>
      </w:r>
      <w:r>
        <w:rPr>
          <w:b/>
          <w:bCs/>
          <w:lang w:val="fr-FR"/>
        </w:rPr>
        <w:t>Dr. Fatmi Ahlam</w:t>
      </w:r>
      <w:r>
        <w:rPr>
          <w:lang w:val="fr-FR"/>
        </w:rPr>
        <w:t>, pour son accompagnement, sa disponibilité et son soutien.</w:t>
      </w:r>
    </w:p>
    <w:p w14:paraId="61366B7F" w14:textId="77777777" w:rsidR="00B611D1" w:rsidRDefault="00B611D1">
      <w:pPr>
        <w:spacing w:line="360" w:lineRule="auto"/>
        <w:jc w:val="center"/>
        <w:rPr>
          <w:lang w:val="fr-FR"/>
        </w:rPr>
      </w:pPr>
    </w:p>
    <w:p w14:paraId="7FC6C7DE" w14:textId="77777777" w:rsidR="00B611D1" w:rsidRDefault="00FB7689">
      <w:pPr>
        <w:spacing w:line="360" w:lineRule="auto"/>
        <w:jc w:val="center"/>
        <w:rPr>
          <w:lang w:val="fr-FR"/>
        </w:rPr>
      </w:pPr>
      <w:r>
        <w:rPr>
          <w:lang w:val="fr-FR"/>
        </w:rPr>
        <w:t xml:space="preserve">Je souhaite adresser mes sincères remerciements à </w:t>
      </w:r>
      <w:r>
        <w:rPr>
          <w:b/>
          <w:bCs/>
          <w:lang w:val="fr-FR"/>
        </w:rPr>
        <w:t>Dr</w:t>
      </w:r>
      <w:r>
        <w:rPr>
          <w:lang w:val="fr-FR"/>
        </w:rPr>
        <w:t>.</w:t>
      </w:r>
      <w:r>
        <w:rPr>
          <w:b/>
          <w:bCs/>
          <w:color w:val="000000" w:themeColor="text1"/>
          <w:kern w:val="2"/>
          <w:lang w:val="fr-FR"/>
        </w:rPr>
        <w:t>BELAABED B</w:t>
      </w:r>
      <w:r>
        <w:rPr>
          <w:lang w:val="fr-FR"/>
        </w:rPr>
        <w:t xml:space="preserve">, ainsi qu’à </w:t>
      </w:r>
      <w:r>
        <w:rPr>
          <w:b/>
          <w:bCs/>
          <w:lang w:val="fr-FR"/>
        </w:rPr>
        <w:t xml:space="preserve">Dr </w:t>
      </w:r>
      <w:r>
        <w:rPr>
          <w:b/>
          <w:bCs/>
          <w:color w:val="000000" w:themeColor="text1"/>
          <w:kern w:val="2"/>
          <w:lang w:val="fr-FR"/>
        </w:rPr>
        <w:t>FEDOUL F</w:t>
      </w:r>
      <w:r>
        <w:rPr>
          <w:lang w:val="fr-FR"/>
        </w:rPr>
        <w:t>, pour avoir accepté d’évaluer ce travail, et pour l’intérêt qu’elles y ont porté.</w:t>
      </w:r>
    </w:p>
    <w:p w14:paraId="07EE7C99" w14:textId="77777777" w:rsidR="00B611D1" w:rsidRDefault="00B611D1">
      <w:pPr>
        <w:spacing w:line="360" w:lineRule="auto"/>
        <w:jc w:val="center"/>
        <w:rPr>
          <w:lang w:val="fr-FR"/>
        </w:rPr>
      </w:pPr>
    </w:p>
    <w:p w14:paraId="632EB140" w14:textId="77777777" w:rsidR="00B611D1" w:rsidRDefault="00FB7689">
      <w:pPr>
        <w:spacing w:line="360" w:lineRule="auto"/>
        <w:jc w:val="center"/>
        <w:rPr>
          <w:lang w:val="fr-FR"/>
        </w:rPr>
      </w:pPr>
      <w:r>
        <w:rPr>
          <w:lang w:val="fr-FR"/>
        </w:rPr>
        <w:t xml:space="preserve">Un remerciement tout particulier à </w:t>
      </w:r>
      <w:r>
        <w:rPr>
          <w:b/>
          <w:bCs/>
          <w:lang w:val="fr-FR"/>
        </w:rPr>
        <w:t>Dr Ghomari</w:t>
      </w:r>
      <w:r>
        <w:rPr>
          <w:lang w:val="fr-FR"/>
        </w:rPr>
        <w:t>, que je tiens à remercier du fond du cœur. Son soutien moral, sa gentillesse et ses encouragements m'ont profondément marqué et ont été d’un grand réconfort durant mon parcours.</w:t>
      </w:r>
    </w:p>
    <w:p w14:paraId="1152E2E2" w14:textId="77777777" w:rsidR="00B611D1" w:rsidRDefault="00B611D1">
      <w:pPr>
        <w:spacing w:line="360" w:lineRule="auto"/>
        <w:jc w:val="center"/>
        <w:rPr>
          <w:lang w:val="fr-FR"/>
        </w:rPr>
      </w:pPr>
    </w:p>
    <w:p w14:paraId="33D6AA88" w14:textId="77777777" w:rsidR="00B611D1" w:rsidRDefault="00FB7689">
      <w:pPr>
        <w:spacing w:line="360" w:lineRule="auto"/>
        <w:jc w:val="center"/>
        <w:rPr>
          <w:lang w:val="fr-FR"/>
        </w:rPr>
      </w:pPr>
      <w:r>
        <w:rPr>
          <w:lang w:val="fr-FR"/>
        </w:rPr>
        <w:t>Je n’oublie pas de remercier toute l’équipe du laboratoire dans lequel j’ai eu la chance de travailler. Leur accueil chaleureux, leur aide technique et leur esprit collaboratif ont grandement contribué à la réalisation de cette étude.</w:t>
      </w:r>
    </w:p>
    <w:p w14:paraId="4D58E03F" w14:textId="77777777" w:rsidR="00B611D1" w:rsidRDefault="00B611D1">
      <w:pPr>
        <w:spacing w:line="360" w:lineRule="auto"/>
        <w:jc w:val="center"/>
        <w:rPr>
          <w:lang w:val="fr-FR"/>
        </w:rPr>
      </w:pPr>
    </w:p>
    <w:p w14:paraId="659FBD9B" w14:textId="77777777" w:rsidR="00B611D1" w:rsidRDefault="00FB7689">
      <w:pPr>
        <w:spacing w:line="360" w:lineRule="auto"/>
        <w:jc w:val="center"/>
        <w:rPr>
          <w:lang w:val="fr-FR"/>
        </w:rPr>
        <w:sectPr w:rsidR="00B611D1">
          <w:headerReference w:type="default" r:id="rId14"/>
          <w:footerReference w:type="default" r:id="rId15"/>
          <w:pgSz w:w="11900" w:h="16840"/>
          <w:pgMar w:top="1740" w:right="900" w:bottom="1660" w:left="1180" w:header="1445" w:footer="1466" w:gutter="0"/>
          <w:cols w:space="720"/>
        </w:sectPr>
      </w:pPr>
      <w:r>
        <w:rPr>
          <w:lang w:val="fr-FR"/>
        </w:rPr>
        <w:t>Enfin, j’exprime toute ma reconnaissance à toutes les personnes qui, de près ou de loin, ont contribué à la réalisation de ce mémoire, par un mot, un geste ou un conseil. À vous tous, merci.</w:t>
      </w:r>
      <w:r>
        <w:rPr>
          <w:noProof/>
        </w:rPr>
        <mc:AlternateContent>
          <mc:Choice Requires="wps">
            <w:drawing>
              <wp:anchor distT="0" distB="0" distL="114300" distR="114300" simplePos="0" relativeHeight="251662336" behindDoc="1" locked="0" layoutInCell="1" allowOverlap="1" wp14:anchorId="10A91AE5" wp14:editId="42797DA3">
                <wp:simplePos x="0" y="0"/>
                <wp:positionH relativeFrom="page">
                  <wp:posOffset>2334260</wp:posOffset>
                </wp:positionH>
                <wp:positionV relativeFrom="page">
                  <wp:posOffset>860425</wp:posOffset>
                </wp:positionV>
                <wp:extent cx="3105150" cy="838200"/>
                <wp:effectExtent l="0" t="0" r="6350" b="0"/>
                <wp:wrapNone/>
                <wp:docPr id="213" name="Text Box 108"/>
                <wp:cNvGraphicFramePr/>
                <a:graphic xmlns:a="http://schemas.openxmlformats.org/drawingml/2006/main">
                  <a:graphicData uri="http://schemas.microsoft.com/office/word/2010/wordprocessingShape">
                    <wps:wsp>
                      <wps:cNvSpPr txBox="1"/>
                      <wps:spPr bwMode="auto">
                        <a:xfrm>
                          <a:off x="0" y="0"/>
                          <a:ext cx="3105150" cy="838200"/>
                        </a:xfrm>
                        <a:prstGeom prst="rect">
                          <a:avLst/>
                        </a:prstGeom>
                        <a:noFill/>
                        <a:ln>
                          <a:noFill/>
                        </a:ln>
                      </wps:spPr>
                      <wps:txbx>
                        <w:txbxContent>
                          <w:p w14:paraId="4C1182D5" w14:textId="77777777" w:rsidR="00B611D1" w:rsidRDefault="00FB7689">
                            <w:pPr>
                              <w:spacing w:before="9"/>
                              <w:ind w:left="20"/>
                              <w:jc w:val="center"/>
                              <w:rPr>
                                <w:b/>
                                <w:i/>
                                <w:sz w:val="44"/>
                                <w:szCs w:val="44"/>
                              </w:rPr>
                            </w:pPr>
                            <w:r>
                              <w:rPr>
                                <w:b/>
                                <w:i/>
                                <w:sz w:val="44"/>
                                <w:szCs w:val="44"/>
                              </w:rPr>
                              <w:t>Remerciement</w:t>
                            </w:r>
                          </w:p>
                          <w:p w14:paraId="56D50BE2" w14:textId="77777777" w:rsidR="00B611D1" w:rsidRDefault="00B611D1">
                            <w:pPr>
                              <w:spacing w:before="9"/>
                              <w:ind w:left="20"/>
                              <w:jc w:val="center"/>
                              <w:rPr>
                                <w:b/>
                                <w:i/>
                                <w:sz w:val="44"/>
                                <w:szCs w:val="44"/>
                              </w:rPr>
                            </w:pP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type w14:anchorId="10A91AE5" id="_x0000_t202" coordsize="21600,21600" o:spt="202" path="m,l,21600r21600,l21600,xe">
                <v:stroke joinstyle="miter"/>
                <v:path gradientshapeok="t" o:connecttype="rect"/>
              </v:shapetype>
              <v:shape id="Text Box 108" o:spid="_x0000_s1026" type="#_x0000_t202" style="position:absolute;left:0;text-align:left;margin-left:183.8pt;margin-top:67.75pt;width:244.5pt;height:66pt;z-index:-25165414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" filled="f" stroked="f">
                <v:textbox inset="0,0,0,0">
                  <w:txbxContent>
                    <w:p w14:paraId="4C1182D5" w14:textId="77777777" w:rsidR="00B611D1" w:rsidRDefault="00000000">
                      <w:pPr>
                        <w:spacing w:before="9"/>
                        <w:ind w:left="20"/>
                        <w:jc w:val="center"/>
                        <w:rPr>
                          <w:b/>
                          <w:i/>
                          <w:sz w:val="44"/>
                          <w:szCs w:val="44"/>
                        </w:rPr>
                      </w:pPr>
                      <w:r>
                        <w:rPr>
                          <w:b/>
                          <w:i/>
                          <w:sz w:val="44"/>
                          <w:szCs w:val="44"/>
                        </w:rPr>
                        <w:t>Remerciement</w:t>
                      </w:r>
                    </w:p>
                    <w:p w14:paraId="56D50BE2" w14:textId="77777777" w:rsidR="00B611D1" w:rsidRDefault="00B611D1">
                      <w:pPr>
                        <w:spacing w:before="9"/>
                        <w:ind w:left="20"/>
                        <w:jc w:val="center"/>
                        <w:rPr>
                          <w:b/>
                          <w:i/>
                          <w:sz w:val="44"/>
                          <w:szCs w:val="44"/>
                        </w:rPr>
                      </w:pPr>
                    </w:p>
                  </w:txbxContent>
                </v:textbox>
                <w10:wrap anchorx="page" anchory="page"/>
              </v:shape>
            </w:pict>
          </mc:Fallback>
        </mc:AlternateContent>
      </w:r>
    </w:p>
    <w:p w14:paraId="3C39D2A7" w14:textId="77777777" w:rsidR="00B611D1" w:rsidRDefault="00FB7689">
      <w:pPr>
        <w:tabs>
          <w:tab w:val="left" w:pos="3566"/>
        </w:tabs>
        <w:jc w:val="center"/>
        <w:rPr>
          <w:lang w:val="fr-FR"/>
        </w:rPr>
      </w:pPr>
      <w:r>
        <w:rPr>
          <w:lang w:val="fr-FR"/>
        </w:rPr>
        <w:lastRenderedPageBreak/>
        <w:t>Avant toute chose,</w:t>
      </w:r>
    </w:p>
    <w:p w14:paraId="1153275D" w14:textId="77777777" w:rsidR="00B611D1" w:rsidRDefault="00FB7689">
      <w:pPr>
        <w:tabs>
          <w:tab w:val="left" w:pos="3566"/>
        </w:tabs>
        <w:jc w:val="center"/>
        <w:rPr>
          <w:lang w:val="fr-FR"/>
        </w:rPr>
      </w:pPr>
      <w:r>
        <w:rPr>
          <w:lang w:val="fr-FR"/>
        </w:rPr>
        <w:t>Je rends grâce à Dieu, le Clément, le Miséricordieux,</w:t>
      </w:r>
    </w:p>
    <w:p w14:paraId="3E19D455" w14:textId="77777777" w:rsidR="00B611D1" w:rsidRDefault="00FB7689">
      <w:pPr>
        <w:tabs>
          <w:tab w:val="left" w:pos="3566"/>
        </w:tabs>
        <w:jc w:val="center"/>
        <w:rPr>
          <w:lang w:val="fr-FR"/>
        </w:rPr>
      </w:pPr>
      <w:r>
        <w:rPr>
          <w:lang w:val="fr-FR"/>
        </w:rPr>
        <w:t>Lui qui m’a accordé la force dans la fatigue, la lumière dans le doute et la patience dans l’épreuve.</w:t>
      </w:r>
    </w:p>
    <w:p w14:paraId="7FF38788" w14:textId="77777777" w:rsidR="00B611D1" w:rsidRDefault="00FB7689">
      <w:pPr>
        <w:tabs>
          <w:tab w:val="left" w:pos="3566"/>
        </w:tabs>
        <w:jc w:val="center"/>
        <w:rPr>
          <w:lang w:val="fr-FR"/>
        </w:rPr>
      </w:pPr>
      <w:r>
        <w:rPr>
          <w:lang w:val="fr-FR"/>
        </w:rPr>
        <w:t>Sans Sa volonté, rien n’aurait été possible.</w:t>
      </w:r>
    </w:p>
    <w:p w14:paraId="3CA377A0" w14:textId="77777777" w:rsidR="00B611D1" w:rsidRDefault="00B611D1">
      <w:pPr>
        <w:tabs>
          <w:tab w:val="left" w:pos="3566"/>
        </w:tabs>
        <w:spacing w:line="360" w:lineRule="auto"/>
        <w:jc w:val="center"/>
        <w:rPr>
          <w:lang w:val="fr-FR"/>
        </w:rPr>
      </w:pPr>
    </w:p>
    <w:p w14:paraId="6630FB7B" w14:textId="77777777" w:rsidR="00B611D1" w:rsidRDefault="00FB7689">
      <w:pPr>
        <w:tabs>
          <w:tab w:val="left" w:pos="3566"/>
        </w:tabs>
        <w:jc w:val="center"/>
        <w:rPr>
          <w:lang w:val="fr-FR"/>
        </w:rPr>
      </w:pPr>
      <w:r>
        <w:rPr>
          <w:lang w:val="fr-FR"/>
        </w:rPr>
        <w:t>À celle dont les prières me précédaient et dont le cœur battait au rythme de mes peines et de mes joies…</w:t>
      </w:r>
    </w:p>
    <w:p w14:paraId="002C8D08" w14:textId="77777777" w:rsidR="00B611D1" w:rsidRDefault="00FB7689">
      <w:pPr>
        <w:tabs>
          <w:tab w:val="left" w:pos="3566"/>
        </w:tabs>
        <w:jc w:val="center"/>
        <w:rPr>
          <w:lang w:val="fr-FR"/>
        </w:rPr>
      </w:pPr>
      <w:r>
        <w:rPr>
          <w:lang w:val="fr-FR"/>
        </w:rPr>
        <w:t>À ma mère, mon amie, mon abri, mon exemple de dévouement et d’amour inconditionnel.</w:t>
      </w:r>
    </w:p>
    <w:p w14:paraId="482B1C3C" w14:textId="77777777" w:rsidR="00B611D1" w:rsidRDefault="00FB7689">
      <w:pPr>
        <w:tabs>
          <w:tab w:val="left" w:pos="3566"/>
        </w:tabs>
        <w:jc w:val="center"/>
        <w:rPr>
          <w:lang w:val="fr-FR"/>
        </w:rPr>
      </w:pPr>
      <w:r>
        <w:rPr>
          <w:lang w:val="fr-FR"/>
        </w:rPr>
        <w:t>Que Dieu te protège, te garde et m’accorde encore de longues années à tes côtés.</w:t>
      </w:r>
    </w:p>
    <w:p w14:paraId="38E709B5" w14:textId="77777777" w:rsidR="00B611D1" w:rsidRDefault="00B611D1">
      <w:pPr>
        <w:tabs>
          <w:tab w:val="left" w:pos="3566"/>
        </w:tabs>
        <w:jc w:val="center"/>
        <w:rPr>
          <w:lang w:val="fr-FR"/>
        </w:rPr>
      </w:pPr>
    </w:p>
    <w:p w14:paraId="126C39CD" w14:textId="77777777" w:rsidR="00B611D1" w:rsidRDefault="00FB7689">
      <w:pPr>
        <w:tabs>
          <w:tab w:val="left" w:pos="3566"/>
        </w:tabs>
        <w:jc w:val="center"/>
        <w:rPr>
          <w:lang w:val="fr-FR"/>
        </w:rPr>
      </w:pPr>
      <w:r>
        <w:rPr>
          <w:lang w:val="fr-FR"/>
        </w:rPr>
        <w:t>À mon père,</w:t>
      </w:r>
    </w:p>
    <w:p w14:paraId="5CF2272A" w14:textId="77777777" w:rsidR="00B611D1" w:rsidRDefault="00FB7689">
      <w:pPr>
        <w:tabs>
          <w:tab w:val="left" w:pos="3566"/>
        </w:tabs>
        <w:jc w:val="center"/>
        <w:rPr>
          <w:lang w:val="fr-FR"/>
        </w:rPr>
      </w:pPr>
      <w:r>
        <w:rPr>
          <w:lang w:val="fr-FR"/>
        </w:rPr>
        <w:t>Celui qui a été mon véritable soutien à chaque étape de ce travail,</w:t>
      </w:r>
    </w:p>
    <w:p w14:paraId="50D57137" w14:textId="77777777" w:rsidR="00B611D1" w:rsidRDefault="00FB7689">
      <w:pPr>
        <w:tabs>
          <w:tab w:val="left" w:pos="3566"/>
        </w:tabs>
        <w:jc w:val="center"/>
        <w:rPr>
          <w:lang w:val="fr-FR"/>
        </w:rPr>
      </w:pPr>
      <w:r>
        <w:rPr>
          <w:lang w:val="fr-FR"/>
        </w:rPr>
        <w:t>Celui qui n’a jamais hésité à répondre à mes besoins, quels qu’ils soient et à tout moment.</w:t>
      </w:r>
    </w:p>
    <w:p w14:paraId="27652798" w14:textId="77777777" w:rsidR="00B611D1" w:rsidRDefault="00FB7689">
      <w:pPr>
        <w:tabs>
          <w:tab w:val="left" w:pos="3566"/>
        </w:tabs>
        <w:jc w:val="center"/>
        <w:rPr>
          <w:lang w:val="fr-FR"/>
        </w:rPr>
      </w:pPr>
      <w:r>
        <w:rPr>
          <w:lang w:val="fr-FR"/>
        </w:rPr>
        <w:t>Tu as été mon refuge lorsque le monde devenait étroit,</w:t>
      </w:r>
    </w:p>
    <w:p w14:paraId="6EACB92C" w14:textId="77777777" w:rsidR="00B611D1" w:rsidRDefault="00FB7689">
      <w:pPr>
        <w:tabs>
          <w:tab w:val="left" w:pos="3566"/>
        </w:tabs>
        <w:jc w:val="center"/>
        <w:rPr>
          <w:lang w:val="fr-FR"/>
        </w:rPr>
      </w:pPr>
      <w:r>
        <w:rPr>
          <w:lang w:val="fr-FR"/>
        </w:rPr>
        <w:t>et la main tendue chaque fois que j’avais besoin d’aide.</w:t>
      </w:r>
    </w:p>
    <w:p w14:paraId="7348CDB5" w14:textId="77777777" w:rsidR="00B611D1" w:rsidRDefault="00FB7689">
      <w:pPr>
        <w:tabs>
          <w:tab w:val="left" w:pos="3566"/>
        </w:tabs>
        <w:jc w:val="center"/>
        <w:rPr>
          <w:lang w:val="fr-FR"/>
        </w:rPr>
      </w:pPr>
      <w:r>
        <w:rPr>
          <w:lang w:val="fr-FR"/>
        </w:rPr>
        <w:t>Je prie Dieu de te protéger et de te récompenser pour tout ce que tu fais pour moi.</w:t>
      </w:r>
    </w:p>
    <w:p w14:paraId="4B089B5B" w14:textId="77777777" w:rsidR="00B611D1" w:rsidRDefault="00B611D1">
      <w:pPr>
        <w:tabs>
          <w:tab w:val="left" w:pos="3566"/>
        </w:tabs>
        <w:jc w:val="center"/>
        <w:rPr>
          <w:lang w:val="fr-FR"/>
        </w:rPr>
      </w:pPr>
    </w:p>
    <w:p w14:paraId="243CBC9D" w14:textId="77777777" w:rsidR="00B611D1" w:rsidRDefault="00FB7689">
      <w:pPr>
        <w:tabs>
          <w:tab w:val="left" w:pos="3566"/>
        </w:tabs>
        <w:jc w:val="center"/>
        <w:rPr>
          <w:lang w:val="fr-FR"/>
        </w:rPr>
      </w:pPr>
      <w:r>
        <w:rPr>
          <w:lang w:val="fr-FR"/>
        </w:rPr>
        <w:t>À ma sœur,</w:t>
      </w:r>
    </w:p>
    <w:p w14:paraId="491CA29C" w14:textId="77777777" w:rsidR="00B611D1" w:rsidRDefault="00FB7689">
      <w:pPr>
        <w:tabs>
          <w:tab w:val="left" w:pos="3566"/>
        </w:tabs>
        <w:jc w:val="center"/>
        <w:rPr>
          <w:lang w:val="fr-FR"/>
        </w:rPr>
      </w:pPr>
      <w:r>
        <w:rPr>
          <w:lang w:val="fr-FR"/>
        </w:rPr>
        <w:t>Celle qui a marché à mes côtés, sans que son nom n’apparaisse sur la couverture de ce mémoire, mais dont l’empreinte est partout entre ces pages…</w:t>
      </w:r>
    </w:p>
    <w:p w14:paraId="6A9710C3" w14:textId="77777777" w:rsidR="00B611D1" w:rsidRDefault="00FB7689">
      <w:pPr>
        <w:tabs>
          <w:tab w:val="left" w:pos="3566"/>
        </w:tabs>
        <w:jc w:val="center"/>
        <w:rPr>
          <w:lang w:val="fr-FR"/>
        </w:rPr>
      </w:pPr>
      <w:r>
        <w:rPr>
          <w:lang w:val="fr-FR"/>
        </w:rPr>
        <w:t>Tu as été mon binôme, ma force dans la fatigue et ma lumière dans l’incertitude.</w:t>
      </w:r>
    </w:p>
    <w:p w14:paraId="406AFDBA" w14:textId="77777777" w:rsidR="00B611D1" w:rsidRDefault="00FB7689">
      <w:pPr>
        <w:tabs>
          <w:tab w:val="left" w:pos="3566"/>
        </w:tabs>
        <w:jc w:val="center"/>
        <w:rPr>
          <w:lang w:val="fr-FR"/>
        </w:rPr>
      </w:pPr>
      <w:r>
        <w:rPr>
          <w:lang w:val="fr-FR"/>
        </w:rPr>
        <w:t>Merci pour ta présence, ton soutien, ta foi inébranlable en moi.</w:t>
      </w:r>
    </w:p>
    <w:p w14:paraId="6394B032" w14:textId="77777777" w:rsidR="00B611D1" w:rsidRDefault="00FB7689">
      <w:pPr>
        <w:tabs>
          <w:tab w:val="left" w:pos="3566"/>
        </w:tabs>
        <w:jc w:val="center"/>
        <w:rPr>
          <w:lang w:val="fr-FR"/>
        </w:rPr>
      </w:pPr>
      <w:r>
        <w:rPr>
          <w:lang w:val="fr-FR"/>
        </w:rPr>
        <w:t>Je prie Dieu de t’accorder un bonheur que nul œil n’a vu, qu’aucune oreille n’a entendu, et qui n’a jamais effleuré le cœur d’un être humain.</w:t>
      </w:r>
    </w:p>
    <w:p w14:paraId="5A385005" w14:textId="77777777" w:rsidR="00B611D1" w:rsidRDefault="00B611D1">
      <w:pPr>
        <w:tabs>
          <w:tab w:val="left" w:pos="3566"/>
        </w:tabs>
        <w:jc w:val="center"/>
        <w:rPr>
          <w:lang w:val="fr-FR"/>
        </w:rPr>
      </w:pPr>
    </w:p>
    <w:p w14:paraId="3D62B233" w14:textId="77777777" w:rsidR="00B611D1" w:rsidRDefault="00FB7689">
      <w:pPr>
        <w:tabs>
          <w:tab w:val="left" w:pos="3566"/>
        </w:tabs>
        <w:jc w:val="center"/>
        <w:rPr>
          <w:lang w:val="fr-FR"/>
        </w:rPr>
      </w:pPr>
      <w:r>
        <w:rPr>
          <w:lang w:val="fr-FR"/>
        </w:rPr>
        <w:t>À mes chères sœurs : Asmae, Rihab, Hadjer et Nour</w:t>
      </w:r>
    </w:p>
    <w:p w14:paraId="0E5B14F7" w14:textId="77777777" w:rsidR="00B611D1" w:rsidRDefault="00FB7689">
      <w:pPr>
        <w:tabs>
          <w:tab w:val="left" w:pos="3566"/>
        </w:tabs>
        <w:jc w:val="center"/>
        <w:rPr>
          <w:lang w:val="fr-FR"/>
        </w:rPr>
      </w:pPr>
      <w:r>
        <w:rPr>
          <w:lang w:val="fr-FR"/>
        </w:rPr>
        <w:t>Vous êtes l’incarnation même de la fraternité.</w:t>
      </w:r>
    </w:p>
    <w:p w14:paraId="573FF151" w14:textId="77777777" w:rsidR="00B611D1" w:rsidRDefault="00FB7689">
      <w:pPr>
        <w:tabs>
          <w:tab w:val="left" w:pos="3566"/>
        </w:tabs>
        <w:jc w:val="center"/>
        <w:rPr>
          <w:lang w:val="fr-FR"/>
        </w:rPr>
      </w:pPr>
      <w:r>
        <w:rPr>
          <w:lang w:val="fr-FR"/>
        </w:rPr>
        <w:t>Toujours, vous avez été ma source de réconfort, mon élan pour avancer.</w:t>
      </w:r>
    </w:p>
    <w:p w14:paraId="4B1982FF" w14:textId="77777777" w:rsidR="00B611D1" w:rsidRDefault="00FB7689">
      <w:pPr>
        <w:tabs>
          <w:tab w:val="left" w:pos="3566"/>
        </w:tabs>
        <w:jc w:val="center"/>
        <w:rPr>
          <w:lang w:val="fr-FR"/>
        </w:rPr>
      </w:pPr>
      <w:r>
        <w:rPr>
          <w:lang w:val="fr-FR"/>
        </w:rPr>
        <w:t>Merci d’être dans ma vie, car avec vous, tout devient plus beau.</w:t>
      </w:r>
    </w:p>
    <w:p w14:paraId="2CC350EC" w14:textId="77777777" w:rsidR="00B611D1" w:rsidRDefault="00B611D1">
      <w:pPr>
        <w:tabs>
          <w:tab w:val="left" w:pos="3566"/>
        </w:tabs>
        <w:spacing w:line="360" w:lineRule="auto"/>
        <w:jc w:val="center"/>
        <w:rPr>
          <w:lang w:val="fr-FR"/>
        </w:rPr>
      </w:pPr>
    </w:p>
    <w:p w14:paraId="5C0430DE" w14:textId="77777777" w:rsidR="00B611D1" w:rsidRDefault="00FB7689">
      <w:pPr>
        <w:tabs>
          <w:tab w:val="left" w:pos="3566"/>
        </w:tabs>
        <w:jc w:val="center"/>
        <w:rPr>
          <w:lang w:val="fr-FR"/>
        </w:rPr>
      </w:pPr>
      <w:r>
        <w:rPr>
          <w:lang w:val="fr-FR"/>
        </w:rPr>
        <w:t>À mon encadrante Mme Saadi Wiam,</w:t>
      </w:r>
    </w:p>
    <w:p w14:paraId="27D3AB43" w14:textId="77777777" w:rsidR="00B611D1" w:rsidRDefault="00FB7689">
      <w:pPr>
        <w:tabs>
          <w:tab w:val="left" w:pos="3566"/>
        </w:tabs>
        <w:jc w:val="center"/>
        <w:rPr>
          <w:lang w:val="fr-FR"/>
        </w:rPr>
      </w:pPr>
      <w:r>
        <w:rPr>
          <w:lang w:val="fr-FR"/>
        </w:rPr>
        <w:t>Je vous adresse ma profonde gratitude pour votre accompagnement généreux, Pour vos conseils éclairés, votre confiance et votre patience.</w:t>
      </w:r>
    </w:p>
    <w:p w14:paraId="7E5DF16B" w14:textId="77777777" w:rsidR="00B611D1" w:rsidRDefault="00B611D1">
      <w:pPr>
        <w:tabs>
          <w:tab w:val="left" w:pos="3566"/>
        </w:tabs>
        <w:spacing w:line="360" w:lineRule="auto"/>
        <w:jc w:val="center"/>
        <w:rPr>
          <w:lang w:val="fr-FR"/>
        </w:rPr>
      </w:pPr>
    </w:p>
    <w:p w14:paraId="75038C08" w14:textId="77777777" w:rsidR="00B611D1" w:rsidRDefault="00FB7689">
      <w:pPr>
        <w:tabs>
          <w:tab w:val="left" w:pos="3566"/>
        </w:tabs>
        <w:jc w:val="center"/>
        <w:rPr>
          <w:lang w:val="fr-FR"/>
        </w:rPr>
      </w:pPr>
      <w:r>
        <w:rPr>
          <w:lang w:val="fr-FR"/>
        </w:rPr>
        <w:t>Enfin,</w:t>
      </w:r>
    </w:p>
    <w:p w14:paraId="241FF9FB" w14:textId="77777777" w:rsidR="00B611D1" w:rsidRDefault="00FB7689">
      <w:pPr>
        <w:tabs>
          <w:tab w:val="left" w:pos="3566"/>
        </w:tabs>
        <w:jc w:val="center"/>
        <w:rPr>
          <w:lang w:val="fr-FR"/>
        </w:rPr>
      </w:pPr>
      <w:r>
        <w:rPr>
          <w:lang w:val="fr-FR"/>
        </w:rPr>
        <w:t>À toute personne, de près ou de loin, qui m’a soutenue</w:t>
      </w:r>
    </w:p>
    <w:p w14:paraId="79C5DB63" w14:textId="77777777" w:rsidR="00B611D1" w:rsidRDefault="00FB7689">
      <w:pPr>
        <w:tabs>
          <w:tab w:val="left" w:pos="3566"/>
        </w:tabs>
        <w:jc w:val="center"/>
        <w:rPr>
          <w:lang w:val="fr-FR"/>
        </w:rPr>
      </w:pPr>
      <w:r>
        <w:rPr>
          <w:lang w:val="fr-FR"/>
        </w:rPr>
        <w:t>Je vous dis merci, un merci que les mots ne peuvent contenir.</w:t>
      </w:r>
      <w:r>
        <w:rPr>
          <w:noProof/>
        </w:rPr>
        <mc:AlternateContent>
          <mc:Choice Requires="wps">
            <w:drawing>
              <wp:anchor distT="0" distB="0" distL="114300" distR="114300" simplePos="0" relativeHeight="251661312" behindDoc="1" locked="0" layoutInCell="1" allowOverlap="1" wp14:anchorId="49D5A3C4" wp14:editId="23F86FF8">
                <wp:simplePos x="0" y="0"/>
                <wp:positionH relativeFrom="page">
                  <wp:posOffset>2533650</wp:posOffset>
                </wp:positionH>
                <wp:positionV relativeFrom="page">
                  <wp:posOffset>628650</wp:posOffset>
                </wp:positionV>
                <wp:extent cx="2305050" cy="476250"/>
                <wp:effectExtent l="0" t="0" r="6350" b="6350"/>
                <wp:wrapNone/>
                <wp:docPr id="212" name="Text Box 107"/>
                <wp:cNvGraphicFramePr/>
                <a:graphic xmlns:a="http://schemas.openxmlformats.org/drawingml/2006/main">
                  <a:graphicData uri="http://schemas.microsoft.com/office/word/2010/wordprocessingShape">
                    <wps:wsp>
                      <wps:cNvSpPr txBox="1"/>
                      <wps:spPr bwMode="auto">
                        <a:xfrm>
                          <a:off x="0" y="0"/>
                          <a:ext cx="2305050" cy="476250"/>
                        </a:xfrm>
                        <a:prstGeom prst="rect">
                          <a:avLst/>
                        </a:prstGeom>
                        <a:noFill/>
                        <a:ln>
                          <a:noFill/>
                        </a:ln>
                      </wps:spPr>
                      <wps:txbx>
                        <w:txbxContent>
                          <w:p w14:paraId="14E91689" w14:textId="77777777" w:rsidR="00B611D1" w:rsidRDefault="00FB7689">
                            <w:pPr>
                              <w:spacing w:before="9"/>
                              <w:ind w:left="20"/>
                              <w:jc w:val="center"/>
                              <w:rPr>
                                <w:b/>
                                <w:i/>
                                <w:sz w:val="44"/>
                                <w:szCs w:val="44"/>
                              </w:rPr>
                            </w:pPr>
                            <w:r>
                              <w:rPr>
                                <w:b/>
                                <w:i/>
                                <w:sz w:val="44"/>
                                <w:szCs w:val="44"/>
                              </w:rPr>
                              <w:t>Dédicace</w:t>
                            </w: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 w14:anchorId="49D5A3C4" id="Text Box 107" o:spid="_x0000_s1027" type="#_x0000_t202" style="position:absolute;left:0;text-align:left;margin-left:199.5pt;margin-top:49.5pt;width:181.5pt;height:37.5pt;z-index:-25165516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" filled="f" stroked="f">
                <v:textbox inset="0,0,0,0">
                  <w:txbxContent>
                    <w:p w14:paraId="14E91689" w14:textId="77777777" w:rsidR="00B611D1" w:rsidRDefault="00000000">
                      <w:pPr>
                        <w:spacing w:before="9"/>
                        <w:ind w:left="20"/>
                        <w:jc w:val="center"/>
                        <w:rPr>
                          <w:b/>
                          <w:i/>
                          <w:sz w:val="44"/>
                          <w:szCs w:val="44"/>
                        </w:rPr>
                      </w:pPr>
                      <w:r>
                        <w:rPr>
                          <w:b/>
                          <w:i/>
                          <w:sz w:val="44"/>
                          <w:szCs w:val="44"/>
                        </w:rPr>
                        <w:t>Dédicace</w:t>
                      </w:r>
                    </w:p>
                  </w:txbxContent>
                </v:textbox>
                <w10:wrap anchorx="page" anchory="page"/>
              </v:shape>
            </w:pict>
          </mc:Fallback>
        </mc:AlternateContent>
      </w:r>
    </w:p>
    <w:p w14:paraId="367E5090" w14:textId="77777777" w:rsidR="00B611D1" w:rsidRDefault="00FB7689">
      <w:pPr>
        <w:tabs>
          <w:tab w:val="left" w:pos="3566"/>
        </w:tabs>
        <w:rPr>
          <w:lang w:val="fr-FR"/>
        </w:rPr>
        <w:sectPr w:rsidR="00B611D1">
          <w:headerReference w:type="default" r:id="rId16"/>
          <w:footerReference w:type="default" r:id="rId17"/>
          <w:pgSz w:w="11900" w:h="16840"/>
          <w:pgMar w:top="1920" w:right="900" w:bottom="1760" w:left="1180" w:header="1622" w:footer="1565" w:gutter="0"/>
          <w:cols w:space="720"/>
        </w:sectPr>
      </w:pPr>
      <w:r>
        <w:rPr>
          <w:lang w:val="fr-FR"/>
        </w:rPr>
        <w:tab/>
      </w:r>
    </w:p>
    <w:p w14:paraId="26E577DC" w14:textId="77777777" w:rsidR="00B611D1" w:rsidRDefault="00FB7689">
      <w:pPr>
        <w:pStyle w:val="Corpsdetexte"/>
        <w:spacing w:before="8"/>
        <w:rPr>
          <w:lang w:val="fr-FR" w:eastAsia="zh-CN"/>
        </w:rPr>
      </w:pPr>
      <w:r>
        <w:rPr>
          <w:noProof/>
        </w:rPr>
        <mc:AlternateContent>
          <mc:Choice Requires="wps">
            <w:drawing>
              <wp:anchor distT="0" distB="0" distL="114300" distR="114300" simplePos="0" relativeHeight="251663360" behindDoc="1" locked="0" layoutInCell="1" allowOverlap="1" wp14:anchorId="0CEC47CD" wp14:editId="5F8B3A9E">
                <wp:simplePos x="0" y="0"/>
                <wp:positionH relativeFrom="page">
                  <wp:posOffset>3266440</wp:posOffset>
                </wp:positionH>
                <wp:positionV relativeFrom="page">
                  <wp:posOffset>792480</wp:posOffset>
                </wp:positionV>
                <wp:extent cx="964565" cy="222885"/>
                <wp:effectExtent l="0" t="0" r="1270" b="5715"/>
                <wp:wrapNone/>
                <wp:docPr id="210" name="Text Box 105"/>
                <wp:cNvGraphicFramePr/>
                <a:graphic xmlns:a="http://schemas.openxmlformats.org/drawingml/2006/main">
                  <a:graphicData uri="http://schemas.microsoft.com/office/word/2010/wordprocessingShape">
                    <wps:wsp>
                      <wps:cNvSpPr txBox="1"/>
                      <wps:spPr bwMode="auto">
                        <a:xfrm>
                          <a:off x="0" y="0"/>
                          <a:ext cx="964504" cy="222885"/>
                        </a:xfrm>
                        <a:prstGeom prst="rect">
                          <a:avLst/>
                        </a:prstGeom>
                        <a:noFill/>
                        <a:ln>
                          <a:noFill/>
                        </a:ln>
                      </wps:spPr>
                      <wps:txbx>
                        <w:txbxContent>
                          <w:p w14:paraId="535287B5" w14:textId="77777777" w:rsidR="00B611D1" w:rsidRDefault="00FB7689">
                            <w:pPr>
                              <w:spacing w:before="9"/>
                              <w:ind w:left="20"/>
                              <w:jc w:val="center"/>
                              <w:rPr>
                                <w:b/>
                                <w:sz w:val="32"/>
                                <w:szCs w:val="32"/>
                              </w:rPr>
                            </w:pPr>
                            <w:r>
                              <w:rPr>
                                <w:b/>
                                <w:sz w:val="32"/>
                                <w:szCs w:val="32"/>
                              </w:rPr>
                              <w:t>Résumé</w:t>
                            </w: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 w14:anchorId="0CEC47CD" id="Text Box 105" o:spid="_x0000_s1028" type="#_x0000_t202" style="position:absolute;margin-left:257.2pt;margin-top:62.4pt;width:75.95pt;height:17.55pt;z-index:-25165312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" filled="f" stroked="f">
                <v:textbox inset="0,0,0,0">
                  <w:txbxContent>
                    <w:p w14:paraId="535287B5" w14:textId="77777777" w:rsidR="00B611D1" w:rsidRDefault="00000000">
                      <w:pPr>
                        <w:spacing w:before="9"/>
                        <w:ind w:left="20"/>
                        <w:jc w:val="center"/>
                        <w:rPr>
                          <w:b/>
                          <w:sz w:val="32"/>
                          <w:szCs w:val="32"/>
                        </w:rPr>
                      </w:pPr>
                      <w:r>
                        <w:rPr>
                          <w:b/>
                          <w:sz w:val="32"/>
                          <w:szCs w:val="32"/>
                        </w:rPr>
                        <w:t>Résumé</w:t>
                      </w:r>
                    </w:p>
                  </w:txbxContent>
                </v:textbox>
                <w10:wrap anchorx="page" anchory="page"/>
              </v:shape>
            </w:pict>
          </mc:Fallback>
        </mc:AlternateContent>
      </w:r>
    </w:p>
    <w:p w14:paraId="4C33FAB4" w14:textId="77777777" w:rsidR="00B611D1" w:rsidRDefault="00B611D1">
      <w:pPr>
        <w:pStyle w:val="Corpsdetexte"/>
        <w:spacing w:before="8" w:line="360" w:lineRule="auto"/>
        <w:jc w:val="both"/>
        <w:rPr>
          <w:lang w:val="fr-FR" w:eastAsia="zh-CN"/>
        </w:rPr>
      </w:pPr>
    </w:p>
    <w:p w14:paraId="0125A5AF" w14:textId="77777777" w:rsidR="00B611D1" w:rsidRDefault="00FB7689">
      <w:pPr>
        <w:pStyle w:val="NormalWeb"/>
        <w:spacing w:line="360" w:lineRule="auto"/>
        <w:jc w:val="both"/>
        <w:rPr>
          <w:lang w:val="fr-FR"/>
        </w:rPr>
      </w:pPr>
      <w:r>
        <w:rPr>
          <w:lang w:val="fr-FR"/>
        </w:rPr>
        <w:t>Les infections nosocomiales constituent une menace majeure pour la santé publique mondiale, particulièrement dans les services hospitaliers à forte affluence comme les urgences, où les surfaces inertes peuvent servir de réservoirs pour des bactéries pathogènes résistantes aux antibiotiques. Dans ce contexte, une étude a été menée au service d’urgence de l’hôpital Les Sœurs Bedj (Chlef) afin d’identifier les agents microbiens présents sur les surfaces hospitalières et d’évaluer leur profil de résistance.</w:t>
      </w:r>
    </w:p>
    <w:p w14:paraId="1C51D955" w14:textId="77777777" w:rsidR="00B611D1" w:rsidRDefault="00FB7689">
      <w:pPr>
        <w:pStyle w:val="NormalWeb"/>
        <w:spacing w:line="360" w:lineRule="auto"/>
        <w:jc w:val="both"/>
        <w:rPr>
          <w:lang w:val="fr-FR" w:eastAsia="zh-CN"/>
        </w:rPr>
      </w:pPr>
      <w:r>
        <w:rPr>
          <w:lang w:val="fr-FR"/>
        </w:rPr>
        <w:t xml:space="preserve">Treize prélèvements effectués sur diverses surfaces en contact avec les patients et le personnel ont permis l’isolement de plusieurs espèces bactériennes, parmi lesquelles </w:t>
      </w:r>
      <w:r>
        <w:rPr>
          <w:rStyle w:val="Accentuation"/>
          <w:lang w:val="fr-FR"/>
        </w:rPr>
        <w:t>Staphylococcus aureus</w:t>
      </w:r>
      <w:r>
        <w:rPr>
          <w:lang w:val="fr-FR"/>
        </w:rPr>
        <w:t xml:space="preserve"> (15,40 %), </w:t>
      </w:r>
      <w:r>
        <w:rPr>
          <w:rStyle w:val="Accentuation"/>
          <w:lang w:val="fr-FR"/>
        </w:rPr>
        <w:t>Staphylococcus hominis</w:t>
      </w:r>
      <w:r>
        <w:rPr>
          <w:lang w:val="fr-FR"/>
        </w:rPr>
        <w:t xml:space="preserve">, </w:t>
      </w:r>
      <w:r>
        <w:rPr>
          <w:rStyle w:val="Accentuation"/>
          <w:lang w:val="fr-FR"/>
        </w:rPr>
        <w:t>Klebsiella pneumoniae</w:t>
      </w:r>
      <w:r>
        <w:rPr>
          <w:lang w:val="fr-FR"/>
        </w:rPr>
        <w:t xml:space="preserve">, </w:t>
      </w:r>
      <w:r>
        <w:rPr>
          <w:rStyle w:val="Accentuation"/>
          <w:lang w:val="fr-FR"/>
        </w:rPr>
        <w:t>Serratia marcescens</w:t>
      </w:r>
      <w:r>
        <w:rPr>
          <w:lang w:val="fr-FR"/>
        </w:rPr>
        <w:t xml:space="preserve"> et </w:t>
      </w:r>
      <w:r>
        <w:rPr>
          <w:rStyle w:val="Accentuation"/>
          <w:lang w:val="fr-FR"/>
        </w:rPr>
        <w:t>Acinetobacter baumannii</w:t>
      </w:r>
      <w:r>
        <w:rPr>
          <w:lang w:val="fr-FR"/>
        </w:rPr>
        <w:t xml:space="preserve"> (7,70 % chacune). Les isolats restants (53,8 %), majoritairement des bacilles à Gram positif </w:t>
      </w:r>
      <w:r>
        <w:rPr>
          <w:rStyle w:val="lev"/>
          <w:b w:val="0"/>
          <w:bCs w:val="0"/>
          <w:lang w:val="fr-FR"/>
        </w:rPr>
        <w:t>peu fréquemment associés aux infections nosocomiales</w:t>
      </w:r>
      <w:r>
        <w:rPr>
          <w:lang w:val="fr-FR"/>
        </w:rPr>
        <w:t xml:space="preserve">, n’ont pas été identifiés. La prédominance de </w:t>
      </w:r>
      <w:r>
        <w:rPr>
          <w:rStyle w:val="Accentuation"/>
          <w:lang w:val="fr-FR"/>
        </w:rPr>
        <w:t>Staphylococcus aureus</w:t>
      </w:r>
      <w:r>
        <w:rPr>
          <w:lang w:val="fr-FR"/>
        </w:rPr>
        <w:t>, espèce souvent impliquée dans des infections graves, souligne la nécessité de mesures strictes de désinfection et de biosécurité.</w:t>
      </w:r>
    </w:p>
    <w:p w14:paraId="0B0B528C" w14:textId="77777777" w:rsidR="00B611D1" w:rsidRDefault="00FB7689">
      <w:pPr>
        <w:pStyle w:val="NormalWeb"/>
        <w:spacing w:line="360" w:lineRule="auto"/>
        <w:jc w:val="both"/>
        <w:rPr>
          <w:lang w:val="fr-FR" w:eastAsia="zh-CN"/>
        </w:rPr>
      </w:pPr>
      <w:r>
        <w:rPr>
          <w:lang w:val="fr-FR"/>
        </w:rPr>
        <w:t xml:space="preserve">L’étude des profils de résistance aux antibiotiques a révélé la présence de souches résistantes préoccupantes, notamment </w:t>
      </w:r>
      <w:r>
        <w:rPr>
          <w:rStyle w:val="Accentuation"/>
          <w:lang w:val="fr-FR"/>
        </w:rPr>
        <w:t>Staphylococcus aureus</w:t>
      </w:r>
      <w:r>
        <w:rPr>
          <w:lang w:val="fr-FR"/>
        </w:rPr>
        <w:t xml:space="preserve"> présentant un phénotype SARM, </w:t>
      </w:r>
      <w:r>
        <w:rPr>
          <w:rStyle w:val="Accentuation"/>
          <w:lang w:val="fr-FR"/>
        </w:rPr>
        <w:t>Klebsiella pneumoniae</w:t>
      </w:r>
      <w:r>
        <w:rPr>
          <w:lang w:val="fr-FR"/>
        </w:rPr>
        <w:t xml:space="preserve"> productrice probable de BLSE,</w:t>
      </w:r>
      <w:r>
        <w:rPr>
          <w:rStyle w:val="Accentuation"/>
          <w:lang w:val="fr-FR"/>
        </w:rPr>
        <w:t xml:space="preserve"> Acinetobacter baumannii</w:t>
      </w:r>
      <w:r>
        <w:rPr>
          <w:lang w:val="fr-FR"/>
        </w:rPr>
        <w:t xml:space="preserve"> résistant à plusieurs </w:t>
      </w:r>
      <w:r>
        <w:t>β</w:t>
      </w:r>
      <w:r>
        <w:rPr>
          <w:lang w:val="fr-FR"/>
        </w:rPr>
        <w:t xml:space="preserve">-lactamines, et </w:t>
      </w:r>
      <w:r>
        <w:rPr>
          <w:rStyle w:val="Accentuation"/>
          <w:lang w:val="fr-FR"/>
        </w:rPr>
        <w:t>Serratia marcescens</w:t>
      </w:r>
      <w:r>
        <w:rPr>
          <w:lang w:val="fr-FR"/>
        </w:rPr>
        <w:t xml:space="preserve"> exprimant une résistance intrinsèque via les </w:t>
      </w:r>
      <w:r>
        <w:t>β</w:t>
      </w:r>
      <w:r>
        <w:rPr>
          <w:lang w:val="fr-FR"/>
        </w:rPr>
        <w:t>-lactamases AmpC.</w:t>
      </w:r>
    </w:p>
    <w:p w14:paraId="4C6A7A78" w14:textId="77777777" w:rsidR="00B611D1" w:rsidRDefault="00FB7689">
      <w:pPr>
        <w:pStyle w:val="NormalWeb"/>
        <w:spacing w:line="360" w:lineRule="auto"/>
        <w:jc w:val="both"/>
        <w:rPr>
          <w:lang w:val="fr-FR"/>
        </w:rPr>
      </w:pPr>
      <w:r>
        <w:rPr>
          <w:lang w:val="fr-FR"/>
        </w:rPr>
        <w:t>Ces résultats révèlent une contamination préoccupante des surfaces hospitalières et appellent à renforcer les stratégies de surveillance microbiologique et les protocoles de prévention pour limiter la propagation des bactéries résistantes dans les milieux de soins.</w:t>
      </w:r>
    </w:p>
    <w:p w14:paraId="2BE9393B" w14:textId="77777777" w:rsidR="00B611D1" w:rsidRDefault="00B611D1">
      <w:pPr>
        <w:rPr>
          <w:lang w:val="fr-FR"/>
        </w:rPr>
      </w:pPr>
    </w:p>
    <w:p w14:paraId="2D455052" w14:textId="77777777" w:rsidR="00B611D1" w:rsidRDefault="00FB7689">
      <w:pPr>
        <w:pStyle w:val="Corpsdetexte"/>
        <w:spacing w:line="360" w:lineRule="auto"/>
        <w:ind w:right="213"/>
        <w:jc w:val="both"/>
        <w:rPr>
          <w:bCs/>
          <w:lang w:val="fr-FR"/>
        </w:rPr>
        <w:sectPr w:rsidR="00B611D1">
          <w:headerReference w:type="default" r:id="rId18"/>
          <w:footerReference w:type="default" r:id="rId19"/>
          <w:pgSz w:w="11900" w:h="16840"/>
          <w:pgMar w:top="1440" w:right="900" w:bottom="280" w:left="1180" w:header="1139" w:footer="0" w:gutter="0"/>
          <w:cols w:space="720"/>
        </w:sectPr>
      </w:pPr>
      <w:r>
        <w:rPr>
          <w:b/>
          <w:lang w:val="fr-FR"/>
        </w:rPr>
        <w:t xml:space="preserve">Mots clés : </w:t>
      </w:r>
      <w:r>
        <w:rPr>
          <w:bCs/>
          <w:lang w:val="fr-FR"/>
        </w:rPr>
        <w:t>Infections nosocomiales, Surfaces hospitalières, antibiorésistance, SARM, BLSE.</w:t>
      </w:r>
    </w:p>
    <w:p w14:paraId="572722FE" w14:textId="77777777" w:rsidR="00B611D1" w:rsidRDefault="00FB7689">
      <w:pPr>
        <w:pStyle w:val="Corpsdetexte"/>
        <w:spacing w:before="1" w:line="360" w:lineRule="auto"/>
        <w:ind w:right="213"/>
        <w:jc w:val="both"/>
        <w:rPr>
          <w:b/>
          <w:lang w:val="fr-FR"/>
        </w:rPr>
      </w:pPr>
      <w:r>
        <w:rPr>
          <w:bCs/>
          <w:noProof/>
        </w:rPr>
        <mc:AlternateContent>
          <mc:Choice Requires="wps">
            <w:drawing>
              <wp:anchor distT="0" distB="0" distL="114300" distR="114300" simplePos="0" relativeHeight="251664384" behindDoc="1" locked="0" layoutInCell="1" allowOverlap="1" wp14:anchorId="7B54B39C" wp14:editId="7B7B5D4E">
                <wp:simplePos x="0" y="0"/>
                <wp:positionH relativeFrom="page">
                  <wp:posOffset>3368675</wp:posOffset>
                </wp:positionH>
                <wp:positionV relativeFrom="page">
                  <wp:posOffset>829945</wp:posOffset>
                </wp:positionV>
                <wp:extent cx="1002030" cy="350520"/>
                <wp:effectExtent l="0" t="0" r="1270" b="5080"/>
                <wp:wrapNone/>
                <wp:docPr id="209" name="Text Box 104"/>
                <wp:cNvGraphicFramePr/>
                <a:graphic xmlns:a="http://schemas.openxmlformats.org/drawingml/2006/main">
                  <a:graphicData uri="http://schemas.microsoft.com/office/word/2010/wordprocessingShape">
                    <wps:wsp>
                      <wps:cNvSpPr txBox="1"/>
                      <wps:spPr bwMode="auto">
                        <a:xfrm>
                          <a:off x="0" y="0"/>
                          <a:ext cx="1002030" cy="350520"/>
                        </a:xfrm>
                        <a:prstGeom prst="rect">
                          <a:avLst/>
                        </a:prstGeom>
                        <a:noFill/>
                        <a:ln>
                          <a:noFill/>
                        </a:ln>
                      </wps:spPr>
                      <wps:txbx>
                        <w:txbxContent>
                          <w:p w14:paraId="7B7A7CDA" w14:textId="77777777" w:rsidR="00B611D1" w:rsidRDefault="00FB7689">
                            <w:pPr>
                              <w:spacing w:before="9"/>
                              <w:ind w:left="20"/>
                              <w:jc w:val="center"/>
                              <w:rPr>
                                <w:b/>
                                <w:sz w:val="32"/>
                                <w:szCs w:val="32"/>
                              </w:rPr>
                            </w:pPr>
                            <w:r>
                              <w:rPr>
                                <w:b/>
                                <w:sz w:val="32"/>
                                <w:szCs w:val="32"/>
                              </w:rPr>
                              <w:t>Abstract</w:t>
                            </w:r>
                          </w:p>
                          <w:p w14:paraId="2514AAA9" w14:textId="77777777" w:rsidR="00B611D1" w:rsidRDefault="00B611D1">
                            <w:pPr>
                              <w:spacing w:before="9"/>
                              <w:ind w:left="20"/>
                              <w:jc w:val="center"/>
                              <w:rPr>
                                <w:b/>
                                <w:sz w:val="32"/>
                                <w:szCs w:val="32"/>
                              </w:rPr>
                            </w:pPr>
                          </w:p>
                          <w:p w14:paraId="24E3EBCA" w14:textId="77777777" w:rsidR="00B611D1" w:rsidRDefault="00B611D1">
                            <w:pPr>
                              <w:spacing w:before="9"/>
                              <w:ind w:left="20"/>
                              <w:jc w:val="center"/>
                              <w:rPr>
                                <w:b/>
                                <w:sz w:val="32"/>
                                <w:szCs w:val="32"/>
                              </w:rPr>
                            </w:pP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 w14:anchorId="7B54B39C" id="Text Box 104" o:spid="_x0000_s1029" type="#_x0000_t202" style="position:absolute;left:0;text-align:left;margin-left:265.25pt;margin-top:65.35pt;width:78.9pt;height:27.6pt;z-index:-25165209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" filled="f" stroked="f">
                <v:textbox inset="0,0,0,0">
                  <w:txbxContent>
                    <w:p w14:paraId="7B7A7CDA" w14:textId="77777777" w:rsidR="00B611D1" w:rsidRDefault="00000000">
                      <w:pPr>
                        <w:spacing w:before="9"/>
                        <w:ind w:left="20"/>
                        <w:jc w:val="center"/>
                        <w:rPr>
                          <w:b/>
                          <w:sz w:val="32"/>
                          <w:szCs w:val="32"/>
                        </w:rPr>
                      </w:pPr>
                      <w:r>
                        <w:rPr>
                          <w:b/>
                          <w:sz w:val="32"/>
                          <w:szCs w:val="32"/>
                        </w:rPr>
                        <w:t>Abstract</w:t>
                      </w:r>
                    </w:p>
                    <w:p w14:paraId="2514AAA9" w14:textId="77777777" w:rsidR="00B611D1" w:rsidRDefault="00B611D1">
                      <w:pPr>
                        <w:spacing w:before="9"/>
                        <w:ind w:left="20"/>
                        <w:jc w:val="center"/>
                        <w:rPr>
                          <w:b/>
                          <w:sz w:val="32"/>
                          <w:szCs w:val="32"/>
                        </w:rPr>
                      </w:pPr>
                    </w:p>
                    <w:p w14:paraId="24E3EBCA" w14:textId="77777777" w:rsidR="00B611D1" w:rsidRDefault="00B611D1">
                      <w:pPr>
                        <w:spacing w:before="9"/>
                        <w:ind w:left="20"/>
                        <w:jc w:val="center"/>
                        <w:rPr>
                          <w:b/>
                          <w:sz w:val="32"/>
                          <w:szCs w:val="32"/>
                        </w:rPr>
                      </w:pPr>
                    </w:p>
                  </w:txbxContent>
                </v:textbox>
                <w10:wrap anchorx="page" anchory="page"/>
              </v:shape>
            </w:pict>
          </mc:Fallback>
        </mc:AlternateContent>
      </w:r>
    </w:p>
    <w:p w14:paraId="137655E0" w14:textId="77777777" w:rsidR="00B611D1" w:rsidRDefault="00B611D1">
      <w:pPr>
        <w:pStyle w:val="Corpsdetexte"/>
        <w:spacing w:before="1" w:line="360" w:lineRule="auto"/>
        <w:ind w:right="213"/>
        <w:jc w:val="both"/>
        <w:rPr>
          <w:bCs/>
          <w:lang w:val="fr-FR"/>
        </w:rPr>
      </w:pPr>
    </w:p>
    <w:p w14:paraId="3DC91F8F" w14:textId="77777777" w:rsidR="00B611D1" w:rsidRDefault="00FB7689">
      <w:pPr>
        <w:pStyle w:val="Corpsdetexte"/>
        <w:spacing w:before="1" w:line="360" w:lineRule="auto"/>
        <w:ind w:right="213"/>
        <w:jc w:val="both"/>
        <w:rPr>
          <w:bCs/>
          <w:lang w:val="en-US"/>
        </w:rPr>
      </w:pPr>
      <w:r>
        <w:rPr>
          <w:bCs/>
          <w:lang w:val="en-US"/>
        </w:rPr>
        <w:t>Nosocomial infections represent a major threat to global public health, particularly in high-traffic hospital departments such as emergency units, where inert surfaces can act as reservoirs for antibiotic-resistant pathogenic bacteria. In this context, a study was conducted in the emergency department of Les Sœurs Bedj Hospital (Chlef) to identify microbial agents present on hospital surfaces and to assess their resistance profiles.</w:t>
      </w:r>
    </w:p>
    <w:p w14:paraId="67CC78BA" w14:textId="77777777" w:rsidR="00B611D1" w:rsidRDefault="00B611D1">
      <w:pPr>
        <w:pStyle w:val="Corpsdetexte"/>
        <w:spacing w:before="1" w:line="360" w:lineRule="auto"/>
        <w:ind w:right="213"/>
        <w:jc w:val="both"/>
        <w:rPr>
          <w:bCs/>
          <w:lang w:val="en-US"/>
        </w:rPr>
      </w:pPr>
    </w:p>
    <w:p w14:paraId="2A407839" w14:textId="77777777" w:rsidR="00B611D1" w:rsidRDefault="00FB7689">
      <w:pPr>
        <w:pStyle w:val="Corpsdetexte"/>
        <w:spacing w:before="1" w:line="360" w:lineRule="auto"/>
        <w:ind w:right="213"/>
        <w:jc w:val="both"/>
        <w:rPr>
          <w:bCs/>
          <w:lang w:val="en-US"/>
        </w:rPr>
      </w:pPr>
      <w:r>
        <w:rPr>
          <w:bCs/>
          <w:lang w:val="en-US"/>
        </w:rPr>
        <w:t xml:space="preserve">Thirteen samples taken from various surfaces in contact with patients and staff led to the isolation of several bacterial species, including </w:t>
      </w:r>
      <w:r>
        <w:rPr>
          <w:bCs/>
          <w:i/>
          <w:iCs/>
          <w:lang w:val="en-US"/>
        </w:rPr>
        <w:t>Staphylococcus aureus</w:t>
      </w:r>
      <w:r>
        <w:rPr>
          <w:bCs/>
          <w:lang w:val="en-US"/>
        </w:rPr>
        <w:t xml:space="preserve"> (15.40%), </w:t>
      </w:r>
      <w:r>
        <w:rPr>
          <w:bCs/>
          <w:i/>
          <w:iCs/>
          <w:lang w:val="en-US"/>
        </w:rPr>
        <w:t>Staphylococcus hominis</w:t>
      </w:r>
      <w:r>
        <w:rPr>
          <w:bCs/>
          <w:lang w:val="en-US"/>
        </w:rPr>
        <w:t xml:space="preserve">, </w:t>
      </w:r>
      <w:r>
        <w:rPr>
          <w:bCs/>
          <w:i/>
          <w:iCs/>
          <w:lang w:val="en-US"/>
        </w:rPr>
        <w:t>Klebsiella pneumoniae</w:t>
      </w:r>
      <w:r>
        <w:rPr>
          <w:bCs/>
          <w:lang w:val="en-US"/>
        </w:rPr>
        <w:t xml:space="preserve">, </w:t>
      </w:r>
      <w:r>
        <w:rPr>
          <w:bCs/>
          <w:i/>
          <w:iCs/>
          <w:lang w:val="en-US"/>
        </w:rPr>
        <w:t>Serratia marcescens</w:t>
      </w:r>
      <w:r>
        <w:rPr>
          <w:bCs/>
          <w:lang w:val="en-US"/>
        </w:rPr>
        <w:t xml:space="preserve">, and </w:t>
      </w:r>
      <w:r>
        <w:rPr>
          <w:bCs/>
          <w:i/>
          <w:iCs/>
          <w:lang w:val="en-US"/>
        </w:rPr>
        <w:t>Acinetobacter baumannii</w:t>
      </w:r>
      <w:r>
        <w:rPr>
          <w:bCs/>
          <w:lang w:val="en-US"/>
        </w:rPr>
        <w:t xml:space="preserve"> (7.70% each). The remaining isolates (53.8%), mainly Gram-positive bacilli that are rarely associated with nosocomial infections, were not identified. The predominance of </w:t>
      </w:r>
      <w:r>
        <w:rPr>
          <w:bCs/>
          <w:i/>
          <w:iCs/>
          <w:lang w:val="en-US"/>
        </w:rPr>
        <w:t>Staphylococcus aureus</w:t>
      </w:r>
      <w:r>
        <w:rPr>
          <w:bCs/>
          <w:lang w:val="en-US"/>
        </w:rPr>
        <w:t>, a species often involved in severe infections, highlights the need for strict disinfection and biosafety measures.</w:t>
      </w:r>
    </w:p>
    <w:p w14:paraId="0650F7D4" w14:textId="77777777" w:rsidR="00B611D1" w:rsidRDefault="00B611D1">
      <w:pPr>
        <w:pStyle w:val="Corpsdetexte"/>
        <w:spacing w:before="1" w:line="360" w:lineRule="auto"/>
        <w:ind w:right="213"/>
        <w:jc w:val="both"/>
        <w:rPr>
          <w:bCs/>
          <w:lang w:val="en-US"/>
        </w:rPr>
      </w:pPr>
    </w:p>
    <w:p w14:paraId="6B4040AD" w14:textId="77777777" w:rsidR="00B611D1" w:rsidRDefault="00FB7689">
      <w:pPr>
        <w:pStyle w:val="Corpsdetexte"/>
        <w:spacing w:before="1" w:line="360" w:lineRule="auto"/>
        <w:ind w:right="213"/>
        <w:jc w:val="both"/>
        <w:rPr>
          <w:bCs/>
          <w:lang w:val="en-US"/>
        </w:rPr>
      </w:pPr>
      <w:r>
        <w:rPr>
          <w:lang w:val="en-US"/>
        </w:rPr>
        <w:t>The study of antibiotic resistance profiles revealed the presence of concerning resistant strains, including</w:t>
      </w:r>
      <w:r>
        <w:rPr>
          <w:bCs/>
          <w:lang w:val="en-US"/>
        </w:rPr>
        <w:t xml:space="preserve"> </w:t>
      </w:r>
      <w:r>
        <w:rPr>
          <w:bCs/>
          <w:i/>
          <w:iCs/>
          <w:lang w:val="en-US"/>
        </w:rPr>
        <w:t>Staphylococcus aureus</w:t>
      </w:r>
      <w:r>
        <w:rPr>
          <w:bCs/>
          <w:lang w:val="en-US"/>
        </w:rPr>
        <w:t xml:space="preserve"> showing an MRSA phenotype, </w:t>
      </w:r>
      <w:r>
        <w:rPr>
          <w:bCs/>
          <w:i/>
          <w:iCs/>
          <w:lang w:val="en-US"/>
        </w:rPr>
        <w:t>Klebsiella pneumoniae</w:t>
      </w:r>
      <w:r>
        <w:rPr>
          <w:bCs/>
          <w:lang w:val="en-US"/>
        </w:rPr>
        <w:t xml:space="preserve"> likely producing ESBLs, </w:t>
      </w:r>
      <w:r>
        <w:rPr>
          <w:bCs/>
          <w:i/>
          <w:iCs/>
          <w:lang w:val="en-US"/>
        </w:rPr>
        <w:t xml:space="preserve">Acinetobacter baumannii </w:t>
      </w:r>
      <w:r>
        <w:rPr>
          <w:bCs/>
          <w:lang w:val="en-US"/>
        </w:rPr>
        <w:t xml:space="preserve">resistant to several β-lactams, and </w:t>
      </w:r>
      <w:r>
        <w:rPr>
          <w:bCs/>
          <w:i/>
          <w:iCs/>
          <w:lang w:val="en-US"/>
        </w:rPr>
        <w:t>Serratia marcescens</w:t>
      </w:r>
      <w:r>
        <w:rPr>
          <w:bCs/>
          <w:lang w:val="en-US"/>
        </w:rPr>
        <w:t xml:space="preserve"> expressing intrinsic resistance through AmpC β-lactamases.</w:t>
      </w:r>
    </w:p>
    <w:p w14:paraId="1AFE23B0" w14:textId="77777777" w:rsidR="00B611D1" w:rsidRDefault="00B611D1">
      <w:pPr>
        <w:pStyle w:val="Corpsdetexte"/>
        <w:spacing w:before="1" w:line="360" w:lineRule="auto"/>
        <w:ind w:right="213"/>
        <w:jc w:val="both"/>
        <w:rPr>
          <w:bCs/>
          <w:lang w:val="en-US"/>
        </w:rPr>
      </w:pPr>
    </w:p>
    <w:p w14:paraId="22ABCDB6" w14:textId="77777777" w:rsidR="00B611D1" w:rsidRDefault="00FB7689">
      <w:pPr>
        <w:pStyle w:val="Corpsdetexte"/>
        <w:spacing w:before="1" w:line="360" w:lineRule="auto"/>
        <w:ind w:right="213"/>
        <w:jc w:val="both"/>
        <w:rPr>
          <w:bCs/>
          <w:lang w:val="en-US"/>
        </w:rPr>
      </w:pPr>
      <w:r>
        <w:rPr>
          <w:bCs/>
          <w:lang w:val="en-US"/>
        </w:rPr>
        <w:t>These findings reveal a concerning level of contamination on hospital surfaces and call for strengthened microbiological surveillance strategies and prevention protocols to limit the spread of resistant bacteria in healthcare settings.</w:t>
      </w:r>
    </w:p>
    <w:p w14:paraId="33FF907E" w14:textId="77777777" w:rsidR="00B611D1" w:rsidRDefault="00B611D1">
      <w:pPr>
        <w:pStyle w:val="Corpsdetexte"/>
        <w:spacing w:before="1" w:line="360" w:lineRule="auto"/>
        <w:ind w:left="241" w:right="213"/>
        <w:jc w:val="both"/>
        <w:rPr>
          <w:b/>
          <w:lang w:val="en-US"/>
        </w:rPr>
      </w:pPr>
    </w:p>
    <w:p w14:paraId="6E56EF49" w14:textId="77777777" w:rsidR="00B611D1" w:rsidRDefault="00FB7689">
      <w:pPr>
        <w:pStyle w:val="Corpsdetexte"/>
        <w:spacing w:before="1" w:line="360" w:lineRule="auto"/>
        <w:ind w:right="213"/>
        <w:jc w:val="both"/>
        <w:rPr>
          <w:bCs/>
          <w:lang w:val="en-US"/>
        </w:rPr>
        <w:sectPr w:rsidR="00B611D1">
          <w:headerReference w:type="default" r:id="rId20"/>
          <w:footerReference w:type="default" r:id="rId21"/>
          <w:pgSz w:w="11900" w:h="16840"/>
          <w:pgMar w:top="1440" w:right="900" w:bottom="280" w:left="1180" w:header="1139" w:footer="0" w:gutter="0"/>
          <w:cols w:space="720"/>
        </w:sectPr>
      </w:pPr>
      <w:r>
        <w:rPr>
          <w:b/>
          <w:lang w:val="en-US"/>
        </w:rPr>
        <w:t>Key</w:t>
      </w:r>
      <w:r>
        <w:rPr>
          <w:b/>
          <w:spacing w:val="1"/>
          <w:lang w:val="en-US"/>
        </w:rPr>
        <w:t xml:space="preserve"> </w:t>
      </w:r>
      <w:r>
        <w:rPr>
          <w:b/>
          <w:lang w:val="en-US"/>
        </w:rPr>
        <w:t>words:</w:t>
      </w:r>
      <w:r>
        <w:rPr>
          <w:b/>
          <w:spacing w:val="1"/>
          <w:lang w:val="en-US"/>
        </w:rPr>
        <w:t xml:space="preserve"> </w:t>
      </w:r>
      <w:r>
        <w:rPr>
          <w:bCs/>
          <w:spacing w:val="1"/>
          <w:lang w:val="en-US"/>
        </w:rPr>
        <w:t>Nosocomial infections, Hospital surfaces, Antibiotic resistance, MRSA, ESBL.</w:t>
      </w:r>
    </w:p>
    <w:p w14:paraId="1826C898" w14:textId="77777777" w:rsidR="00B611D1" w:rsidRDefault="00FB7689">
      <w:pPr>
        <w:jc w:val="center"/>
        <w:rPr>
          <w:rtl/>
        </w:rPr>
      </w:pPr>
      <w:r>
        <w:rPr>
          <w:sz w:val="32"/>
          <w:szCs w:val="32"/>
          <w:rtl/>
        </w:rPr>
        <w:t>ملخص</w:t>
      </w:r>
    </w:p>
    <w:p w14:paraId="22EA397A" w14:textId="77777777" w:rsidR="00B611D1" w:rsidRDefault="00B611D1">
      <w:pPr>
        <w:rPr>
          <w:rtl/>
        </w:rPr>
      </w:pPr>
    </w:p>
    <w:p w14:paraId="0EABB106" w14:textId="77777777" w:rsidR="00B611D1" w:rsidRDefault="00B611D1">
      <w:pPr>
        <w:rPr>
          <w:rtl/>
        </w:rPr>
      </w:pPr>
    </w:p>
    <w:p w14:paraId="6BB2F364" w14:textId="77777777" w:rsidR="00B611D1" w:rsidRDefault="00FB7689">
      <w:pPr>
        <w:pStyle w:val="Titre2"/>
        <w:bidi/>
        <w:spacing w:before="69" w:line="360" w:lineRule="auto"/>
        <w:ind w:left="251" w:right="272"/>
        <w:jc w:val="both"/>
        <w:rPr>
          <w:b w:val="0"/>
          <w:bCs w:val="0"/>
          <w:sz w:val="24"/>
          <w:szCs w:val="24"/>
          <w:rtl/>
          <w:lang w:val="en-US"/>
        </w:rPr>
      </w:pPr>
      <w:r>
        <w:rPr>
          <w:b w:val="0"/>
          <w:bCs w:val="0"/>
          <w:sz w:val="24"/>
          <w:szCs w:val="24"/>
          <w:rtl/>
          <w:cs/>
          <w:lang w:val="en-US"/>
        </w:rPr>
        <w:t>تشكل</w:t>
      </w:r>
      <w:r>
        <w:rPr>
          <w:b w:val="0"/>
          <w:bCs w:val="0"/>
          <w:sz w:val="24"/>
          <w:szCs w:val="24"/>
          <w:rtl/>
          <w:lang w:val="en-US"/>
        </w:rPr>
        <w:t xml:space="preserve"> </w:t>
      </w:r>
      <w:r>
        <w:rPr>
          <w:b w:val="0"/>
          <w:bCs w:val="0"/>
          <w:sz w:val="24"/>
          <w:szCs w:val="24"/>
          <w:rtl/>
          <w:cs/>
          <w:lang w:val="en-US"/>
        </w:rPr>
        <w:t>العدوى</w:t>
      </w:r>
      <w:r>
        <w:rPr>
          <w:b w:val="0"/>
          <w:bCs w:val="0"/>
          <w:sz w:val="24"/>
          <w:szCs w:val="24"/>
          <w:rtl/>
          <w:lang w:val="en-US"/>
        </w:rPr>
        <w:t xml:space="preserve"> </w:t>
      </w:r>
      <w:r>
        <w:rPr>
          <w:b w:val="0"/>
          <w:bCs w:val="0"/>
          <w:sz w:val="24"/>
          <w:szCs w:val="24"/>
          <w:rtl/>
          <w:cs/>
          <w:lang w:val="en-US"/>
        </w:rPr>
        <w:t>المكتسبة</w:t>
      </w:r>
      <w:r>
        <w:rPr>
          <w:b w:val="0"/>
          <w:bCs w:val="0"/>
          <w:sz w:val="24"/>
          <w:szCs w:val="24"/>
          <w:rtl/>
          <w:lang w:val="en-US"/>
        </w:rPr>
        <w:t xml:space="preserve"> </w:t>
      </w:r>
      <w:r>
        <w:rPr>
          <w:b w:val="0"/>
          <w:bCs w:val="0"/>
          <w:sz w:val="24"/>
          <w:szCs w:val="24"/>
          <w:rtl/>
          <w:cs/>
          <w:lang w:val="en-US"/>
        </w:rPr>
        <w:t>في</w:t>
      </w:r>
      <w:r>
        <w:rPr>
          <w:b w:val="0"/>
          <w:bCs w:val="0"/>
          <w:sz w:val="24"/>
          <w:szCs w:val="24"/>
          <w:rtl/>
          <w:lang w:val="en-US"/>
        </w:rPr>
        <w:t xml:space="preserve"> </w:t>
      </w:r>
      <w:r>
        <w:rPr>
          <w:b w:val="0"/>
          <w:bCs w:val="0"/>
          <w:sz w:val="24"/>
          <w:szCs w:val="24"/>
          <w:rtl/>
          <w:cs/>
          <w:lang w:val="en-US"/>
        </w:rPr>
        <w:t>المستشفيات</w:t>
      </w:r>
      <w:r>
        <w:rPr>
          <w:b w:val="0"/>
          <w:bCs w:val="0"/>
          <w:sz w:val="24"/>
          <w:szCs w:val="24"/>
          <w:rtl/>
          <w:lang w:val="en-US"/>
        </w:rPr>
        <w:t xml:space="preserve"> </w:t>
      </w:r>
      <w:r>
        <w:rPr>
          <w:b w:val="0"/>
          <w:bCs w:val="0"/>
          <w:sz w:val="24"/>
          <w:szCs w:val="24"/>
          <w:rtl/>
          <w:cs/>
          <w:lang w:val="en-US"/>
        </w:rPr>
        <w:t>تهديدًا</w:t>
      </w:r>
      <w:r>
        <w:rPr>
          <w:b w:val="0"/>
          <w:bCs w:val="0"/>
          <w:sz w:val="24"/>
          <w:szCs w:val="24"/>
          <w:rtl/>
          <w:lang w:val="en-US"/>
        </w:rPr>
        <w:t xml:space="preserve"> </w:t>
      </w:r>
      <w:r>
        <w:rPr>
          <w:b w:val="0"/>
          <w:bCs w:val="0"/>
          <w:sz w:val="24"/>
          <w:szCs w:val="24"/>
          <w:rtl/>
          <w:cs/>
          <w:lang w:val="en-US"/>
        </w:rPr>
        <w:t>خطيرًا</w:t>
      </w:r>
      <w:r>
        <w:rPr>
          <w:b w:val="0"/>
          <w:bCs w:val="0"/>
          <w:sz w:val="24"/>
          <w:szCs w:val="24"/>
          <w:rtl/>
          <w:lang w:val="en-US"/>
        </w:rPr>
        <w:t xml:space="preserve"> </w:t>
      </w:r>
      <w:r>
        <w:rPr>
          <w:b w:val="0"/>
          <w:bCs w:val="0"/>
          <w:sz w:val="24"/>
          <w:szCs w:val="24"/>
          <w:rtl/>
          <w:cs/>
          <w:lang w:val="en-US"/>
        </w:rPr>
        <w:t>للصحة</w:t>
      </w:r>
      <w:r>
        <w:rPr>
          <w:b w:val="0"/>
          <w:bCs w:val="0"/>
          <w:sz w:val="24"/>
          <w:szCs w:val="24"/>
          <w:rtl/>
          <w:lang w:val="en-US"/>
        </w:rPr>
        <w:t xml:space="preserve"> </w:t>
      </w:r>
      <w:r>
        <w:rPr>
          <w:b w:val="0"/>
          <w:bCs w:val="0"/>
          <w:sz w:val="24"/>
          <w:szCs w:val="24"/>
          <w:rtl/>
          <w:cs/>
          <w:lang w:val="en-US"/>
        </w:rPr>
        <w:t>العمومية</w:t>
      </w:r>
      <w:r>
        <w:rPr>
          <w:b w:val="0"/>
          <w:bCs w:val="0"/>
          <w:sz w:val="24"/>
          <w:szCs w:val="24"/>
          <w:rtl/>
          <w:lang w:val="en-US"/>
        </w:rPr>
        <w:t xml:space="preserve"> </w:t>
      </w:r>
      <w:r>
        <w:rPr>
          <w:b w:val="0"/>
          <w:bCs w:val="0"/>
          <w:sz w:val="24"/>
          <w:szCs w:val="24"/>
          <w:rtl/>
          <w:cs/>
          <w:lang w:val="en-US"/>
        </w:rPr>
        <w:t>على</w:t>
      </w:r>
      <w:r>
        <w:rPr>
          <w:b w:val="0"/>
          <w:bCs w:val="0"/>
          <w:sz w:val="24"/>
          <w:szCs w:val="24"/>
          <w:rtl/>
          <w:lang w:val="en-US"/>
        </w:rPr>
        <w:t xml:space="preserve"> </w:t>
      </w:r>
      <w:r>
        <w:rPr>
          <w:b w:val="0"/>
          <w:bCs w:val="0"/>
          <w:sz w:val="24"/>
          <w:szCs w:val="24"/>
          <w:rtl/>
          <w:cs/>
          <w:lang w:val="en-US"/>
        </w:rPr>
        <w:t>الصعيد</w:t>
      </w:r>
      <w:r>
        <w:rPr>
          <w:b w:val="0"/>
          <w:bCs w:val="0"/>
          <w:sz w:val="24"/>
          <w:szCs w:val="24"/>
          <w:rtl/>
          <w:lang w:val="en-US"/>
        </w:rPr>
        <w:t xml:space="preserve"> </w:t>
      </w:r>
      <w:r>
        <w:rPr>
          <w:b w:val="0"/>
          <w:bCs w:val="0"/>
          <w:sz w:val="24"/>
          <w:szCs w:val="24"/>
          <w:rtl/>
          <w:cs/>
          <w:lang w:val="en-US"/>
        </w:rPr>
        <w:t>العالمي،</w:t>
      </w:r>
      <w:r>
        <w:rPr>
          <w:b w:val="0"/>
          <w:bCs w:val="0"/>
          <w:sz w:val="24"/>
          <w:szCs w:val="24"/>
          <w:rtl/>
          <w:lang w:val="en-US"/>
        </w:rPr>
        <w:t xml:space="preserve"> </w:t>
      </w:r>
      <w:r>
        <w:rPr>
          <w:b w:val="0"/>
          <w:bCs w:val="0"/>
          <w:sz w:val="24"/>
          <w:szCs w:val="24"/>
          <w:rtl/>
          <w:cs/>
          <w:lang w:val="en-US"/>
        </w:rPr>
        <w:t>لاسيما</w:t>
      </w:r>
      <w:r>
        <w:rPr>
          <w:b w:val="0"/>
          <w:bCs w:val="0"/>
          <w:sz w:val="24"/>
          <w:szCs w:val="24"/>
          <w:rtl/>
          <w:lang w:val="en-US"/>
        </w:rPr>
        <w:t xml:space="preserve"> </w:t>
      </w:r>
      <w:r>
        <w:rPr>
          <w:b w:val="0"/>
          <w:bCs w:val="0"/>
          <w:sz w:val="24"/>
          <w:szCs w:val="24"/>
          <w:rtl/>
          <w:cs/>
          <w:lang w:val="en-US"/>
        </w:rPr>
        <w:t>في</w:t>
      </w:r>
      <w:r>
        <w:rPr>
          <w:b w:val="0"/>
          <w:bCs w:val="0"/>
          <w:sz w:val="24"/>
          <w:szCs w:val="24"/>
          <w:rtl/>
          <w:lang w:val="en-US"/>
        </w:rPr>
        <w:t xml:space="preserve"> </w:t>
      </w:r>
      <w:r>
        <w:rPr>
          <w:b w:val="0"/>
          <w:bCs w:val="0"/>
          <w:sz w:val="24"/>
          <w:szCs w:val="24"/>
          <w:rtl/>
          <w:cs/>
          <w:lang w:val="en-US"/>
        </w:rPr>
        <w:t>الأقسام</w:t>
      </w:r>
      <w:r>
        <w:rPr>
          <w:b w:val="0"/>
          <w:bCs w:val="0"/>
          <w:sz w:val="24"/>
          <w:szCs w:val="24"/>
          <w:rtl/>
          <w:lang w:val="en-US"/>
        </w:rPr>
        <w:t xml:space="preserve"> </w:t>
      </w:r>
      <w:r>
        <w:rPr>
          <w:b w:val="0"/>
          <w:bCs w:val="0"/>
          <w:sz w:val="24"/>
          <w:szCs w:val="24"/>
          <w:rtl/>
          <w:cs/>
          <w:lang w:val="en-US"/>
        </w:rPr>
        <w:t>الاستشفائية</w:t>
      </w:r>
      <w:r>
        <w:rPr>
          <w:b w:val="0"/>
          <w:bCs w:val="0"/>
          <w:sz w:val="24"/>
          <w:szCs w:val="24"/>
          <w:rtl/>
          <w:lang w:val="en-US"/>
        </w:rPr>
        <w:t xml:space="preserve"> </w:t>
      </w:r>
      <w:r>
        <w:rPr>
          <w:b w:val="0"/>
          <w:bCs w:val="0"/>
          <w:sz w:val="24"/>
          <w:szCs w:val="24"/>
          <w:rtl/>
          <w:cs/>
          <w:lang w:val="en-US"/>
        </w:rPr>
        <w:t>ذات</w:t>
      </w:r>
      <w:r>
        <w:rPr>
          <w:b w:val="0"/>
          <w:bCs w:val="0"/>
          <w:sz w:val="24"/>
          <w:szCs w:val="24"/>
          <w:rtl/>
          <w:lang w:val="en-US"/>
        </w:rPr>
        <w:t xml:space="preserve"> </w:t>
      </w:r>
      <w:r>
        <w:rPr>
          <w:b w:val="0"/>
          <w:bCs w:val="0"/>
          <w:sz w:val="24"/>
          <w:szCs w:val="24"/>
          <w:rtl/>
          <w:cs/>
          <w:lang w:val="en-US"/>
        </w:rPr>
        <w:t>الكثافة</w:t>
      </w:r>
      <w:r>
        <w:rPr>
          <w:b w:val="0"/>
          <w:bCs w:val="0"/>
          <w:sz w:val="24"/>
          <w:szCs w:val="24"/>
          <w:rtl/>
          <w:lang w:val="en-US"/>
        </w:rPr>
        <w:t xml:space="preserve"> </w:t>
      </w:r>
      <w:r>
        <w:rPr>
          <w:b w:val="0"/>
          <w:bCs w:val="0"/>
          <w:sz w:val="24"/>
          <w:szCs w:val="24"/>
          <w:rtl/>
          <w:cs/>
          <w:lang w:val="en-US"/>
        </w:rPr>
        <w:t>المرتفعة</w:t>
      </w:r>
      <w:r>
        <w:rPr>
          <w:b w:val="0"/>
          <w:bCs w:val="0"/>
          <w:sz w:val="24"/>
          <w:szCs w:val="24"/>
          <w:rtl/>
          <w:lang w:val="en-US"/>
        </w:rPr>
        <w:t xml:space="preserve"> </w:t>
      </w:r>
      <w:r>
        <w:rPr>
          <w:b w:val="0"/>
          <w:bCs w:val="0"/>
          <w:sz w:val="24"/>
          <w:szCs w:val="24"/>
          <w:rtl/>
          <w:cs/>
          <w:lang w:val="en-US"/>
        </w:rPr>
        <w:t>مثل</w:t>
      </w:r>
      <w:r>
        <w:rPr>
          <w:b w:val="0"/>
          <w:bCs w:val="0"/>
          <w:sz w:val="24"/>
          <w:szCs w:val="24"/>
          <w:rtl/>
          <w:lang w:val="en-US"/>
        </w:rPr>
        <w:t xml:space="preserve"> </w:t>
      </w:r>
      <w:r>
        <w:rPr>
          <w:b w:val="0"/>
          <w:bCs w:val="0"/>
          <w:sz w:val="24"/>
          <w:szCs w:val="24"/>
          <w:rtl/>
          <w:cs/>
          <w:lang w:val="en-US"/>
        </w:rPr>
        <w:t>مصلحة</w:t>
      </w:r>
      <w:r>
        <w:rPr>
          <w:b w:val="0"/>
          <w:bCs w:val="0"/>
          <w:sz w:val="24"/>
          <w:szCs w:val="24"/>
          <w:rtl/>
          <w:lang w:val="en-US"/>
        </w:rPr>
        <w:t xml:space="preserve"> </w:t>
      </w:r>
      <w:r>
        <w:rPr>
          <w:b w:val="0"/>
          <w:bCs w:val="0"/>
          <w:sz w:val="24"/>
          <w:szCs w:val="24"/>
          <w:rtl/>
          <w:cs/>
          <w:lang w:val="en-US"/>
        </w:rPr>
        <w:t>الاستعجالات،</w:t>
      </w:r>
      <w:r>
        <w:rPr>
          <w:b w:val="0"/>
          <w:bCs w:val="0"/>
          <w:sz w:val="24"/>
          <w:szCs w:val="24"/>
          <w:rtl/>
          <w:lang w:val="en-US"/>
        </w:rPr>
        <w:t xml:space="preserve"> </w:t>
      </w:r>
      <w:r>
        <w:rPr>
          <w:b w:val="0"/>
          <w:bCs w:val="0"/>
          <w:sz w:val="24"/>
          <w:szCs w:val="24"/>
          <w:rtl/>
          <w:cs/>
          <w:lang w:val="en-US"/>
        </w:rPr>
        <w:t>حيث</w:t>
      </w:r>
      <w:r>
        <w:rPr>
          <w:b w:val="0"/>
          <w:bCs w:val="0"/>
          <w:sz w:val="24"/>
          <w:szCs w:val="24"/>
          <w:rtl/>
          <w:lang w:val="en-US"/>
        </w:rPr>
        <w:t xml:space="preserve"> </w:t>
      </w:r>
      <w:r>
        <w:rPr>
          <w:b w:val="0"/>
          <w:bCs w:val="0"/>
          <w:sz w:val="24"/>
          <w:szCs w:val="24"/>
          <w:rtl/>
          <w:cs/>
          <w:lang w:val="en-US"/>
        </w:rPr>
        <w:t>يمكن</w:t>
      </w:r>
      <w:r>
        <w:rPr>
          <w:b w:val="0"/>
          <w:bCs w:val="0"/>
          <w:sz w:val="24"/>
          <w:szCs w:val="24"/>
          <w:rtl/>
          <w:lang w:val="en-US"/>
        </w:rPr>
        <w:t xml:space="preserve"> </w:t>
      </w:r>
      <w:r>
        <w:rPr>
          <w:b w:val="0"/>
          <w:bCs w:val="0"/>
          <w:sz w:val="24"/>
          <w:szCs w:val="24"/>
          <w:rtl/>
          <w:cs/>
          <w:lang w:val="en-US"/>
        </w:rPr>
        <w:t>أن</w:t>
      </w:r>
      <w:r>
        <w:rPr>
          <w:b w:val="0"/>
          <w:bCs w:val="0"/>
          <w:sz w:val="24"/>
          <w:szCs w:val="24"/>
          <w:rtl/>
          <w:lang w:val="en-US"/>
        </w:rPr>
        <w:t xml:space="preserve"> </w:t>
      </w:r>
      <w:r>
        <w:rPr>
          <w:b w:val="0"/>
          <w:bCs w:val="0"/>
          <w:sz w:val="24"/>
          <w:szCs w:val="24"/>
          <w:rtl/>
          <w:cs/>
          <w:lang w:val="en-US"/>
        </w:rPr>
        <w:t>تُشكل</w:t>
      </w:r>
      <w:r>
        <w:rPr>
          <w:b w:val="0"/>
          <w:bCs w:val="0"/>
          <w:sz w:val="24"/>
          <w:szCs w:val="24"/>
          <w:rtl/>
          <w:lang w:val="en-US"/>
        </w:rPr>
        <w:t xml:space="preserve"> </w:t>
      </w:r>
      <w:r>
        <w:rPr>
          <w:b w:val="0"/>
          <w:bCs w:val="0"/>
          <w:sz w:val="24"/>
          <w:szCs w:val="24"/>
          <w:rtl/>
          <w:cs/>
          <w:lang w:val="en-US"/>
        </w:rPr>
        <w:t>الأسطح</w:t>
      </w:r>
      <w:r>
        <w:rPr>
          <w:b w:val="0"/>
          <w:bCs w:val="0"/>
          <w:sz w:val="24"/>
          <w:szCs w:val="24"/>
          <w:rtl/>
          <w:lang w:val="en-US"/>
        </w:rPr>
        <w:t xml:space="preserve"> </w:t>
      </w:r>
      <w:r>
        <w:rPr>
          <w:b w:val="0"/>
          <w:bCs w:val="0"/>
          <w:sz w:val="24"/>
          <w:szCs w:val="24"/>
          <w:rtl/>
          <w:cs/>
          <w:lang w:val="en-US"/>
        </w:rPr>
        <w:t>غير</w:t>
      </w:r>
      <w:r>
        <w:rPr>
          <w:b w:val="0"/>
          <w:bCs w:val="0"/>
          <w:sz w:val="24"/>
          <w:szCs w:val="24"/>
          <w:rtl/>
          <w:lang w:val="en-US"/>
        </w:rPr>
        <w:t xml:space="preserve"> </w:t>
      </w:r>
      <w:r>
        <w:rPr>
          <w:b w:val="0"/>
          <w:bCs w:val="0"/>
          <w:sz w:val="24"/>
          <w:szCs w:val="24"/>
          <w:rtl/>
          <w:cs/>
          <w:lang w:val="en-US"/>
        </w:rPr>
        <w:t>الحية</w:t>
      </w:r>
      <w:r>
        <w:rPr>
          <w:b w:val="0"/>
          <w:bCs w:val="0"/>
          <w:sz w:val="24"/>
          <w:szCs w:val="24"/>
          <w:rtl/>
          <w:lang w:val="en-US"/>
        </w:rPr>
        <w:t xml:space="preserve"> </w:t>
      </w:r>
      <w:r>
        <w:rPr>
          <w:b w:val="0"/>
          <w:bCs w:val="0"/>
          <w:sz w:val="24"/>
          <w:szCs w:val="24"/>
          <w:rtl/>
          <w:cs/>
          <w:lang w:val="en-US"/>
        </w:rPr>
        <w:t>خزانات</w:t>
      </w:r>
      <w:r>
        <w:rPr>
          <w:b w:val="0"/>
          <w:bCs w:val="0"/>
          <w:sz w:val="24"/>
          <w:szCs w:val="24"/>
          <w:rtl/>
          <w:lang w:val="en-US"/>
        </w:rPr>
        <w:t xml:space="preserve"> </w:t>
      </w:r>
      <w:r>
        <w:rPr>
          <w:b w:val="0"/>
          <w:bCs w:val="0"/>
          <w:sz w:val="24"/>
          <w:szCs w:val="24"/>
          <w:rtl/>
          <w:cs/>
          <w:lang w:val="en-US"/>
        </w:rPr>
        <w:t>للبكتيريا</w:t>
      </w:r>
      <w:r>
        <w:rPr>
          <w:b w:val="0"/>
          <w:bCs w:val="0"/>
          <w:sz w:val="24"/>
          <w:szCs w:val="24"/>
          <w:rtl/>
          <w:lang w:val="en-US"/>
        </w:rPr>
        <w:t xml:space="preserve"> </w:t>
      </w:r>
      <w:r>
        <w:rPr>
          <w:b w:val="0"/>
          <w:bCs w:val="0"/>
          <w:sz w:val="24"/>
          <w:szCs w:val="24"/>
          <w:rtl/>
          <w:cs/>
          <w:lang w:val="en-US"/>
        </w:rPr>
        <w:t>الممرضة</w:t>
      </w:r>
      <w:r>
        <w:rPr>
          <w:b w:val="0"/>
          <w:bCs w:val="0"/>
          <w:sz w:val="24"/>
          <w:szCs w:val="24"/>
          <w:rtl/>
          <w:lang w:val="en-US"/>
        </w:rPr>
        <w:t xml:space="preserve"> </w:t>
      </w:r>
      <w:r>
        <w:rPr>
          <w:b w:val="0"/>
          <w:bCs w:val="0"/>
          <w:sz w:val="24"/>
          <w:szCs w:val="24"/>
          <w:rtl/>
          <w:cs/>
          <w:lang w:val="en-US"/>
        </w:rPr>
        <w:t>المقاومة</w:t>
      </w:r>
      <w:r>
        <w:rPr>
          <w:b w:val="0"/>
          <w:bCs w:val="0"/>
          <w:sz w:val="24"/>
          <w:szCs w:val="24"/>
          <w:rtl/>
          <w:lang w:val="en-US"/>
        </w:rPr>
        <w:t xml:space="preserve"> </w:t>
      </w:r>
      <w:r>
        <w:rPr>
          <w:b w:val="0"/>
          <w:bCs w:val="0"/>
          <w:sz w:val="24"/>
          <w:szCs w:val="24"/>
          <w:rtl/>
          <w:cs/>
          <w:lang w:val="en-US"/>
        </w:rPr>
        <w:t>للمضادات</w:t>
      </w:r>
      <w:r>
        <w:rPr>
          <w:b w:val="0"/>
          <w:bCs w:val="0"/>
          <w:sz w:val="24"/>
          <w:szCs w:val="24"/>
          <w:rtl/>
          <w:lang w:val="en-US"/>
        </w:rPr>
        <w:t xml:space="preserve"> </w:t>
      </w:r>
      <w:r>
        <w:rPr>
          <w:b w:val="0"/>
          <w:bCs w:val="0"/>
          <w:sz w:val="24"/>
          <w:szCs w:val="24"/>
          <w:rtl/>
          <w:cs/>
          <w:lang w:val="en-US"/>
        </w:rPr>
        <w:t>الحيوية</w:t>
      </w:r>
      <w:r>
        <w:rPr>
          <w:b w:val="0"/>
          <w:bCs w:val="0"/>
          <w:sz w:val="24"/>
          <w:szCs w:val="24"/>
          <w:rtl/>
          <w:lang w:val="en-US"/>
        </w:rPr>
        <w:t xml:space="preserve">. </w:t>
      </w:r>
      <w:r>
        <w:rPr>
          <w:b w:val="0"/>
          <w:bCs w:val="0"/>
          <w:sz w:val="24"/>
          <w:szCs w:val="24"/>
          <w:rtl/>
          <w:cs/>
          <w:lang w:val="en-US"/>
        </w:rPr>
        <w:t>وفي</w:t>
      </w:r>
      <w:r>
        <w:rPr>
          <w:b w:val="0"/>
          <w:bCs w:val="0"/>
          <w:sz w:val="24"/>
          <w:szCs w:val="24"/>
          <w:rtl/>
          <w:lang w:val="en-US"/>
        </w:rPr>
        <w:t xml:space="preserve"> </w:t>
      </w:r>
      <w:r>
        <w:rPr>
          <w:b w:val="0"/>
          <w:bCs w:val="0"/>
          <w:sz w:val="24"/>
          <w:szCs w:val="24"/>
          <w:rtl/>
          <w:cs/>
          <w:lang w:val="en-US"/>
        </w:rPr>
        <w:t>هذا</w:t>
      </w:r>
      <w:r>
        <w:rPr>
          <w:b w:val="0"/>
          <w:bCs w:val="0"/>
          <w:sz w:val="24"/>
          <w:szCs w:val="24"/>
          <w:rtl/>
          <w:lang w:val="en-US"/>
        </w:rPr>
        <w:t xml:space="preserve"> </w:t>
      </w:r>
      <w:r>
        <w:rPr>
          <w:b w:val="0"/>
          <w:bCs w:val="0"/>
          <w:sz w:val="24"/>
          <w:szCs w:val="24"/>
          <w:rtl/>
          <w:cs/>
          <w:lang w:val="en-US"/>
        </w:rPr>
        <w:t>الإطار،</w:t>
      </w:r>
      <w:r>
        <w:rPr>
          <w:b w:val="0"/>
          <w:bCs w:val="0"/>
          <w:sz w:val="24"/>
          <w:szCs w:val="24"/>
          <w:rtl/>
          <w:lang w:val="en-US"/>
        </w:rPr>
        <w:t xml:space="preserve"> </w:t>
      </w:r>
      <w:r>
        <w:rPr>
          <w:b w:val="0"/>
          <w:bCs w:val="0"/>
          <w:sz w:val="24"/>
          <w:szCs w:val="24"/>
          <w:rtl/>
          <w:cs/>
          <w:lang w:val="en-US"/>
        </w:rPr>
        <w:t>تم</w:t>
      </w:r>
      <w:r>
        <w:rPr>
          <w:b w:val="0"/>
          <w:bCs w:val="0"/>
          <w:sz w:val="24"/>
          <w:szCs w:val="24"/>
          <w:rtl/>
          <w:lang w:val="en-US"/>
        </w:rPr>
        <w:t xml:space="preserve"> </w:t>
      </w:r>
      <w:r>
        <w:rPr>
          <w:b w:val="0"/>
          <w:bCs w:val="0"/>
          <w:sz w:val="24"/>
          <w:szCs w:val="24"/>
          <w:rtl/>
          <w:cs/>
          <w:lang w:val="en-US"/>
        </w:rPr>
        <w:t>إجراء</w:t>
      </w:r>
      <w:r>
        <w:rPr>
          <w:b w:val="0"/>
          <w:bCs w:val="0"/>
          <w:sz w:val="24"/>
          <w:szCs w:val="24"/>
          <w:rtl/>
          <w:lang w:val="en-US"/>
        </w:rPr>
        <w:t xml:space="preserve"> </w:t>
      </w:r>
      <w:r>
        <w:rPr>
          <w:b w:val="0"/>
          <w:bCs w:val="0"/>
          <w:sz w:val="24"/>
          <w:szCs w:val="24"/>
          <w:rtl/>
          <w:cs/>
          <w:lang w:val="en-US"/>
        </w:rPr>
        <w:t>دراسة</w:t>
      </w:r>
      <w:r>
        <w:rPr>
          <w:b w:val="0"/>
          <w:bCs w:val="0"/>
          <w:sz w:val="24"/>
          <w:szCs w:val="24"/>
          <w:rtl/>
          <w:lang w:val="en-US"/>
        </w:rPr>
        <w:t xml:space="preserve"> </w:t>
      </w:r>
      <w:r>
        <w:rPr>
          <w:b w:val="0"/>
          <w:bCs w:val="0"/>
          <w:sz w:val="24"/>
          <w:szCs w:val="24"/>
          <w:rtl/>
          <w:cs/>
          <w:lang w:val="en-US"/>
        </w:rPr>
        <w:t>بمصلحة</w:t>
      </w:r>
      <w:r>
        <w:rPr>
          <w:b w:val="0"/>
          <w:bCs w:val="0"/>
          <w:sz w:val="24"/>
          <w:szCs w:val="24"/>
          <w:rtl/>
          <w:lang w:val="en-US"/>
        </w:rPr>
        <w:t xml:space="preserve"> </w:t>
      </w:r>
      <w:r>
        <w:rPr>
          <w:b w:val="0"/>
          <w:bCs w:val="0"/>
          <w:sz w:val="24"/>
          <w:szCs w:val="24"/>
          <w:rtl/>
          <w:cs/>
          <w:lang w:val="en-US"/>
        </w:rPr>
        <w:t>الاستعجالات</w:t>
      </w:r>
      <w:r>
        <w:rPr>
          <w:b w:val="0"/>
          <w:bCs w:val="0"/>
          <w:sz w:val="24"/>
          <w:szCs w:val="24"/>
          <w:rtl/>
          <w:lang w:val="en-US"/>
        </w:rPr>
        <w:t xml:space="preserve"> </w:t>
      </w:r>
      <w:r>
        <w:rPr>
          <w:b w:val="0"/>
          <w:bCs w:val="0"/>
          <w:sz w:val="24"/>
          <w:szCs w:val="24"/>
          <w:rtl/>
          <w:cs/>
          <w:lang w:val="en-US"/>
        </w:rPr>
        <w:t>التابعة</w:t>
      </w:r>
      <w:r>
        <w:rPr>
          <w:b w:val="0"/>
          <w:bCs w:val="0"/>
          <w:sz w:val="24"/>
          <w:szCs w:val="24"/>
          <w:rtl/>
          <w:lang w:val="en-US"/>
        </w:rPr>
        <w:t xml:space="preserve"> </w:t>
      </w:r>
      <w:r>
        <w:rPr>
          <w:b w:val="0"/>
          <w:bCs w:val="0"/>
          <w:sz w:val="24"/>
          <w:szCs w:val="24"/>
          <w:rtl/>
          <w:cs/>
          <w:lang w:val="en-US"/>
        </w:rPr>
        <w:t>لمستشفى</w:t>
      </w:r>
      <w:r>
        <w:rPr>
          <w:b w:val="0"/>
          <w:bCs w:val="0"/>
          <w:sz w:val="24"/>
          <w:szCs w:val="24"/>
          <w:rtl/>
          <w:lang w:val="en-US"/>
        </w:rPr>
        <w:t xml:space="preserve"> </w:t>
      </w:r>
      <w:r>
        <w:rPr>
          <w:b w:val="0"/>
          <w:bCs w:val="0"/>
          <w:sz w:val="24"/>
          <w:szCs w:val="24"/>
          <w:rtl/>
          <w:cs/>
          <w:lang w:val="en-US"/>
        </w:rPr>
        <w:t>الأخوات</w:t>
      </w:r>
      <w:r>
        <w:rPr>
          <w:b w:val="0"/>
          <w:bCs w:val="0"/>
          <w:sz w:val="24"/>
          <w:szCs w:val="24"/>
          <w:rtl/>
          <w:lang w:val="en-US"/>
        </w:rPr>
        <w:t xml:space="preserve"> </w:t>
      </w:r>
      <w:r>
        <w:rPr>
          <w:b w:val="0"/>
          <w:bCs w:val="0"/>
          <w:sz w:val="24"/>
          <w:szCs w:val="24"/>
          <w:rtl/>
          <w:cs/>
          <w:lang w:val="en-US"/>
        </w:rPr>
        <w:t>بوج</w:t>
      </w:r>
      <w:r>
        <w:rPr>
          <w:b w:val="0"/>
          <w:bCs w:val="0"/>
          <w:sz w:val="24"/>
          <w:szCs w:val="24"/>
          <w:rtl/>
          <w:lang w:val="en-US"/>
        </w:rPr>
        <w:t xml:space="preserve"> (</w:t>
      </w:r>
      <w:r>
        <w:rPr>
          <w:b w:val="0"/>
          <w:bCs w:val="0"/>
          <w:sz w:val="24"/>
          <w:szCs w:val="24"/>
          <w:rtl/>
          <w:cs/>
          <w:lang w:val="en-US"/>
        </w:rPr>
        <w:t>الشلف</w:t>
      </w:r>
      <w:r>
        <w:rPr>
          <w:b w:val="0"/>
          <w:bCs w:val="0"/>
          <w:sz w:val="24"/>
          <w:szCs w:val="24"/>
          <w:rtl/>
          <w:lang w:val="en-US"/>
        </w:rPr>
        <w:t xml:space="preserve">) </w:t>
      </w:r>
      <w:r>
        <w:rPr>
          <w:b w:val="0"/>
          <w:bCs w:val="0"/>
          <w:sz w:val="24"/>
          <w:szCs w:val="24"/>
          <w:rtl/>
          <w:cs/>
          <w:lang w:val="en-US"/>
        </w:rPr>
        <w:t>بهدف</w:t>
      </w:r>
      <w:r>
        <w:rPr>
          <w:b w:val="0"/>
          <w:bCs w:val="0"/>
          <w:sz w:val="24"/>
          <w:szCs w:val="24"/>
          <w:rtl/>
          <w:lang w:val="en-US"/>
        </w:rPr>
        <w:t xml:space="preserve"> </w:t>
      </w:r>
      <w:r>
        <w:rPr>
          <w:b w:val="0"/>
          <w:bCs w:val="0"/>
          <w:sz w:val="24"/>
          <w:szCs w:val="24"/>
          <w:rtl/>
          <w:cs/>
          <w:lang w:val="en-US"/>
        </w:rPr>
        <w:t>تحديد</w:t>
      </w:r>
      <w:r>
        <w:rPr>
          <w:b w:val="0"/>
          <w:bCs w:val="0"/>
          <w:sz w:val="24"/>
          <w:szCs w:val="24"/>
          <w:rtl/>
          <w:lang w:val="en-US"/>
        </w:rPr>
        <w:t xml:space="preserve"> </w:t>
      </w:r>
      <w:r>
        <w:rPr>
          <w:b w:val="0"/>
          <w:bCs w:val="0"/>
          <w:sz w:val="24"/>
          <w:szCs w:val="24"/>
          <w:rtl/>
          <w:cs/>
          <w:lang w:val="en-US"/>
        </w:rPr>
        <w:t>العوامل</w:t>
      </w:r>
      <w:r>
        <w:rPr>
          <w:b w:val="0"/>
          <w:bCs w:val="0"/>
          <w:sz w:val="24"/>
          <w:szCs w:val="24"/>
          <w:rtl/>
          <w:lang w:val="en-US"/>
        </w:rPr>
        <w:t xml:space="preserve"> </w:t>
      </w:r>
      <w:r>
        <w:rPr>
          <w:b w:val="0"/>
          <w:bCs w:val="0"/>
          <w:sz w:val="24"/>
          <w:szCs w:val="24"/>
          <w:rtl/>
          <w:cs/>
          <w:lang w:val="en-US"/>
        </w:rPr>
        <w:t>الميكروبية</w:t>
      </w:r>
      <w:r>
        <w:rPr>
          <w:b w:val="0"/>
          <w:bCs w:val="0"/>
          <w:sz w:val="24"/>
          <w:szCs w:val="24"/>
          <w:rtl/>
          <w:lang w:val="en-US"/>
        </w:rPr>
        <w:t xml:space="preserve"> </w:t>
      </w:r>
      <w:r>
        <w:rPr>
          <w:b w:val="0"/>
          <w:bCs w:val="0"/>
          <w:sz w:val="24"/>
          <w:szCs w:val="24"/>
          <w:rtl/>
          <w:cs/>
          <w:lang w:val="en-US"/>
        </w:rPr>
        <w:t>الموجودة</w:t>
      </w:r>
      <w:r>
        <w:rPr>
          <w:b w:val="0"/>
          <w:bCs w:val="0"/>
          <w:sz w:val="24"/>
          <w:szCs w:val="24"/>
          <w:rtl/>
          <w:lang w:val="en-US"/>
        </w:rPr>
        <w:t xml:space="preserve"> </w:t>
      </w:r>
      <w:r>
        <w:rPr>
          <w:b w:val="0"/>
          <w:bCs w:val="0"/>
          <w:sz w:val="24"/>
          <w:szCs w:val="24"/>
          <w:rtl/>
          <w:cs/>
          <w:lang w:val="en-US"/>
        </w:rPr>
        <w:t>على</w:t>
      </w:r>
      <w:r>
        <w:rPr>
          <w:b w:val="0"/>
          <w:bCs w:val="0"/>
          <w:sz w:val="24"/>
          <w:szCs w:val="24"/>
          <w:rtl/>
          <w:lang w:val="en-US"/>
        </w:rPr>
        <w:t xml:space="preserve"> </w:t>
      </w:r>
      <w:r>
        <w:rPr>
          <w:b w:val="0"/>
          <w:bCs w:val="0"/>
          <w:sz w:val="24"/>
          <w:szCs w:val="24"/>
          <w:rtl/>
          <w:cs/>
          <w:lang w:val="en-US"/>
        </w:rPr>
        <w:t>الأسطح</w:t>
      </w:r>
      <w:r>
        <w:rPr>
          <w:b w:val="0"/>
          <w:bCs w:val="0"/>
          <w:sz w:val="24"/>
          <w:szCs w:val="24"/>
          <w:rtl/>
          <w:lang w:val="en-US"/>
        </w:rPr>
        <w:t xml:space="preserve"> </w:t>
      </w:r>
      <w:r>
        <w:rPr>
          <w:b w:val="0"/>
          <w:bCs w:val="0"/>
          <w:sz w:val="24"/>
          <w:szCs w:val="24"/>
          <w:rtl/>
          <w:cs/>
          <w:lang w:val="en-US"/>
        </w:rPr>
        <w:t>الاستشفائية</w:t>
      </w:r>
      <w:r>
        <w:rPr>
          <w:b w:val="0"/>
          <w:bCs w:val="0"/>
          <w:sz w:val="24"/>
          <w:szCs w:val="24"/>
          <w:rtl/>
          <w:lang w:val="en-US"/>
        </w:rPr>
        <w:t xml:space="preserve"> </w:t>
      </w:r>
      <w:r>
        <w:rPr>
          <w:b w:val="0"/>
          <w:bCs w:val="0"/>
          <w:sz w:val="24"/>
          <w:szCs w:val="24"/>
          <w:rtl/>
          <w:cs/>
          <w:lang w:val="en-US"/>
        </w:rPr>
        <w:t>وتقييم</w:t>
      </w:r>
      <w:r>
        <w:rPr>
          <w:b w:val="0"/>
          <w:bCs w:val="0"/>
          <w:sz w:val="24"/>
          <w:szCs w:val="24"/>
          <w:rtl/>
          <w:lang w:val="en-US"/>
        </w:rPr>
        <w:t xml:space="preserve"> </w:t>
      </w:r>
      <w:r>
        <w:rPr>
          <w:b w:val="0"/>
          <w:bCs w:val="0"/>
          <w:sz w:val="24"/>
          <w:szCs w:val="24"/>
          <w:rtl/>
          <w:cs/>
          <w:lang w:val="en-US"/>
        </w:rPr>
        <w:t>نمط</w:t>
      </w:r>
      <w:r>
        <w:rPr>
          <w:b w:val="0"/>
          <w:bCs w:val="0"/>
          <w:sz w:val="24"/>
          <w:szCs w:val="24"/>
          <w:rtl/>
          <w:lang w:val="en-US"/>
        </w:rPr>
        <w:t xml:space="preserve"> </w:t>
      </w:r>
      <w:r>
        <w:rPr>
          <w:b w:val="0"/>
          <w:bCs w:val="0"/>
          <w:sz w:val="24"/>
          <w:szCs w:val="24"/>
          <w:rtl/>
          <w:cs/>
          <w:lang w:val="en-US"/>
        </w:rPr>
        <w:t>مقاومتها</w:t>
      </w:r>
      <w:r>
        <w:rPr>
          <w:b w:val="0"/>
          <w:bCs w:val="0"/>
          <w:sz w:val="24"/>
          <w:szCs w:val="24"/>
          <w:rtl/>
          <w:lang w:val="en-US"/>
        </w:rPr>
        <w:t xml:space="preserve"> </w:t>
      </w:r>
      <w:r>
        <w:rPr>
          <w:b w:val="0"/>
          <w:bCs w:val="0"/>
          <w:sz w:val="24"/>
          <w:szCs w:val="24"/>
          <w:rtl/>
          <w:cs/>
          <w:lang w:val="en-US"/>
        </w:rPr>
        <w:t>للمضادات</w:t>
      </w:r>
      <w:r>
        <w:rPr>
          <w:b w:val="0"/>
          <w:bCs w:val="0"/>
          <w:sz w:val="24"/>
          <w:szCs w:val="24"/>
          <w:rtl/>
          <w:lang w:val="en-US"/>
        </w:rPr>
        <w:t xml:space="preserve"> </w:t>
      </w:r>
      <w:r>
        <w:rPr>
          <w:b w:val="0"/>
          <w:bCs w:val="0"/>
          <w:sz w:val="24"/>
          <w:szCs w:val="24"/>
          <w:rtl/>
          <w:cs/>
          <w:lang w:val="en-US"/>
        </w:rPr>
        <w:t>الحيوية</w:t>
      </w:r>
      <w:r>
        <w:rPr>
          <w:b w:val="0"/>
          <w:bCs w:val="0"/>
          <w:sz w:val="24"/>
          <w:szCs w:val="24"/>
          <w:rtl/>
          <w:lang w:val="en-US"/>
        </w:rPr>
        <w:t>.</w:t>
      </w:r>
    </w:p>
    <w:p w14:paraId="4B3036B8" w14:textId="77777777" w:rsidR="00B611D1" w:rsidRDefault="00B611D1">
      <w:pPr>
        <w:pStyle w:val="Titre2"/>
        <w:bidi/>
        <w:spacing w:before="69" w:line="360" w:lineRule="auto"/>
        <w:ind w:left="251" w:right="272"/>
        <w:jc w:val="both"/>
        <w:rPr>
          <w:sz w:val="24"/>
          <w:szCs w:val="24"/>
          <w:rtl/>
          <w:lang w:val="en-US"/>
        </w:rPr>
      </w:pPr>
    </w:p>
    <w:p w14:paraId="13B00032" w14:textId="77777777" w:rsidR="00B611D1" w:rsidRDefault="00FB7689">
      <w:pPr>
        <w:pStyle w:val="Titre2"/>
        <w:bidi/>
        <w:spacing w:before="69" w:line="360" w:lineRule="auto"/>
        <w:ind w:left="251" w:right="272"/>
        <w:jc w:val="both"/>
        <w:rPr>
          <w:b w:val="0"/>
          <w:bCs w:val="0"/>
          <w:sz w:val="24"/>
          <w:szCs w:val="24"/>
          <w:lang w:val="fr-FR"/>
        </w:rPr>
      </w:pPr>
      <w:r>
        <w:rPr>
          <w:b w:val="0"/>
          <w:bCs w:val="0"/>
          <w:sz w:val="24"/>
          <w:szCs w:val="24"/>
          <w:rtl/>
          <w:cs/>
          <w:lang w:val="en-US"/>
        </w:rPr>
        <w:t>أتاحت</w:t>
      </w:r>
      <w:r>
        <w:rPr>
          <w:b w:val="0"/>
          <w:bCs w:val="0"/>
          <w:sz w:val="24"/>
          <w:szCs w:val="24"/>
          <w:rtl/>
          <w:lang w:val="en-US"/>
        </w:rPr>
        <w:t xml:space="preserve"> </w:t>
      </w:r>
      <w:r>
        <w:rPr>
          <w:b w:val="0"/>
          <w:bCs w:val="0"/>
          <w:sz w:val="24"/>
          <w:szCs w:val="24"/>
          <w:rtl/>
          <w:lang w:val="en-US" w:bidi="ar-DZ"/>
        </w:rPr>
        <w:t>ثلاثة عشر</w:t>
      </w:r>
      <w:r>
        <w:rPr>
          <w:b w:val="0"/>
          <w:bCs w:val="0"/>
          <w:sz w:val="24"/>
          <w:szCs w:val="24"/>
          <w:rtl/>
          <w:cs/>
          <w:lang w:val="en-US"/>
        </w:rPr>
        <w:t>عيّنة</w:t>
      </w:r>
      <w:r>
        <w:rPr>
          <w:b w:val="0"/>
          <w:bCs w:val="0"/>
          <w:sz w:val="24"/>
          <w:szCs w:val="24"/>
          <w:rtl/>
          <w:lang w:val="en-US"/>
        </w:rPr>
        <w:t xml:space="preserve"> </w:t>
      </w:r>
      <w:r>
        <w:rPr>
          <w:b w:val="0"/>
          <w:bCs w:val="0"/>
          <w:sz w:val="24"/>
          <w:szCs w:val="24"/>
          <w:rtl/>
          <w:cs/>
          <w:lang w:val="en-US"/>
        </w:rPr>
        <w:t>تم</w:t>
      </w:r>
      <w:r>
        <w:rPr>
          <w:b w:val="0"/>
          <w:bCs w:val="0"/>
          <w:sz w:val="24"/>
          <w:szCs w:val="24"/>
          <w:rtl/>
          <w:lang w:val="en-US"/>
        </w:rPr>
        <w:t xml:space="preserve"> </w:t>
      </w:r>
      <w:r>
        <w:rPr>
          <w:b w:val="0"/>
          <w:bCs w:val="0"/>
          <w:sz w:val="24"/>
          <w:szCs w:val="24"/>
          <w:rtl/>
          <w:cs/>
          <w:lang w:val="en-US"/>
        </w:rPr>
        <w:t>أخذها</w:t>
      </w:r>
      <w:r>
        <w:rPr>
          <w:b w:val="0"/>
          <w:bCs w:val="0"/>
          <w:sz w:val="24"/>
          <w:szCs w:val="24"/>
          <w:rtl/>
          <w:lang w:val="en-US"/>
        </w:rPr>
        <w:t xml:space="preserve"> </w:t>
      </w:r>
      <w:r>
        <w:rPr>
          <w:b w:val="0"/>
          <w:bCs w:val="0"/>
          <w:sz w:val="24"/>
          <w:szCs w:val="24"/>
          <w:rtl/>
          <w:cs/>
          <w:lang w:val="en-US"/>
        </w:rPr>
        <w:t>من</w:t>
      </w:r>
      <w:r>
        <w:rPr>
          <w:b w:val="0"/>
          <w:bCs w:val="0"/>
          <w:sz w:val="24"/>
          <w:szCs w:val="24"/>
          <w:rtl/>
          <w:lang w:val="en-US"/>
        </w:rPr>
        <w:t xml:space="preserve"> </w:t>
      </w:r>
      <w:r>
        <w:rPr>
          <w:b w:val="0"/>
          <w:bCs w:val="0"/>
          <w:sz w:val="24"/>
          <w:szCs w:val="24"/>
          <w:rtl/>
          <w:cs/>
          <w:lang w:val="en-US"/>
        </w:rPr>
        <w:t>أسطح</w:t>
      </w:r>
      <w:r>
        <w:rPr>
          <w:b w:val="0"/>
          <w:bCs w:val="0"/>
          <w:sz w:val="24"/>
          <w:szCs w:val="24"/>
          <w:rtl/>
          <w:lang w:val="en-US"/>
        </w:rPr>
        <w:t xml:space="preserve"> </w:t>
      </w:r>
      <w:r>
        <w:rPr>
          <w:b w:val="0"/>
          <w:bCs w:val="0"/>
          <w:sz w:val="24"/>
          <w:szCs w:val="24"/>
          <w:rtl/>
          <w:cs/>
          <w:lang w:val="en-US"/>
        </w:rPr>
        <w:t>مختلفة</w:t>
      </w:r>
      <w:r>
        <w:rPr>
          <w:b w:val="0"/>
          <w:bCs w:val="0"/>
          <w:sz w:val="24"/>
          <w:szCs w:val="24"/>
          <w:rtl/>
          <w:lang w:val="en-US"/>
        </w:rPr>
        <w:t xml:space="preserve"> </w:t>
      </w:r>
      <w:r>
        <w:rPr>
          <w:b w:val="0"/>
          <w:bCs w:val="0"/>
          <w:sz w:val="24"/>
          <w:szCs w:val="24"/>
          <w:rtl/>
          <w:cs/>
          <w:lang w:val="en-US"/>
        </w:rPr>
        <w:t>على</w:t>
      </w:r>
      <w:r>
        <w:rPr>
          <w:b w:val="0"/>
          <w:bCs w:val="0"/>
          <w:sz w:val="24"/>
          <w:szCs w:val="24"/>
          <w:rtl/>
          <w:lang w:val="en-US"/>
        </w:rPr>
        <w:t xml:space="preserve"> </w:t>
      </w:r>
      <w:r>
        <w:rPr>
          <w:b w:val="0"/>
          <w:bCs w:val="0"/>
          <w:sz w:val="24"/>
          <w:szCs w:val="24"/>
          <w:rtl/>
          <w:cs/>
          <w:lang w:val="en-US"/>
        </w:rPr>
        <w:t>تماس</w:t>
      </w:r>
      <w:r>
        <w:rPr>
          <w:b w:val="0"/>
          <w:bCs w:val="0"/>
          <w:sz w:val="24"/>
          <w:szCs w:val="24"/>
          <w:rtl/>
          <w:lang w:val="en-US"/>
        </w:rPr>
        <w:t xml:space="preserve"> </w:t>
      </w:r>
      <w:r>
        <w:rPr>
          <w:b w:val="0"/>
          <w:bCs w:val="0"/>
          <w:sz w:val="24"/>
          <w:szCs w:val="24"/>
          <w:rtl/>
          <w:cs/>
          <w:lang w:val="en-US"/>
        </w:rPr>
        <w:t>مع</w:t>
      </w:r>
      <w:r>
        <w:rPr>
          <w:b w:val="0"/>
          <w:bCs w:val="0"/>
          <w:sz w:val="24"/>
          <w:szCs w:val="24"/>
          <w:rtl/>
          <w:lang w:val="en-US"/>
        </w:rPr>
        <w:t xml:space="preserve"> </w:t>
      </w:r>
      <w:r>
        <w:rPr>
          <w:b w:val="0"/>
          <w:bCs w:val="0"/>
          <w:sz w:val="24"/>
          <w:szCs w:val="24"/>
          <w:rtl/>
          <w:cs/>
          <w:lang w:val="en-US"/>
        </w:rPr>
        <w:t>المرضى</w:t>
      </w:r>
      <w:r>
        <w:rPr>
          <w:b w:val="0"/>
          <w:bCs w:val="0"/>
          <w:sz w:val="24"/>
          <w:szCs w:val="24"/>
          <w:rtl/>
          <w:lang w:val="en-US"/>
        </w:rPr>
        <w:t xml:space="preserve"> </w:t>
      </w:r>
      <w:r>
        <w:rPr>
          <w:b w:val="0"/>
          <w:bCs w:val="0"/>
          <w:sz w:val="24"/>
          <w:szCs w:val="24"/>
          <w:rtl/>
          <w:cs/>
          <w:lang w:val="en-US"/>
        </w:rPr>
        <w:t>والعاملين،</w:t>
      </w:r>
      <w:r>
        <w:rPr>
          <w:b w:val="0"/>
          <w:bCs w:val="0"/>
          <w:sz w:val="24"/>
          <w:szCs w:val="24"/>
          <w:rtl/>
          <w:lang w:val="en-US"/>
        </w:rPr>
        <w:t xml:space="preserve"> </w:t>
      </w:r>
      <w:r>
        <w:rPr>
          <w:b w:val="0"/>
          <w:bCs w:val="0"/>
          <w:sz w:val="24"/>
          <w:szCs w:val="24"/>
          <w:rtl/>
          <w:cs/>
          <w:lang w:val="en-US"/>
        </w:rPr>
        <w:t>عزلَ</w:t>
      </w:r>
      <w:r>
        <w:rPr>
          <w:b w:val="0"/>
          <w:bCs w:val="0"/>
          <w:sz w:val="24"/>
          <w:szCs w:val="24"/>
          <w:rtl/>
          <w:lang w:val="en-US"/>
        </w:rPr>
        <w:t xml:space="preserve"> </w:t>
      </w:r>
      <w:r>
        <w:rPr>
          <w:b w:val="0"/>
          <w:bCs w:val="0"/>
          <w:sz w:val="24"/>
          <w:szCs w:val="24"/>
          <w:rtl/>
          <w:cs/>
          <w:lang w:val="en-US"/>
        </w:rPr>
        <w:t>عدة</w:t>
      </w:r>
      <w:r>
        <w:rPr>
          <w:b w:val="0"/>
          <w:bCs w:val="0"/>
          <w:sz w:val="24"/>
          <w:szCs w:val="24"/>
          <w:rtl/>
          <w:lang w:val="en-US"/>
        </w:rPr>
        <w:t xml:space="preserve"> </w:t>
      </w:r>
      <w:r>
        <w:rPr>
          <w:b w:val="0"/>
          <w:bCs w:val="0"/>
          <w:sz w:val="24"/>
          <w:szCs w:val="24"/>
          <w:rtl/>
          <w:cs/>
          <w:lang w:val="en-US"/>
        </w:rPr>
        <w:t>أنواع</w:t>
      </w:r>
      <w:r>
        <w:rPr>
          <w:b w:val="0"/>
          <w:bCs w:val="0"/>
          <w:sz w:val="24"/>
          <w:szCs w:val="24"/>
          <w:rtl/>
          <w:lang w:val="en-US"/>
        </w:rPr>
        <w:t xml:space="preserve"> </w:t>
      </w:r>
      <w:r>
        <w:rPr>
          <w:b w:val="0"/>
          <w:bCs w:val="0"/>
          <w:sz w:val="24"/>
          <w:szCs w:val="24"/>
          <w:rtl/>
          <w:cs/>
          <w:lang w:val="en-US"/>
        </w:rPr>
        <w:t>بكتيرية،</w:t>
      </w:r>
      <w:r>
        <w:rPr>
          <w:b w:val="0"/>
          <w:bCs w:val="0"/>
          <w:sz w:val="24"/>
          <w:szCs w:val="24"/>
          <w:rtl/>
          <w:lang w:val="en-US" w:bidi="ar-DZ"/>
        </w:rPr>
        <w:t xml:space="preserve"> </w:t>
      </w:r>
      <w:r>
        <w:rPr>
          <w:b w:val="0"/>
          <w:bCs w:val="0"/>
          <w:sz w:val="24"/>
          <w:szCs w:val="24"/>
          <w:rtl/>
          <w:cs/>
          <w:lang w:val="en-US"/>
        </w:rPr>
        <w:t>من</w:t>
      </w:r>
      <w:r>
        <w:rPr>
          <w:b w:val="0"/>
          <w:bCs w:val="0"/>
          <w:sz w:val="24"/>
          <w:szCs w:val="24"/>
          <w:rtl/>
          <w:lang w:val="en-US"/>
        </w:rPr>
        <w:t xml:space="preserve"> </w:t>
      </w:r>
      <w:r>
        <w:rPr>
          <w:b w:val="0"/>
          <w:bCs w:val="0"/>
          <w:sz w:val="24"/>
          <w:szCs w:val="24"/>
          <w:rtl/>
          <w:cs/>
          <w:lang w:val="en-US"/>
        </w:rPr>
        <w:t>بينها</w:t>
      </w:r>
      <w:r>
        <w:rPr>
          <w:b w:val="0"/>
          <w:bCs w:val="0"/>
          <w:sz w:val="24"/>
          <w:szCs w:val="24"/>
          <w:rtl/>
          <w:lang w:val="en-US" w:bidi="ar-DZ"/>
        </w:rPr>
        <w:t xml:space="preserve"> </w:t>
      </w:r>
      <w:r>
        <w:rPr>
          <w:rStyle w:val="Accentuation"/>
          <w:b w:val="0"/>
          <w:bCs w:val="0"/>
          <w:sz w:val="24"/>
          <w:szCs w:val="24"/>
          <w:lang w:val="fr-FR"/>
        </w:rPr>
        <w:t>Staphylococcus aureus</w:t>
      </w:r>
      <w:r>
        <w:rPr>
          <w:b w:val="0"/>
          <w:bCs w:val="0"/>
          <w:sz w:val="24"/>
          <w:szCs w:val="24"/>
          <w:lang w:val="fr-FR"/>
        </w:rPr>
        <w:t xml:space="preserve"> </w:t>
      </w:r>
      <w:r>
        <w:rPr>
          <w:b w:val="0"/>
          <w:bCs w:val="0"/>
          <w:sz w:val="24"/>
          <w:szCs w:val="24"/>
          <w:rtl/>
          <w:lang w:val="en-US" w:bidi="ar-DZ"/>
        </w:rPr>
        <w:t xml:space="preserve"> بنسبة (</w:t>
      </w:r>
      <w:r>
        <w:rPr>
          <w:b w:val="0"/>
          <w:bCs w:val="0"/>
          <w:sz w:val="24"/>
          <w:szCs w:val="24"/>
          <w:rtl/>
          <w:lang w:val="en-US"/>
        </w:rPr>
        <w:t>%</w:t>
      </w:r>
      <w:r>
        <w:rPr>
          <w:b w:val="0"/>
          <w:bCs w:val="0"/>
          <w:sz w:val="24"/>
          <w:szCs w:val="24"/>
          <w:rtl/>
          <w:lang w:val="en-US" w:bidi="ar-DZ"/>
        </w:rPr>
        <w:t>15,40)</w:t>
      </w:r>
      <w:r>
        <w:rPr>
          <w:b w:val="0"/>
          <w:bCs w:val="0"/>
          <w:sz w:val="24"/>
          <w:szCs w:val="24"/>
          <w:rtl/>
          <w:cs/>
          <w:lang w:val="en-US"/>
        </w:rPr>
        <w:t>،</w:t>
      </w:r>
      <w:r>
        <w:rPr>
          <w:b w:val="0"/>
          <w:bCs w:val="0"/>
          <w:sz w:val="24"/>
          <w:szCs w:val="24"/>
          <w:rtl/>
          <w:lang w:val="en-US"/>
        </w:rPr>
        <w:t xml:space="preserve"> </w:t>
      </w:r>
      <w:r>
        <w:rPr>
          <w:b w:val="0"/>
          <w:bCs w:val="0"/>
          <w:sz w:val="24"/>
          <w:szCs w:val="24"/>
          <w:rtl/>
          <w:cs/>
          <w:lang w:val="en-US"/>
        </w:rPr>
        <w:t>و</w:t>
      </w:r>
      <w:r>
        <w:rPr>
          <w:b w:val="0"/>
          <w:bCs w:val="0"/>
          <w:sz w:val="24"/>
          <w:szCs w:val="24"/>
          <w:lang w:val="fr-FR"/>
        </w:rPr>
        <w:t xml:space="preserve"> </w:t>
      </w:r>
      <w:r>
        <w:rPr>
          <w:b w:val="0"/>
          <w:bCs w:val="0"/>
          <w:i/>
          <w:iCs/>
          <w:sz w:val="24"/>
          <w:szCs w:val="24"/>
          <w:rtl/>
          <w:lang w:val="en-US"/>
        </w:rPr>
        <w:t>Staphylococcus hominis</w:t>
      </w:r>
      <w:r>
        <w:rPr>
          <w:b w:val="0"/>
          <w:bCs w:val="0"/>
          <w:sz w:val="24"/>
          <w:szCs w:val="24"/>
          <w:rtl/>
          <w:cs/>
          <w:lang w:val="en-US"/>
        </w:rPr>
        <w:t>و</w:t>
      </w:r>
      <w:r>
        <w:rPr>
          <w:b w:val="0"/>
          <w:bCs w:val="0"/>
          <w:i/>
          <w:iCs/>
          <w:sz w:val="24"/>
          <w:szCs w:val="24"/>
          <w:rtl/>
          <w:lang w:val="en-US"/>
        </w:rPr>
        <w:t>Klebsiella pneumoniae</w:t>
      </w:r>
      <w:r>
        <w:rPr>
          <w:b w:val="0"/>
          <w:bCs w:val="0"/>
          <w:sz w:val="24"/>
          <w:szCs w:val="24"/>
          <w:rtl/>
          <w:lang w:val="en-US"/>
        </w:rPr>
        <w:t xml:space="preserve"> </w:t>
      </w:r>
      <w:r>
        <w:rPr>
          <w:b w:val="0"/>
          <w:bCs w:val="0"/>
          <w:sz w:val="24"/>
          <w:szCs w:val="24"/>
          <w:rtl/>
          <w:cs/>
          <w:lang w:val="en-US"/>
        </w:rPr>
        <w:t>و</w:t>
      </w:r>
      <w:r>
        <w:rPr>
          <w:b w:val="0"/>
          <w:bCs w:val="0"/>
          <w:i/>
          <w:iCs/>
          <w:sz w:val="24"/>
          <w:szCs w:val="24"/>
          <w:rtl/>
          <w:lang w:val="en-US"/>
        </w:rPr>
        <w:t>Serratia marcescens</w:t>
      </w:r>
      <w:r>
        <w:rPr>
          <w:b w:val="0"/>
          <w:bCs w:val="0"/>
          <w:sz w:val="24"/>
          <w:szCs w:val="24"/>
          <w:rtl/>
          <w:lang w:val="en-US"/>
        </w:rPr>
        <w:t xml:space="preserve"> </w:t>
      </w:r>
      <w:r>
        <w:rPr>
          <w:b w:val="0"/>
          <w:bCs w:val="0"/>
          <w:sz w:val="24"/>
          <w:szCs w:val="24"/>
          <w:rtl/>
          <w:cs/>
          <w:lang w:val="en-US"/>
        </w:rPr>
        <w:t>و</w:t>
      </w:r>
      <w:r>
        <w:rPr>
          <w:b w:val="0"/>
          <w:bCs w:val="0"/>
          <w:sz w:val="24"/>
          <w:szCs w:val="24"/>
          <w:lang w:val="fr-FR"/>
        </w:rPr>
        <w:t xml:space="preserve"> </w:t>
      </w:r>
      <w:r>
        <w:rPr>
          <w:b w:val="0"/>
          <w:bCs w:val="0"/>
          <w:i/>
          <w:iCs/>
          <w:sz w:val="24"/>
          <w:szCs w:val="24"/>
          <w:rtl/>
          <w:lang w:val="en-US"/>
        </w:rPr>
        <w:t>Acinetobacter baumannii</w:t>
      </w:r>
      <w:r>
        <w:rPr>
          <w:b w:val="0"/>
          <w:bCs w:val="0"/>
          <w:sz w:val="24"/>
          <w:szCs w:val="24"/>
          <w:rtl/>
          <w:lang w:val="en-US"/>
        </w:rPr>
        <w:t xml:space="preserve"> </w:t>
      </w:r>
      <w:r>
        <w:rPr>
          <w:b w:val="0"/>
          <w:bCs w:val="0"/>
          <w:sz w:val="24"/>
          <w:szCs w:val="24"/>
          <w:rtl/>
          <w:cs/>
          <w:lang w:val="en-US"/>
        </w:rPr>
        <w:t>بنسبة</w:t>
      </w:r>
      <w:r>
        <w:rPr>
          <w:b w:val="0"/>
          <w:bCs w:val="0"/>
          <w:sz w:val="24"/>
          <w:szCs w:val="24"/>
          <w:rtl/>
          <w:lang w:val="en-US"/>
        </w:rPr>
        <w:t xml:space="preserve"> </w:t>
      </w:r>
      <w:r>
        <w:rPr>
          <w:b w:val="0"/>
          <w:bCs w:val="0"/>
          <w:sz w:val="24"/>
          <w:szCs w:val="24"/>
          <w:lang w:val="fr-FR"/>
        </w:rPr>
        <w:t>)</w:t>
      </w:r>
      <w:r>
        <w:rPr>
          <w:b w:val="0"/>
          <w:bCs w:val="0"/>
          <w:sz w:val="24"/>
          <w:szCs w:val="24"/>
          <w:rtl/>
          <w:lang w:val="en-US"/>
        </w:rPr>
        <w:t xml:space="preserve">7,70% </w:t>
      </w:r>
      <w:r>
        <w:rPr>
          <w:b w:val="0"/>
          <w:bCs w:val="0"/>
          <w:sz w:val="24"/>
          <w:szCs w:val="24"/>
          <w:rtl/>
          <w:cs/>
          <w:lang w:val="en-US"/>
        </w:rPr>
        <w:t>لكل</w:t>
      </w:r>
      <w:r>
        <w:rPr>
          <w:b w:val="0"/>
          <w:bCs w:val="0"/>
          <w:sz w:val="24"/>
          <w:szCs w:val="24"/>
          <w:rtl/>
          <w:lang w:val="en-US"/>
        </w:rPr>
        <w:t xml:space="preserve"> </w:t>
      </w:r>
      <w:r>
        <w:rPr>
          <w:b w:val="0"/>
          <w:bCs w:val="0"/>
          <w:sz w:val="24"/>
          <w:szCs w:val="24"/>
          <w:rtl/>
          <w:cs/>
          <w:lang w:val="en-US"/>
        </w:rPr>
        <w:t>منها</w:t>
      </w:r>
      <w:r>
        <w:rPr>
          <w:b w:val="0"/>
          <w:bCs w:val="0"/>
          <w:sz w:val="24"/>
          <w:szCs w:val="24"/>
          <w:rtl/>
          <w:lang w:val="en-US"/>
        </w:rPr>
        <w:t xml:space="preserve">). </w:t>
      </w:r>
      <w:r>
        <w:rPr>
          <w:b w:val="0"/>
          <w:bCs w:val="0"/>
          <w:sz w:val="24"/>
          <w:szCs w:val="24"/>
          <w:rtl/>
          <w:cs/>
          <w:lang w:val="en-US"/>
        </w:rPr>
        <w:t>أما</w:t>
      </w:r>
      <w:r>
        <w:rPr>
          <w:b w:val="0"/>
          <w:bCs w:val="0"/>
          <w:sz w:val="24"/>
          <w:szCs w:val="24"/>
          <w:rtl/>
          <w:lang w:val="en-US"/>
        </w:rPr>
        <w:t xml:space="preserve"> </w:t>
      </w:r>
      <w:r>
        <w:rPr>
          <w:b w:val="0"/>
          <w:bCs w:val="0"/>
          <w:sz w:val="24"/>
          <w:szCs w:val="24"/>
          <w:rtl/>
          <w:cs/>
          <w:lang w:val="en-US"/>
        </w:rPr>
        <w:t>العزلات</w:t>
      </w:r>
      <w:r>
        <w:rPr>
          <w:b w:val="0"/>
          <w:bCs w:val="0"/>
          <w:sz w:val="24"/>
          <w:szCs w:val="24"/>
          <w:rtl/>
          <w:lang w:val="en-US"/>
        </w:rPr>
        <w:t xml:space="preserve"> </w:t>
      </w:r>
      <w:r>
        <w:rPr>
          <w:b w:val="0"/>
          <w:bCs w:val="0"/>
          <w:sz w:val="24"/>
          <w:szCs w:val="24"/>
          <w:rtl/>
          <w:cs/>
          <w:lang w:val="en-US"/>
        </w:rPr>
        <w:t>المتبقية</w:t>
      </w:r>
      <w:r>
        <w:rPr>
          <w:b w:val="0"/>
          <w:bCs w:val="0"/>
          <w:sz w:val="24"/>
          <w:szCs w:val="24"/>
          <w:rtl/>
          <w:lang w:val="en-US"/>
        </w:rPr>
        <w:t xml:space="preserve"> (53,8%)</w:t>
      </w:r>
      <w:r>
        <w:rPr>
          <w:b w:val="0"/>
          <w:bCs w:val="0"/>
          <w:sz w:val="24"/>
          <w:szCs w:val="24"/>
          <w:rtl/>
          <w:cs/>
          <w:lang w:val="en-US"/>
        </w:rPr>
        <w:t>،</w:t>
      </w:r>
      <w:r>
        <w:rPr>
          <w:b w:val="0"/>
          <w:bCs w:val="0"/>
          <w:sz w:val="24"/>
          <w:szCs w:val="24"/>
          <w:rtl/>
          <w:lang w:val="en-US"/>
        </w:rPr>
        <w:t xml:space="preserve"> </w:t>
      </w:r>
      <w:r>
        <w:rPr>
          <w:b w:val="0"/>
          <w:bCs w:val="0"/>
          <w:sz w:val="24"/>
          <w:szCs w:val="24"/>
          <w:rtl/>
          <w:cs/>
          <w:lang w:val="en-US"/>
        </w:rPr>
        <w:t>والتي</w:t>
      </w:r>
      <w:r>
        <w:rPr>
          <w:b w:val="0"/>
          <w:bCs w:val="0"/>
          <w:sz w:val="24"/>
          <w:szCs w:val="24"/>
          <w:rtl/>
          <w:lang w:val="en-US"/>
        </w:rPr>
        <w:t xml:space="preserve"> </w:t>
      </w:r>
      <w:r>
        <w:rPr>
          <w:b w:val="0"/>
          <w:bCs w:val="0"/>
          <w:sz w:val="24"/>
          <w:szCs w:val="24"/>
          <w:rtl/>
          <w:cs/>
          <w:lang w:val="en-US"/>
        </w:rPr>
        <w:t>كانت</w:t>
      </w:r>
      <w:r>
        <w:rPr>
          <w:b w:val="0"/>
          <w:bCs w:val="0"/>
          <w:sz w:val="24"/>
          <w:szCs w:val="24"/>
          <w:rtl/>
          <w:lang w:val="en-US"/>
        </w:rPr>
        <w:t xml:space="preserve"> </w:t>
      </w:r>
      <w:r>
        <w:rPr>
          <w:b w:val="0"/>
          <w:bCs w:val="0"/>
          <w:sz w:val="24"/>
          <w:szCs w:val="24"/>
          <w:rtl/>
          <w:cs/>
          <w:lang w:val="en-US"/>
        </w:rPr>
        <w:t>في</w:t>
      </w:r>
      <w:r>
        <w:rPr>
          <w:b w:val="0"/>
          <w:bCs w:val="0"/>
          <w:sz w:val="24"/>
          <w:szCs w:val="24"/>
          <w:rtl/>
          <w:lang w:val="en-US"/>
        </w:rPr>
        <w:t xml:space="preserve"> </w:t>
      </w:r>
      <w:r>
        <w:rPr>
          <w:b w:val="0"/>
          <w:bCs w:val="0"/>
          <w:sz w:val="24"/>
          <w:szCs w:val="24"/>
          <w:rtl/>
          <w:cs/>
          <w:lang w:val="en-US"/>
        </w:rPr>
        <w:t>الغالب</w:t>
      </w:r>
      <w:r>
        <w:rPr>
          <w:b w:val="0"/>
          <w:bCs w:val="0"/>
          <w:sz w:val="24"/>
          <w:szCs w:val="24"/>
          <w:rtl/>
          <w:lang w:val="en-US"/>
        </w:rPr>
        <w:t xml:space="preserve"> </w:t>
      </w:r>
      <w:r>
        <w:rPr>
          <w:b w:val="0"/>
          <w:bCs w:val="0"/>
          <w:sz w:val="24"/>
          <w:szCs w:val="24"/>
          <w:rtl/>
          <w:cs/>
          <w:lang w:val="en-US"/>
        </w:rPr>
        <w:t>عصيات</w:t>
      </w:r>
      <w:r>
        <w:rPr>
          <w:b w:val="0"/>
          <w:bCs w:val="0"/>
          <w:sz w:val="24"/>
          <w:szCs w:val="24"/>
          <w:rtl/>
          <w:lang w:val="en-US"/>
        </w:rPr>
        <w:t xml:space="preserve"> </w:t>
      </w:r>
      <w:r>
        <w:rPr>
          <w:b w:val="0"/>
          <w:bCs w:val="0"/>
          <w:sz w:val="24"/>
          <w:szCs w:val="24"/>
          <w:rtl/>
          <w:cs/>
          <w:lang w:val="en-US"/>
        </w:rPr>
        <w:t>موجبة</w:t>
      </w:r>
      <w:r>
        <w:rPr>
          <w:b w:val="0"/>
          <w:bCs w:val="0"/>
          <w:sz w:val="24"/>
          <w:szCs w:val="24"/>
          <w:rtl/>
          <w:lang w:val="en-US"/>
        </w:rPr>
        <w:t xml:space="preserve"> </w:t>
      </w:r>
      <w:r>
        <w:rPr>
          <w:b w:val="0"/>
          <w:bCs w:val="0"/>
          <w:sz w:val="24"/>
          <w:szCs w:val="24"/>
          <w:rtl/>
          <w:cs/>
          <w:lang w:val="en-US"/>
        </w:rPr>
        <w:t>الجرام</w:t>
      </w:r>
      <w:r>
        <w:rPr>
          <w:b w:val="0"/>
          <w:bCs w:val="0"/>
          <w:sz w:val="24"/>
          <w:szCs w:val="24"/>
          <w:rtl/>
          <w:lang w:val="en-US"/>
        </w:rPr>
        <w:t xml:space="preserve"> </w:t>
      </w:r>
      <w:r>
        <w:rPr>
          <w:b w:val="0"/>
          <w:bCs w:val="0"/>
          <w:sz w:val="24"/>
          <w:szCs w:val="24"/>
          <w:rtl/>
          <w:cs/>
          <w:lang w:val="en-US"/>
        </w:rPr>
        <w:t>غير</w:t>
      </w:r>
      <w:r>
        <w:rPr>
          <w:b w:val="0"/>
          <w:bCs w:val="0"/>
          <w:sz w:val="24"/>
          <w:szCs w:val="24"/>
          <w:rtl/>
          <w:lang w:val="en-US"/>
        </w:rPr>
        <w:t xml:space="preserve"> </w:t>
      </w:r>
      <w:r>
        <w:rPr>
          <w:b w:val="0"/>
          <w:bCs w:val="0"/>
          <w:sz w:val="24"/>
          <w:szCs w:val="24"/>
          <w:rtl/>
          <w:cs/>
          <w:lang w:val="en-US"/>
        </w:rPr>
        <w:t>مرتبطة</w:t>
      </w:r>
      <w:r>
        <w:rPr>
          <w:b w:val="0"/>
          <w:bCs w:val="0"/>
          <w:sz w:val="24"/>
          <w:szCs w:val="24"/>
          <w:rtl/>
          <w:lang w:val="en-US"/>
        </w:rPr>
        <w:t xml:space="preserve"> </w:t>
      </w:r>
      <w:r>
        <w:rPr>
          <w:b w:val="0"/>
          <w:bCs w:val="0"/>
          <w:sz w:val="24"/>
          <w:szCs w:val="24"/>
          <w:rtl/>
          <w:cs/>
          <w:lang w:val="en-US"/>
        </w:rPr>
        <w:t>بشكل</w:t>
      </w:r>
      <w:r>
        <w:rPr>
          <w:b w:val="0"/>
          <w:bCs w:val="0"/>
          <w:sz w:val="24"/>
          <w:szCs w:val="24"/>
          <w:rtl/>
          <w:lang w:val="en-US"/>
        </w:rPr>
        <w:t xml:space="preserve"> </w:t>
      </w:r>
      <w:r>
        <w:rPr>
          <w:b w:val="0"/>
          <w:bCs w:val="0"/>
          <w:sz w:val="24"/>
          <w:szCs w:val="24"/>
          <w:rtl/>
          <w:cs/>
          <w:lang w:val="en-US"/>
        </w:rPr>
        <w:t>شائع</w:t>
      </w:r>
      <w:r>
        <w:rPr>
          <w:b w:val="0"/>
          <w:bCs w:val="0"/>
          <w:sz w:val="24"/>
          <w:szCs w:val="24"/>
          <w:rtl/>
          <w:lang w:val="en-US"/>
        </w:rPr>
        <w:t xml:space="preserve"> </w:t>
      </w:r>
      <w:r>
        <w:rPr>
          <w:b w:val="0"/>
          <w:bCs w:val="0"/>
          <w:sz w:val="24"/>
          <w:szCs w:val="24"/>
          <w:rtl/>
          <w:cs/>
          <w:lang w:val="en-US"/>
        </w:rPr>
        <w:t>بالعدوى</w:t>
      </w:r>
      <w:r>
        <w:rPr>
          <w:b w:val="0"/>
          <w:bCs w:val="0"/>
          <w:sz w:val="24"/>
          <w:szCs w:val="24"/>
          <w:rtl/>
          <w:lang w:val="en-US"/>
        </w:rPr>
        <w:t xml:space="preserve"> </w:t>
      </w:r>
      <w:r>
        <w:rPr>
          <w:b w:val="0"/>
          <w:bCs w:val="0"/>
          <w:sz w:val="24"/>
          <w:szCs w:val="24"/>
          <w:rtl/>
          <w:cs/>
          <w:lang w:val="en-US"/>
        </w:rPr>
        <w:t>المرتبطة</w:t>
      </w:r>
      <w:r>
        <w:rPr>
          <w:b w:val="0"/>
          <w:bCs w:val="0"/>
          <w:sz w:val="24"/>
          <w:szCs w:val="24"/>
          <w:rtl/>
          <w:lang w:val="en-US"/>
        </w:rPr>
        <w:t xml:space="preserve"> </w:t>
      </w:r>
      <w:r>
        <w:rPr>
          <w:b w:val="0"/>
          <w:bCs w:val="0"/>
          <w:sz w:val="24"/>
          <w:szCs w:val="24"/>
          <w:rtl/>
          <w:cs/>
          <w:lang w:val="en-US"/>
        </w:rPr>
        <w:t>با</w:t>
      </w:r>
      <w:r>
        <w:rPr>
          <w:b w:val="0"/>
          <w:bCs w:val="0"/>
          <w:sz w:val="24"/>
          <w:szCs w:val="24"/>
          <w:rtl/>
          <w:lang w:val="en-US" w:bidi="ar-DZ"/>
        </w:rPr>
        <w:t>لمكتسبة في المستشفيات</w:t>
      </w:r>
      <w:r>
        <w:rPr>
          <w:b w:val="0"/>
          <w:bCs w:val="0"/>
          <w:sz w:val="24"/>
          <w:szCs w:val="24"/>
          <w:rtl/>
          <w:cs/>
          <w:lang w:val="en-US"/>
        </w:rPr>
        <w:t>،</w:t>
      </w:r>
      <w:r>
        <w:rPr>
          <w:b w:val="0"/>
          <w:bCs w:val="0"/>
          <w:sz w:val="24"/>
          <w:szCs w:val="24"/>
          <w:rtl/>
          <w:lang w:val="en-US"/>
        </w:rPr>
        <w:t xml:space="preserve"> </w:t>
      </w:r>
      <w:r>
        <w:rPr>
          <w:b w:val="0"/>
          <w:bCs w:val="0"/>
          <w:sz w:val="24"/>
          <w:szCs w:val="24"/>
          <w:rtl/>
          <w:cs/>
          <w:lang w:val="en-US"/>
        </w:rPr>
        <w:t>ولم</w:t>
      </w:r>
      <w:r>
        <w:rPr>
          <w:b w:val="0"/>
          <w:bCs w:val="0"/>
          <w:sz w:val="24"/>
          <w:szCs w:val="24"/>
          <w:rtl/>
          <w:lang w:val="en-US"/>
        </w:rPr>
        <w:t xml:space="preserve"> </w:t>
      </w:r>
      <w:r>
        <w:rPr>
          <w:b w:val="0"/>
          <w:bCs w:val="0"/>
          <w:sz w:val="24"/>
          <w:szCs w:val="24"/>
          <w:rtl/>
          <w:cs/>
          <w:lang w:val="en-US"/>
        </w:rPr>
        <w:t>يتم</w:t>
      </w:r>
      <w:r>
        <w:rPr>
          <w:b w:val="0"/>
          <w:bCs w:val="0"/>
          <w:sz w:val="24"/>
          <w:szCs w:val="24"/>
          <w:rtl/>
          <w:lang w:val="en-US"/>
        </w:rPr>
        <w:t xml:space="preserve"> </w:t>
      </w:r>
      <w:r>
        <w:rPr>
          <w:b w:val="0"/>
          <w:bCs w:val="0"/>
          <w:sz w:val="24"/>
          <w:szCs w:val="24"/>
          <w:rtl/>
          <w:cs/>
          <w:lang w:val="en-US"/>
        </w:rPr>
        <w:t>تحديد</w:t>
      </w:r>
      <w:r>
        <w:rPr>
          <w:b w:val="0"/>
          <w:bCs w:val="0"/>
          <w:sz w:val="24"/>
          <w:szCs w:val="24"/>
          <w:rtl/>
          <w:lang w:val="en-US"/>
        </w:rPr>
        <w:t xml:space="preserve"> </w:t>
      </w:r>
      <w:r>
        <w:rPr>
          <w:b w:val="0"/>
          <w:bCs w:val="0"/>
          <w:sz w:val="24"/>
          <w:szCs w:val="24"/>
          <w:rtl/>
          <w:cs/>
          <w:lang w:val="en-US"/>
        </w:rPr>
        <w:t>هويتها</w:t>
      </w:r>
      <w:r>
        <w:rPr>
          <w:b w:val="0"/>
          <w:bCs w:val="0"/>
          <w:sz w:val="24"/>
          <w:szCs w:val="24"/>
          <w:rtl/>
          <w:lang w:val="en-US"/>
        </w:rPr>
        <w:t xml:space="preserve">. </w:t>
      </w:r>
      <w:r>
        <w:rPr>
          <w:b w:val="0"/>
          <w:bCs w:val="0"/>
          <w:sz w:val="24"/>
          <w:szCs w:val="24"/>
          <w:rtl/>
          <w:cs/>
          <w:lang w:val="en-US"/>
        </w:rPr>
        <w:t>ويُبرز</w:t>
      </w:r>
      <w:r>
        <w:rPr>
          <w:b w:val="0"/>
          <w:bCs w:val="0"/>
          <w:sz w:val="24"/>
          <w:szCs w:val="24"/>
          <w:rtl/>
          <w:lang w:val="en-US"/>
        </w:rPr>
        <w:t xml:space="preserve"> </w:t>
      </w:r>
      <w:r>
        <w:rPr>
          <w:b w:val="0"/>
          <w:bCs w:val="0"/>
          <w:sz w:val="24"/>
          <w:szCs w:val="24"/>
          <w:rtl/>
          <w:cs/>
          <w:lang w:val="en-US"/>
        </w:rPr>
        <w:t>انتشار</w:t>
      </w:r>
      <w:r>
        <w:rPr>
          <w:b w:val="0"/>
          <w:bCs w:val="0"/>
          <w:sz w:val="24"/>
          <w:szCs w:val="24"/>
          <w:rtl/>
          <w:lang w:val="en-US"/>
        </w:rPr>
        <w:t xml:space="preserve"> </w:t>
      </w:r>
      <w:r>
        <w:rPr>
          <w:b w:val="0"/>
          <w:bCs w:val="0"/>
          <w:i/>
          <w:iCs/>
          <w:sz w:val="24"/>
          <w:szCs w:val="24"/>
          <w:rtl/>
          <w:lang w:val="en-US"/>
        </w:rPr>
        <w:t>Staphylococcus aureus</w:t>
      </w:r>
      <w:r>
        <w:rPr>
          <w:b w:val="0"/>
          <w:bCs w:val="0"/>
          <w:sz w:val="24"/>
          <w:szCs w:val="24"/>
          <w:rtl/>
          <w:lang w:val="en-US"/>
        </w:rPr>
        <w:t xml:space="preserve"> </w:t>
      </w:r>
      <w:r>
        <w:rPr>
          <w:b w:val="0"/>
          <w:bCs w:val="0"/>
          <w:sz w:val="24"/>
          <w:szCs w:val="24"/>
          <w:rtl/>
          <w:cs/>
          <w:lang w:val="en-US"/>
        </w:rPr>
        <w:t>وهو</w:t>
      </w:r>
      <w:r>
        <w:rPr>
          <w:b w:val="0"/>
          <w:bCs w:val="0"/>
          <w:sz w:val="24"/>
          <w:szCs w:val="24"/>
          <w:rtl/>
          <w:lang w:val="en-US"/>
        </w:rPr>
        <w:t xml:space="preserve"> </w:t>
      </w:r>
      <w:r>
        <w:rPr>
          <w:b w:val="0"/>
          <w:bCs w:val="0"/>
          <w:sz w:val="24"/>
          <w:szCs w:val="24"/>
          <w:rtl/>
          <w:cs/>
          <w:lang w:val="en-US"/>
        </w:rPr>
        <w:t>نوع</w:t>
      </w:r>
      <w:r>
        <w:rPr>
          <w:b w:val="0"/>
          <w:bCs w:val="0"/>
          <w:sz w:val="24"/>
          <w:szCs w:val="24"/>
          <w:rtl/>
          <w:lang w:val="en-US"/>
        </w:rPr>
        <w:t xml:space="preserve"> </w:t>
      </w:r>
      <w:r>
        <w:rPr>
          <w:b w:val="0"/>
          <w:bCs w:val="0"/>
          <w:sz w:val="24"/>
          <w:szCs w:val="24"/>
          <w:rtl/>
          <w:cs/>
          <w:lang w:val="en-US"/>
        </w:rPr>
        <w:t>غالبًا</w:t>
      </w:r>
      <w:r>
        <w:rPr>
          <w:b w:val="0"/>
          <w:bCs w:val="0"/>
          <w:sz w:val="24"/>
          <w:szCs w:val="24"/>
          <w:rtl/>
          <w:lang w:val="en-US"/>
        </w:rPr>
        <w:t xml:space="preserve"> </w:t>
      </w:r>
      <w:r>
        <w:rPr>
          <w:b w:val="0"/>
          <w:bCs w:val="0"/>
          <w:sz w:val="24"/>
          <w:szCs w:val="24"/>
          <w:rtl/>
          <w:cs/>
          <w:lang w:val="en-US"/>
        </w:rPr>
        <w:t>ما</w:t>
      </w:r>
      <w:r>
        <w:rPr>
          <w:b w:val="0"/>
          <w:bCs w:val="0"/>
          <w:sz w:val="24"/>
          <w:szCs w:val="24"/>
          <w:rtl/>
          <w:lang w:val="en-US"/>
        </w:rPr>
        <w:t xml:space="preserve"> </w:t>
      </w:r>
      <w:r>
        <w:rPr>
          <w:b w:val="0"/>
          <w:bCs w:val="0"/>
          <w:sz w:val="24"/>
          <w:szCs w:val="24"/>
          <w:rtl/>
          <w:cs/>
          <w:lang w:val="en-US"/>
        </w:rPr>
        <w:t>يسبب</w:t>
      </w:r>
      <w:r>
        <w:rPr>
          <w:b w:val="0"/>
          <w:bCs w:val="0"/>
          <w:sz w:val="24"/>
          <w:szCs w:val="24"/>
          <w:rtl/>
          <w:lang w:val="en-US"/>
        </w:rPr>
        <w:t xml:space="preserve"> </w:t>
      </w:r>
      <w:r>
        <w:rPr>
          <w:b w:val="0"/>
          <w:bCs w:val="0"/>
          <w:sz w:val="24"/>
          <w:szCs w:val="24"/>
          <w:rtl/>
          <w:cs/>
          <w:lang w:val="en-US"/>
        </w:rPr>
        <w:t>التهابات</w:t>
      </w:r>
      <w:r>
        <w:rPr>
          <w:b w:val="0"/>
          <w:bCs w:val="0"/>
          <w:sz w:val="24"/>
          <w:szCs w:val="24"/>
          <w:rtl/>
          <w:lang w:val="en-US"/>
        </w:rPr>
        <w:t xml:space="preserve"> </w:t>
      </w:r>
      <w:r>
        <w:rPr>
          <w:b w:val="0"/>
          <w:bCs w:val="0"/>
          <w:sz w:val="24"/>
          <w:szCs w:val="24"/>
          <w:rtl/>
          <w:cs/>
          <w:lang w:val="en-US"/>
        </w:rPr>
        <w:t>خطيرة،</w:t>
      </w:r>
      <w:r>
        <w:rPr>
          <w:b w:val="0"/>
          <w:bCs w:val="0"/>
          <w:sz w:val="24"/>
          <w:szCs w:val="24"/>
          <w:rtl/>
          <w:lang w:val="en-US"/>
        </w:rPr>
        <w:t xml:space="preserve"> </w:t>
      </w:r>
      <w:r>
        <w:rPr>
          <w:rFonts w:hint="cs"/>
          <w:b w:val="0"/>
          <w:bCs w:val="0"/>
          <w:sz w:val="24"/>
          <w:szCs w:val="24"/>
          <w:rtl/>
          <w:lang w:val="en-US" w:bidi="ar-DZ"/>
        </w:rPr>
        <w:t xml:space="preserve">و هذا يستدعي </w:t>
      </w:r>
      <w:r>
        <w:rPr>
          <w:b w:val="0"/>
          <w:bCs w:val="0"/>
          <w:sz w:val="24"/>
          <w:szCs w:val="24"/>
          <w:rtl/>
          <w:cs/>
          <w:lang w:val="en-US"/>
        </w:rPr>
        <w:t>ضرورة</w:t>
      </w:r>
      <w:r>
        <w:rPr>
          <w:b w:val="0"/>
          <w:bCs w:val="0"/>
          <w:sz w:val="24"/>
          <w:szCs w:val="24"/>
          <w:rtl/>
          <w:lang w:val="en-US"/>
        </w:rPr>
        <w:t xml:space="preserve"> </w:t>
      </w:r>
      <w:r>
        <w:rPr>
          <w:b w:val="0"/>
          <w:bCs w:val="0"/>
          <w:sz w:val="24"/>
          <w:szCs w:val="24"/>
          <w:rtl/>
          <w:cs/>
          <w:lang w:val="en-US"/>
        </w:rPr>
        <w:t>تطبيق</w:t>
      </w:r>
      <w:r>
        <w:rPr>
          <w:b w:val="0"/>
          <w:bCs w:val="0"/>
          <w:sz w:val="24"/>
          <w:szCs w:val="24"/>
          <w:rtl/>
          <w:lang w:val="en-US"/>
        </w:rPr>
        <w:t xml:space="preserve"> </w:t>
      </w:r>
      <w:r>
        <w:rPr>
          <w:b w:val="0"/>
          <w:bCs w:val="0"/>
          <w:sz w:val="24"/>
          <w:szCs w:val="24"/>
          <w:rtl/>
          <w:cs/>
          <w:lang w:val="en-US"/>
        </w:rPr>
        <w:t>إجراءات</w:t>
      </w:r>
      <w:r>
        <w:rPr>
          <w:b w:val="0"/>
          <w:bCs w:val="0"/>
          <w:sz w:val="24"/>
          <w:szCs w:val="24"/>
          <w:rtl/>
          <w:lang w:val="en-US"/>
        </w:rPr>
        <w:t xml:space="preserve"> </w:t>
      </w:r>
      <w:r>
        <w:rPr>
          <w:b w:val="0"/>
          <w:bCs w:val="0"/>
          <w:sz w:val="24"/>
          <w:szCs w:val="24"/>
          <w:rtl/>
          <w:cs/>
          <w:lang w:val="en-US"/>
        </w:rPr>
        <w:t>صارمة</w:t>
      </w:r>
      <w:r>
        <w:rPr>
          <w:b w:val="0"/>
          <w:bCs w:val="0"/>
          <w:sz w:val="24"/>
          <w:szCs w:val="24"/>
          <w:rtl/>
          <w:lang w:val="en-US"/>
        </w:rPr>
        <w:t xml:space="preserve"> </w:t>
      </w:r>
      <w:r>
        <w:rPr>
          <w:b w:val="0"/>
          <w:bCs w:val="0"/>
          <w:sz w:val="24"/>
          <w:szCs w:val="24"/>
          <w:rtl/>
          <w:cs/>
          <w:lang w:val="en-US"/>
        </w:rPr>
        <w:t>للتطهير</w:t>
      </w:r>
      <w:r>
        <w:rPr>
          <w:b w:val="0"/>
          <w:bCs w:val="0"/>
          <w:sz w:val="24"/>
          <w:szCs w:val="24"/>
          <w:rtl/>
          <w:lang w:val="en-US"/>
        </w:rPr>
        <w:t xml:space="preserve"> </w:t>
      </w:r>
      <w:r>
        <w:rPr>
          <w:b w:val="0"/>
          <w:bCs w:val="0"/>
          <w:sz w:val="24"/>
          <w:szCs w:val="24"/>
          <w:rtl/>
          <w:cs/>
          <w:lang w:val="en-US"/>
        </w:rPr>
        <w:t>والسلامة</w:t>
      </w:r>
      <w:r>
        <w:rPr>
          <w:b w:val="0"/>
          <w:bCs w:val="0"/>
          <w:sz w:val="24"/>
          <w:szCs w:val="24"/>
          <w:rtl/>
          <w:lang w:val="en-US"/>
        </w:rPr>
        <w:t xml:space="preserve"> </w:t>
      </w:r>
      <w:r>
        <w:rPr>
          <w:b w:val="0"/>
          <w:bCs w:val="0"/>
          <w:sz w:val="24"/>
          <w:szCs w:val="24"/>
          <w:rtl/>
          <w:cs/>
          <w:lang w:val="en-US"/>
        </w:rPr>
        <w:t>البيولوجية</w:t>
      </w:r>
      <w:r>
        <w:rPr>
          <w:b w:val="0"/>
          <w:bCs w:val="0"/>
          <w:sz w:val="24"/>
          <w:szCs w:val="24"/>
          <w:lang w:val="fr-FR"/>
        </w:rPr>
        <w:t>.</w:t>
      </w:r>
    </w:p>
    <w:p w14:paraId="62043F5A" w14:textId="77777777" w:rsidR="00B611D1" w:rsidRDefault="00B611D1">
      <w:pPr>
        <w:pStyle w:val="Titre2"/>
        <w:bidi/>
        <w:spacing w:before="69" w:line="360" w:lineRule="auto"/>
        <w:ind w:left="251" w:right="272"/>
        <w:jc w:val="both"/>
        <w:rPr>
          <w:b w:val="0"/>
          <w:bCs w:val="0"/>
          <w:sz w:val="24"/>
          <w:szCs w:val="24"/>
          <w:lang w:val="fr-FR"/>
        </w:rPr>
      </w:pPr>
    </w:p>
    <w:p w14:paraId="57FF3A95" w14:textId="77777777" w:rsidR="00B611D1" w:rsidRDefault="00FB7689">
      <w:pPr>
        <w:pStyle w:val="Titre2"/>
        <w:bidi/>
        <w:spacing w:before="69" w:line="360" w:lineRule="auto"/>
        <w:ind w:left="251" w:right="272"/>
        <w:jc w:val="both"/>
        <w:rPr>
          <w:b w:val="0"/>
          <w:bCs w:val="0"/>
          <w:sz w:val="24"/>
          <w:szCs w:val="24"/>
          <w:rtl/>
          <w:lang w:val="en-US" w:bidi="ar-DZ"/>
        </w:rPr>
      </w:pPr>
      <w:r>
        <w:rPr>
          <w:b w:val="0"/>
          <w:bCs w:val="0"/>
          <w:sz w:val="24"/>
          <w:szCs w:val="24"/>
          <w:rtl/>
          <w:lang w:val="fr-FR"/>
        </w:rPr>
        <w:t>كشفت دراسة أنماط مقاومة المضادات الحيوية عن وجود سلالات مقاومة مقلقة، من بينها</w:t>
      </w:r>
      <w:r>
        <w:rPr>
          <w:b w:val="0"/>
          <w:bCs w:val="0"/>
          <w:sz w:val="24"/>
          <w:szCs w:val="24"/>
          <w:lang w:val="fr-FR"/>
        </w:rPr>
        <w:t xml:space="preserve"> </w:t>
      </w:r>
      <w:r>
        <w:rPr>
          <w:b w:val="0"/>
          <w:bCs w:val="0"/>
          <w:i/>
          <w:iCs/>
          <w:sz w:val="24"/>
          <w:szCs w:val="24"/>
          <w:lang w:val="fr-FR"/>
        </w:rPr>
        <w:t>Staphylococcus aureus</w:t>
      </w:r>
      <w:r>
        <w:rPr>
          <w:b w:val="0"/>
          <w:bCs w:val="0"/>
          <w:sz w:val="24"/>
          <w:szCs w:val="24"/>
          <w:lang w:val="fr-FR"/>
        </w:rPr>
        <w:t xml:space="preserve"> </w:t>
      </w:r>
      <w:r>
        <w:rPr>
          <w:b w:val="0"/>
          <w:bCs w:val="0"/>
          <w:sz w:val="24"/>
          <w:szCs w:val="24"/>
          <w:rtl/>
          <w:cs/>
          <w:lang w:val="fr-FR"/>
        </w:rPr>
        <w:t>التي</w:t>
      </w:r>
      <w:r>
        <w:rPr>
          <w:b w:val="0"/>
          <w:bCs w:val="0"/>
          <w:sz w:val="24"/>
          <w:szCs w:val="24"/>
          <w:lang w:val="fr-FR"/>
        </w:rPr>
        <w:t xml:space="preserve"> </w:t>
      </w:r>
      <w:r>
        <w:rPr>
          <w:b w:val="0"/>
          <w:bCs w:val="0"/>
          <w:sz w:val="24"/>
          <w:szCs w:val="24"/>
          <w:rtl/>
          <w:cs/>
          <w:lang w:val="fr-FR"/>
        </w:rPr>
        <w:t>أظهرت</w:t>
      </w:r>
      <w:r>
        <w:rPr>
          <w:b w:val="0"/>
          <w:bCs w:val="0"/>
          <w:sz w:val="24"/>
          <w:szCs w:val="24"/>
          <w:lang w:val="fr-FR"/>
        </w:rPr>
        <w:t xml:space="preserve"> </w:t>
      </w:r>
      <w:r>
        <w:rPr>
          <w:b w:val="0"/>
          <w:bCs w:val="0"/>
          <w:sz w:val="24"/>
          <w:szCs w:val="24"/>
          <w:rtl/>
          <w:cs/>
          <w:lang w:val="fr-FR"/>
        </w:rPr>
        <w:t>نمطًا</w:t>
      </w:r>
      <w:r>
        <w:rPr>
          <w:b w:val="0"/>
          <w:bCs w:val="0"/>
          <w:sz w:val="24"/>
          <w:szCs w:val="24"/>
          <w:lang w:val="fr-FR"/>
        </w:rPr>
        <w:t xml:space="preserve"> </w:t>
      </w:r>
      <w:r>
        <w:rPr>
          <w:b w:val="0"/>
          <w:bCs w:val="0"/>
          <w:sz w:val="24"/>
          <w:szCs w:val="24"/>
          <w:rtl/>
          <w:cs/>
          <w:lang w:val="fr-FR"/>
        </w:rPr>
        <w:t>ظاهريًا</w:t>
      </w:r>
      <w:r>
        <w:rPr>
          <w:b w:val="0"/>
          <w:bCs w:val="0"/>
          <w:sz w:val="24"/>
          <w:szCs w:val="24"/>
          <w:lang w:val="fr-FR"/>
        </w:rPr>
        <w:t xml:space="preserve"> </w:t>
      </w:r>
      <w:r>
        <w:rPr>
          <w:b w:val="0"/>
          <w:bCs w:val="0"/>
          <w:sz w:val="24"/>
          <w:szCs w:val="24"/>
          <w:rtl/>
          <w:cs/>
          <w:lang w:val="fr-FR"/>
        </w:rPr>
        <w:t>لمقاومة</w:t>
      </w:r>
      <w:r>
        <w:rPr>
          <w:b w:val="0"/>
          <w:bCs w:val="0"/>
          <w:sz w:val="24"/>
          <w:szCs w:val="24"/>
          <w:lang w:val="fr-FR"/>
        </w:rPr>
        <w:t xml:space="preserve"> </w:t>
      </w:r>
      <w:r>
        <w:rPr>
          <w:b w:val="0"/>
          <w:bCs w:val="0"/>
          <w:sz w:val="24"/>
          <w:szCs w:val="24"/>
          <w:rtl/>
          <w:cs/>
          <w:lang w:val="fr-FR"/>
        </w:rPr>
        <w:t>الميثيسيلين</w:t>
      </w:r>
      <w:r>
        <w:rPr>
          <w:b w:val="0"/>
          <w:bCs w:val="0"/>
          <w:sz w:val="24"/>
          <w:szCs w:val="24"/>
          <w:lang w:val="fr-FR"/>
        </w:rPr>
        <w:t xml:space="preserve"> (SARM) </w:t>
      </w:r>
      <w:r>
        <w:rPr>
          <w:b w:val="0"/>
          <w:bCs w:val="0"/>
          <w:sz w:val="24"/>
          <w:szCs w:val="24"/>
          <w:rtl/>
          <w:cs/>
          <w:lang w:val="fr-FR"/>
        </w:rPr>
        <w:t>و</w:t>
      </w:r>
      <w:r>
        <w:rPr>
          <w:b w:val="0"/>
          <w:bCs w:val="0"/>
          <w:i/>
          <w:iCs/>
          <w:sz w:val="24"/>
          <w:szCs w:val="24"/>
          <w:lang w:val="fr-FR"/>
        </w:rPr>
        <w:t>Klebsiella pneumoniae</w:t>
      </w:r>
      <w:r>
        <w:rPr>
          <w:b w:val="0"/>
          <w:bCs w:val="0"/>
          <w:sz w:val="24"/>
          <w:szCs w:val="24"/>
          <w:lang w:val="fr-FR"/>
        </w:rPr>
        <w:t xml:space="preserve"> </w:t>
      </w:r>
      <w:r>
        <w:rPr>
          <w:b w:val="0"/>
          <w:bCs w:val="0"/>
          <w:sz w:val="24"/>
          <w:szCs w:val="24"/>
          <w:rtl/>
          <w:lang w:val="en-US" w:bidi="ar-DZ"/>
        </w:rPr>
        <w:t xml:space="preserve"> </w:t>
      </w:r>
      <w:r>
        <w:rPr>
          <w:b w:val="0"/>
          <w:bCs w:val="0"/>
          <w:sz w:val="24"/>
          <w:szCs w:val="24"/>
          <w:rtl/>
          <w:cs/>
          <w:lang w:val="fr-FR"/>
        </w:rPr>
        <w:t>التي</w:t>
      </w:r>
      <w:r>
        <w:rPr>
          <w:b w:val="0"/>
          <w:bCs w:val="0"/>
          <w:sz w:val="24"/>
          <w:szCs w:val="24"/>
          <w:lang w:val="fr-FR"/>
        </w:rPr>
        <w:t xml:space="preserve"> </w:t>
      </w:r>
      <w:r>
        <w:rPr>
          <w:b w:val="0"/>
          <w:bCs w:val="0"/>
          <w:sz w:val="24"/>
          <w:szCs w:val="24"/>
          <w:rtl/>
          <w:cs/>
          <w:lang w:val="fr-FR"/>
        </w:rPr>
        <w:t>يُحتمل</w:t>
      </w:r>
      <w:r>
        <w:rPr>
          <w:b w:val="0"/>
          <w:bCs w:val="0"/>
          <w:sz w:val="24"/>
          <w:szCs w:val="24"/>
          <w:lang w:val="fr-FR"/>
        </w:rPr>
        <w:t xml:space="preserve"> </w:t>
      </w:r>
      <w:r>
        <w:rPr>
          <w:b w:val="0"/>
          <w:bCs w:val="0"/>
          <w:sz w:val="24"/>
          <w:szCs w:val="24"/>
          <w:rtl/>
          <w:cs/>
          <w:lang w:val="fr-FR"/>
        </w:rPr>
        <w:t>أنها</w:t>
      </w:r>
      <w:r>
        <w:rPr>
          <w:b w:val="0"/>
          <w:bCs w:val="0"/>
          <w:sz w:val="24"/>
          <w:szCs w:val="24"/>
          <w:lang w:val="fr-FR"/>
        </w:rPr>
        <w:t xml:space="preserve"> </w:t>
      </w:r>
      <w:r>
        <w:rPr>
          <w:b w:val="0"/>
          <w:bCs w:val="0"/>
          <w:sz w:val="24"/>
          <w:szCs w:val="24"/>
          <w:rtl/>
          <w:cs/>
          <w:lang w:val="fr-FR"/>
        </w:rPr>
        <w:t>منتجة</w:t>
      </w:r>
      <w:r>
        <w:rPr>
          <w:b w:val="0"/>
          <w:bCs w:val="0"/>
          <w:sz w:val="24"/>
          <w:szCs w:val="24"/>
          <w:lang w:val="fr-FR"/>
        </w:rPr>
        <w:t xml:space="preserve"> </w:t>
      </w:r>
      <w:r>
        <w:rPr>
          <w:b w:val="0"/>
          <w:bCs w:val="0"/>
          <w:sz w:val="24"/>
          <w:szCs w:val="24"/>
          <w:rtl/>
          <w:cs/>
          <w:lang w:val="fr-FR"/>
        </w:rPr>
        <w:t>للبيتا</w:t>
      </w:r>
      <w:r>
        <w:rPr>
          <w:b w:val="0"/>
          <w:bCs w:val="0"/>
          <w:sz w:val="24"/>
          <w:szCs w:val="24"/>
          <w:lang w:val="fr-FR"/>
        </w:rPr>
        <w:t>-</w:t>
      </w:r>
      <w:r>
        <w:rPr>
          <w:b w:val="0"/>
          <w:bCs w:val="0"/>
          <w:sz w:val="24"/>
          <w:szCs w:val="24"/>
          <w:rtl/>
          <w:cs/>
          <w:lang w:val="fr-FR"/>
        </w:rPr>
        <w:t>لاكتاماز</w:t>
      </w:r>
      <w:r>
        <w:rPr>
          <w:b w:val="0"/>
          <w:bCs w:val="0"/>
          <w:sz w:val="24"/>
          <w:szCs w:val="24"/>
          <w:lang w:val="fr-FR"/>
        </w:rPr>
        <w:t xml:space="preserve"> </w:t>
      </w:r>
      <w:r>
        <w:rPr>
          <w:b w:val="0"/>
          <w:bCs w:val="0"/>
          <w:sz w:val="24"/>
          <w:szCs w:val="24"/>
          <w:rtl/>
          <w:cs/>
          <w:lang w:val="fr-FR"/>
        </w:rPr>
        <w:t>واسعة</w:t>
      </w:r>
      <w:r>
        <w:rPr>
          <w:b w:val="0"/>
          <w:bCs w:val="0"/>
          <w:sz w:val="24"/>
          <w:szCs w:val="24"/>
          <w:lang w:val="fr-FR"/>
        </w:rPr>
        <w:t xml:space="preserve"> </w:t>
      </w:r>
      <w:r>
        <w:rPr>
          <w:b w:val="0"/>
          <w:bCs w:val="0"/>
          <w:sz w:val="24"/>
          <w:szCs w:val="24"/>
          <w:rtl/>
          <w:cs/>
          <w:lang w:val="fr-FR"/>
        </w:rPr>
        <w:t>الطيف</w:t>
      </w:r>
      <w:r>
        <w:rPr>
          <w:b w:val="0"/>
          <w:bCs w:val="0"/>
          <w:sz w:val="24"/>
          <w:szCs w:val="24"/>
          <w:lang w:val="fr-FR"/>
        </w:rPr>
        <w:t xml:space="preserve"> (BLSE) </w:t>
      </w:r>
      <w:r>
        <w:rPr>
          <w:b w:val="0"/>
          <w:bCs w:val="0"/>
          <w:sz w:val="24"/>
          <w:szCs w:val="24"/>
          <w:rtl/>
          <w:cs/>
          <w:lang w:val="fr-FR"/>
        </w:rPr>
        <w:t>و</w:t>
      </w:r>
      <w:r>
        <w:rPr>
          <w:b w:val="0"/>
          <w:bCs w:val="0"/>
          <w:sz w:val="24"/>
          <w:szCs w:val="24"/>
          <w:lang w:val="fr-FR"/>
        </w:rPr>
        <w:t xml:space="preserve"> </w:t>
      </w:r>
      <w:r>
        <w:rPr>
          <w:b w:val="0"/>
          <w:bCs w:val="0"/>
          <w:i/>
          <w:iCs/>
          <w:sz w:val="24"/>
          <w:szCs w:val="24"/>
          <w:lang w:val="fr-FR"/>
        </w:rPr>
        <w:t>Acinetobacter baumannii</w:t>
      </w:r>
      <w:r>
        <w:rPr>
          <w:b w:val="0"/>
          <w:bCs w:val="0"/>
          <w:sz w:val="24"/>
          <w:szCs w:val="24"/>
          <w:lang w:val="fr-FR"/>
        </w:rPr>
        <w:t xml:space="preserve"> </w:t>
      </w:r>
      <w:r>
        <w:rPr>
          <w:b w:val="0"/>
          <w:bCs w:val="0"/>
          <w:sz w:val="24"/>
          <w:szCs w:val="24"/>
          <w:rtl/>
          <w:cs/>
          <w:lang w:val="fr-FR"/>
        </w:rPr>
        <w:t>المقاوِمة</w:t>
      </w:r>
      <w:r>
        <w:rPr>
          <w:b w:val="0"/>
          <w:bCs w:val="0"/>
          <w:sz w:val="24"/>
          <w:szCs w:val="24"/>
          <w:lang w:val="fr-FR"/>
        </w:rPr>
        <w:t xml:space="preserve"> </w:t>
      </w:r>
      <w:r>
        <w:rPr>
          <w:b w:val="0"/>
          <w:bCs w:val="0"/>
          <w:sz w:val="24"/>
          <w:szCs w:val="24"/>
          <w:rtl/>
          <w:cs/>
          <w:lang w:val="fr-FR"/>
        </w:rPr>
        <w:t>لعدة</w:t>
      </w:r>
      <w:r>
        <w:rPr>
          <w:b w:val="0"/>
          <w:bCs w:val="0"/>
          <w:sz w:val="24"/>
          <w:szCs w:val="24"/>
          <w:lang w:val="fr-FR"/>
        </w:rPr>
        <w:t xml:space="preserve"> </w:t>
      </w:r>
      <w:r>
        <w:rPr>
          <w:b w:val="0"/>
          <w:bCs w:val="0"/>
          <w:sz w:val="24"/>
          <w:szCs w:val="24"/>
          <w:rtl/>
          <w:cs/>
          <w:lang w:val="fr-FR"/>
        </w:rPr>
        <w:t>أنواع</w:t>
      </w:r>
      <w:r>
        <w:rPr>
          <w:b w:val="0"/>
          <w:bCs w:val="0"/>
          <w:sz w:val="24"/>
          <w:szCs w:val="24"/>
          <w:lang w:val="fr-FR"/>
        </w:rPr>
        <w:t xml:space="preserve"> </w:t>
      </w:r>
      <w:r>
        <w:rPr>
          <w:b w:val="0"/>
          <w:bCs w:val="0"/>
          <w:sz w:val="24"/>
          <w:szCs w:val="24"/>
          <w:rtl/>
          <w:cs/>
          <w:lang w:val="fr-FR"/>
        </w:rPr>
        <w:t>من</w:t>
      </w:r>
      <w:r>
        <w:rPr>
          <w:b w:val="0"/>
          <w:bCs w:val="0"/>
          <w:sz w:val="24"/>
          <w:szCs w:val="24"/>
          <w:lang w:val="fr-FR"/>
        </w:rPr>
        <w:t xml:space="preserve"> </w:t>
      </w:r>
      <w:r>
        <w:rPr>
          <w:b w:val="0"/>
          <w:bCs w:val="0"/>
          <w:sz w:val="24"/>
          <w:szCs w:val="24"/>
          <w:rtl/>
          <w:cs/>
          <w:lang w:val="fr-FR"/>
        </w:rPr>
        <w:t>البيتا</w:t>
      </w:r>
      <w:r>
        <w:rPr>
          <w:b w:val="0"/>
          <w:bCs w:val="0"/>
          <w:sz w:val="24"/>
          <w:szCs w:val="24"/>
          <w:lang w:val="fr-FR"/>
        </w:rPr>
        <w:t>-</w:t>
      </w:r>
      <w:r>
        <w:rPr>
          <w:b w:val="0"/>
          <w:bCs w:val="0"/>
          <w:sz w:val="24"/>
          <w:szCs w:val="24"/>
          <w:rtl/>
          <w:cs/>
          <w:lang w:val="fr-FR"/>
        </w:rPr>
        <w:t>لاكتامينات</w:t>
      </w:r>
      <w:r>
        <w:rPr>
          <w:b w:val="0"/>
          <w:bCs w:val="0"/>
          <w:sz w:val="24"/>
          <w:szCs w:val="24"/>
          <w:rtl/>
          <w:lang w:val="en-US" w:bidi="ar-DZ"/>
        </w:rPr>
        <w:t xml:space="preserve"> </w:t>
      </w:r>
      <w:r>
        <w:rPr>
          <w:b w:val="0"/>
          <w:bCs w:val="0"/>
          <w:sz w:val="24"/>
          <w:szCs w:val="24"/>
          <w:rtl/>
          <w:cs/>
          <w:lang w:val="fr-FR"/>
        </w:rPr>
        <w:t>و</w:t>
      </w:r>
      <w:r>
        <w:rPr>
          <w:b w:val="0"/>
          <w:bCs w:val="0"/>
          <w:i/>
          <w:iCs/>
          <w:sz w:val="24"/>
          <w:szCs w:val="24"/>
          <w:lang w:val="fr-FR"/>
        </w:rPr>
        <w:t>Serratia marcescens</w:t>
      </w:r>
      <w:r>
        <w:rPr>
          <w:b w:val="0"/>
          <w:bCs w:val="0"/>
          <w:sz w:val="24"/>
          <w:szCs w:val="24"/>
          <w:lang w:val="fr-FR"/>
        </w:rPr>
        <w:t xml:space="preserve"> </w:t>
      </w:r>
      <w:r>
        <w:rPr>
          <w:b w:val="0"/>
          <w:bCs w:val="0"/>
          <w:sz w:val="24"/>
          <w:szCs w:val="24"/>
          <w:rtl/>
          <w:lang w:val="en-US" w:bidi="ar-DZ"/>
        </w:rPr>
        <w:t xml:space="preserve"> </w:t>
      </w:r>
      <w:r>
        <w:rPr>
          <w:b w:val="0"/>
          <w:bCs w:val="0"/>
          <w:sz w:val="24"/>
          <w:szCs w:val="24"/>
          <w:rtl/>
          <w:cs/>
          <w:lang w:val="fr-FR"/>
        </w:rPr>
        <w:t>التي</w:t>
      </w:r>
      <w:r>
        <w:rPr>
          <w:b w:val="0"/>
          <w:bCs w:val="0"/>
          <w:sz w:val="24"/>
          <w:szCs w:val="24"/>
          <w:lang w:val="fr-FR"/>
        </w:rPr>
        <w:t xml:space="preserve"> </w:t>
      </w:r>
      <w:r>
        <w:rPr>
          <w:b w:val="0"/>
          <w:bCs w:val="0"/>
          <w:sz w:val="24"/>
          <w:szCs w:val="24"/>
          <w:rtl/>
          <w:cs/>
          <w:lang w:val="fr-FR"/>
        </w:rPr>
        <w:t>تُظهر</w:t>
      </w:r>
      <w:r>
        <w:rPr>
          <w:b w:val="0"/>
          <w:bCs w:val="0"/>
          <w:sz w:val="24"/>
          <w:szCs w:val="24"/>
          <w:lang w:val="fr-FR"/>
        </w:rPr>
        <w:t xml:space="preserve"> </w:t>
      </w:r>
      <w:r>
        <w:rPr>
          <w:b w:val="0"/>
          <w:bCs w:val="0"/>
          <w:sz w:val="24"/>
          <w:szCs w:val="24"/>
          <w:rtl/>
          <w:cs/>
          <w:lang w:val="fr-FR"/>
        </w:rPr>
        <w:t>مقاومة</w:t>
      </w:r>
      <w:r>
        <w:rPr>
          <w:b w:val="0"/>
          <w:bCs w:val="0"/>
          <w:sz w:val="24"/>
          <w:szCs w:val="24"/>
          <w:lang w:val="fr-FR"/>
        </w:rPr>
        <w:t xml:space="preserve"> </w:t>
      </w:r>
      <w:r>
        <w:rPr>
          <w:b w:val="0"/>
          <w:bCs w:val="0"/>
          <w:sz w:val="24"/>
          <w:szCs w:val="24"/>
          <w:rtl/>
          <w:cs/>
          <w:lang w:val="fr-FR"/>
        </w:rPr>
        <w:t>ذاتية</w:t>
      </w:r>
      <w:r>
        <w:rPr>
          <w:b w:val="0"/>
          <w:bCs w:val="0"/>
          <w:sz w:val="24"/>
          <w:szCs w:val="24"/>
          <w:lang w:val="fr-FR"/>
        </w:rPr>
        <w:t xml:space="preserve"> </w:t>
      </w:r>
      <w:r>
        <w:rPr>
          <w:b w:val="0"/>
          <w:bCs w:val="0"/>
          <w:sz w:val="24"/>
          <w:szCs w:val="24"/>
          <w:rtl/>
          <w:cs/>
          <w:lang w:val="fr-FR"/>
        </w:rPr>
        <w:t>عبر</w:t>
      </w:r>
      <w:r>
        <w:rPr>
          <w:b w:val="0"/>
          <w:bCs w:val="0"/>
          <w:sz w:val="24"/>
          <w:szCs w:val="24"/>
          <w:lang w:val="fr-FR"/>
        </w:rPr>
        <w:t xml:space="preserve"> </w:t>
      </w:r>
      <w:r>
        <w:rPr>
          <w:b w:val="0"/>
          <w:bCs w:val="0"/>
          <w:sz w:val="24"/>
          <w:szCs w:val="24"/>
          <w:rtl/>
          <w:cs/>
          <w:lang w:val="fr-FR"/>
        </w:rPr>
        <w:t>إنتاجها</w:t>
      </w:r>
      <w:r>
        <w:rPr>
          <w:b w:val="0"/>
          <w:bCs w:val="0"/>
          <w:sz w:val="24"/>
          <w:szCs w:val="24"/>
          <w:lang w:val="fr-FR"/>
        </w:rPr>
        <w:t xml:space="preserve"> </w:t>
      </w:r>
      <w:r>
        <w:rPr>
          <w:b w:val="0"/>
          <w:bCs w:val="0"/>
          <w:sz w:val="24"/>
          <w:szCs w:val="24"/>
          <w:rtl/>
          <w:cs/>
          <w:lang w:val="fr-FR"/>
        </w:rPr>
        <w:t>لإنزيمات</w:t>
      </w:r>
      <w:r>
        <w:rPr>
          <w:b w:val="0"/>
          <w:bCs w:val="0"/>
          <w:sz w:val="24"/>
          <w:szCs w:val="24"/>
          <w:rtl/>
          <w:lang w:val="en-US" w:bidi="ar-DZ"/>
        </w:rPr>
        <w:t xml:space="preserve"> </w:t>
      </w:r>
      <w:r>
        <w:rPr>
          <w:b w:val="0"/>
          <w:bCs w:val="0"/>
          <w:sz w:val="24"/>
          <w:szCs w:val="24"/>
          <w:lang w:val="fr-FR"/>
        </w:rPr>
        <w:t xml:space="preserve"> AmpC β-lactamase</w:t>
      </w:r>
      <w:r>
        <w:rPr>
          <w:b w:val="0"/>
          <w:bCs w:val="0"/>
          <w:sz w:val="24"/>
          <w:szCs w:val="24"/>
          <w:rtl/>
          <w:lang w:val="en-US" w:bidi="ar-DZ"/>
        </w:rPr>
        <w:t xml:space="preserve">  </w:t>
      </w:r>
    </w:p>
    <w:p w14:paraId="75774CA1" w14:textId="77777777" w:rsidR="00B611D1" w:rsidRDefault="00B611D1">
      <w:pPr>
        <w:pStyle w:val="Titre2"/>
        <w:bidi/>
        <w:spacing w:before="69" w:line="360" w:lineRule="auto"/>
        <w:ind w:left="251" w:right="272"/>
        <w:jc w:val="both"/>
        <w:rPr>
          <w:b w:val="0"/>
          <w:bCs w:val="0"/>
          <w:sz w:val="24"/>
          <w:szCs w:val="24"/>
          <w:rtl/>
          <w:lang w:val="en-US" w:bidi="ar-DZ"/>
        </w:rPr>
      </w:pPr>
    </w:p>
    <w:p w14:paraId="7CC3A8E8" w14:textId="77777777" w:rsidR="00B611D1" w:rsidRDefault="00FB7689">
      <w:pPr>
        <w:pStyle w:val="Titre2"/>
        <w:bidi/>
        <w:spacing w:before="69" w:line="360" w:lineRule="auto"/>
        <w:ind w:left="251" w:right="272"/>
        <w:jc w:val="both"/>
        <w:rPr>
          <w:b w:val="0"/>
          <w:bCs w:val="0"/>
          <w:sz w:val="24"/>
          <w:szCs w:val="24"/>
          <w:rtl/>
          <w:lang w:val="en-US"/>
        </w:rPr>
      </w:pPr>
      <w:r>
        <w:rPr>
          <w:b w:val="0"/>
          <w:bCs w:val="0"/>
          <w:sz w:val="24"/>
          <w:szCs w:val="24"/>
          <w:rtl/>
          <w:cs/>
          <w:lang w:val="en-US"/>
        </w:rPr>
        <w:t>تكشف</w:t>
      </w:r>
      <w:r>
        <w:rPr>
          <w:b w:val="0"/>
          <w:bCs w:val="0"/>
          <w:sz w:val="24"/>
          <w:szCs w:val="24"/>
          <w:rtl/>
          <w:lang w:val="en-US"/>
        </w:rPr>
        <w:t xml:space="preserve"> </w:t>
      </w:r>
      <w:r>
        <w:rPr>
          <w:b w:val="0"/>
          <w:bCs w:val="0"/>
          <w:sz w:val="24"/>
          <w:szCs w:val="24"/>
          <w:rtl/>
          <w:cs/>
          <w:lang w:val="en-US"/>
        </w:rPr>
        <w:t>هذه</w:t>
      </w:r>
      <w:r>
        <w:rPr>
          <w:b w:val="0"/>
          <w:bCs w:val="0"/>
          <w:sz w:val="24"/>
          <w:szCs w:val="24"/>
          <w:rtl/>
          <w:lang w:val="en-US"/>
        </w:rPr>
        <w:t xml:space="preserve"> </w:t>
      </w:r>
      <w:r>
        <w:rPr>
          <w:b w:val="0"/>
          <w:bCs w:val="0"/>
          <w:sz w:val="24"/>
          <w:szCs w:val="24"/>
          <w:rtl/>
          <w:cs/>
          <w:lang w:val="en-US"/>
        </w:rPr>
        <w:t>النتائج</w:t>
      </w:r>
      <w:r>
        <w:rPr>
          <w:b w:val="0"/>
          <w:bCs w:val="0"/>
          <w:sz w:val="24"/>
          <w:szCs w:val="24"/>
          <w:rtl/>
          <w:lang w:val="en-US"/>
        </w:rPr>
        <w:t xml:space="preserve"> </w:t>
      </w:r>
      <w:r>
        <w:rPr>
          <w:b w:val="0"/>
          <w:bCs w:val="0"/>
          <w:sz w:val="24"/>
          <w:szCs w:val="24"/>
          <w:rtl/>
          <w:cs/>
          <w:lang w:val="en-US"/>
        </w:rPr>
        <w:t>عن</w:t>
      </w:r>
      <w:r>
        <w:rPr>
          <w:b w:val="0"/>
          <w:bCs w:val="0"/>
          <w:sz w:val="24"/>
          <w:szCs w:val="24"/>
          <w:rtl/>
          <w:lang w:val="en-US"/>
        </w:rPr>
        <w:t xml:space="preserve"> </w:t>
      </w:r>
      <w:r>
        <w:rPr>
          <w:b w:val="0"/>
          <w:bCs w:val="0"/>
          <w:sz w:val="24"/>
          <w:szCs w:val="24"/>
          <w:rtl/>
          <w:cs/>
          <w:lang w:val="en-US"/>
        </w:rPr>
        <w:t>تلوث</w:t>
      </w:r>
      <w:r>
        <w:rPr>
          <w:b w:val="0"/>
          <w:bCs w:val="0"/>
          <w:sz w:val="24"/>
          <w:szCs w:val="24"/>
          <w:rtl/>
          <w:lang w:val="en-US"/>
        </w:rPr>
        <w:t xml:space="preserve"> </w:t>
      </w:r>
      <w:r>
        <w:rPr>
          <w:b w:val="0"/>
          <w:bCs w:val="0"/>
          <w:sz w:val="24"/>
          <w:szCs w:val="24"/>
          <w:rtl/>
          <w:cs/>
          <w:lang w:val="en-US"/>
        </w:rPr>
        <w:t>مقلق</w:t>
      </w:r>
      <w:r>
        <w:rPr>
          <w:b w:val="0"/>
          <w:bCs w:val="0"/>
          <w:sz w:val="24"/>
          <w:szCs w:val="24"/>
          <w:rtl/>
          <w:lang w:val="en-US"/>
        </w:rPr>
        <w:t xml:space="preserve"> </w:t>
      </w:r>
      <w:r>
        <w:rPr>
          <w:b w:val="0"/>
          <w:bCs w:val="0"/>
          <w:sz w:val="24"/>
          <w:szCs w:val="24"/>
          <w:rtl/>
          <w:cs/>
          <w:lang w:val="en-US"/>
        </w:rPr>
        <w:t>للأسطح</w:t>
      </w:r>
      <w:r>
        <w:rPr>
          <w:b w:val="0"/>
          <w:bCs w:val="0"/>
          <w:sz w:val="24"/>
          <w:szCs w:val="24"/>
          <w:rtl/>
          <w:lang w:val="en-US"/>
        </w:rPr>
        <w:t xml:space="preserve"> </w:t>
      </w:r>
      <w:r>
        <w:rPr>
          <w:b w:val="0"/>
          <w:bCs w:val="0"/>
          <w:sz w:val="24"/>
          <w:szCs w:val="24"/>
          <w:rtl/>
          <w:cs/>
          <w:lang w:val="en-US"/>
        </w:rPr>
        <w:t>في</w:t>
      </w:r>
      <w:r>
        <w:rPr>
          <w:b w:val="0"/>
          <w:bCs w:val="0"/>
          <w:sz w:val="24"/>
          <w:szCs w:val="24"/>
          <w:rtl/>
          <w:lang w:val="en-US"/>
        </w:rPr>
        <w:t xml:space="preserve"> </w:t>
      </w:r>
      <w:r>
        <w:rPr>
          <w:b w:val="0"/>
          <w:bCs w:val="0"/>
          <w:sz w:val="24"/>
          <w:szCs w:val="24"/>
          <w:rtl/>
          <w:cs/>
          <w:lang w:val="en-US"/>
        </w:rPr>
        <w:t>المستشفيات،</w:t>
      </w:r>
      <w:r>
        <w:rPr>
          <w:b w:val="0"/>
          <w:bCs w:val="0"/>
          <w:sz w:val="24"/>
          <w:szCs w:val="24"/>
          <w:rtl/>
          <w:lang w:val="en-US"/>
        </w:rPr>
        <w:t xml:space="preserve"> </w:t>
      </w:r>
      <w:r>
        <w:rPr>
          <w:b w:val="0"/>
          <w:bCs w:val="0"/>
          <w:sz w:val="24"/>
          <w:szCs w:val="24"/>
          <w:rtl/>
          <w:cs/>
          <w:lang w:val="en-US"/>
        </w:rPr>
        <w:t>مما</w:t>
      </w:r>
      <w:r>
        <w:rPr>
          <w:b w:val="0"/>
          <w:bCs w:val="0"/>
          <w:sz w:val="24"/>
          <w:szCs w:val="24"/>
          <w:rtl/>
          <w:lang w:val="en-US"/>
        </w:rPr>
        <w:t xml:space="preserve"> </w:t>
      </w:r>
      <w:r>
        <w:rPr>
          <w:b w:val="0"/>
          <w:bCs w:val="0"/>
          <w:sz w:val="24"/>
          <w:szCs w:val="24"/>
          <w:rtl/>
          <w:cs/>
          <w:lang w:val="en-US"/>
        </w:rPr>
        <w:t>يستدعي</w:t>
      </w:r>
      <w:r>
        <w:rPr>
          <w:b w:val="0"/>
          <w:bCs w:val="0"/>
          <w:sz w:val="24"/>
          <w:szCs w:val="24"/>
          <w:rtl/>
          <w:lang w:val="en-US"/>
        </w:rPr>
        <w:t xml:space="preserve"> </w:t>
      </w:r>
      <w:r>
        <w:rPr>
          <w:b w:val="0"/>
          <w:bCs w:val="0"/>
          <w:sz w:val="24"/>
          <w:szCs w:val="24"/>
          <w:rtl/>
          <w:cs/>
          <w:lang w:val="en-US"/>
        </w:rPr>
        <w:t>تعزيز</w:t>
      </w:r>
      <w:r>
        <w:rPr>
          <w:b w:val="0"/>
          <w:bCs w:val="0"/>
          <w:sz w:val="24"/>
          <w:szCs w:val="24"/>
          <w:rtl/>
          <w:lang w:val="en-US"/>
        </w:rPr>
        <w:t xml:space="preserve"> </w:t>
      </w:r>
      <w:r>
        <w:rPr>
          <w:b w:val="0"/>
          <w:bCs w:val="0"/>
          <w:sz w:val="24"/>
          <w:szCs w:val="24"/>
          <w:rtl/>
          <w:cs/>
          <w:lang w:val="en-US"/>
        </w:rPr>
        <w:t>استراتيجيات</w:t>
      </w:r>
      <w:r>
        <w:rPr>
          <w:b w:val="0"/>
          <w:bCs w:val="0"/>
          <w:sz w:val="24"/>
          <w:szCs w:val="24"/>
          <w:rtl/>
          <w:lang w:val="en-US"/>
        </w:rPr>
        <w:t xml:space="preserve"> </w:t>
      </w:r>
      <w:r>
        <w:rPr>
          <w:b w:val="0"/>
          <w:bCs w:val="0"/>
          <w:sz w:val="24"/>
          <w:szCs w:val="24"/>
          <w:rtl/>
          <w:cs/>
          <w:lang w:val="en-US"/>
        </w:rPr>
        <w:t>المراقبة</w:t>
      </w:r>
      <w:r>
        <w:rPr>
          <w:b w:val="0"/>
          <w:bCs w:val="0"/>
          <w:sz w:val="24"/>
          <w:szCs w:val="24"/>
          <w:rtl/>
          <w:lang w:val="en-US"/>
        </w:rPr>
        <w:t xml:space="preserve"> </w:t>
      </w:r>
      <w:r>
        <w:rPr>
          <w:b w:val="0"/>
          <w:bCs w:val="0"/>
          <w:sz w:val="24"/>
          <w:szCs w:val="24"/>
          <w:rtl/>
          <w:cs/>
          <w:lang w:val="en-US"/>
        </w:rPr>
        <w:t>الميكروبيولوجية</w:t>
      </w:r>
      <w:r>
        <w:rPr>
          <w:b w:val="0"/>
          <w:bCs w:val="0"/>
          <w:sz w:val="24"/>
          <w:szCs w:val="24"/>
          <w:rtl/>
          <w:lang w:val="en-US"/>
        </w:rPr>
        <w:t xml:space="preserve"> </w:t>
      </w:r>
      <w:r>
        <w:rPr>
          <w:b w:val="0"/>
          <w:bCs w:val="0"/>
          <w:sz w:val="24"/>
          <w:szCs w:val="24"/>
          <w:rtl/>
          <w:cs/>
          <w:lang w:val="en-US"/>
        </w:rPr>
        <w:t>والبروتوكولات</w:t>
      </w:r>
      <w:r>
        <w:rPr>
          <w:b w:val="0"/>
          <w:bCs w:val="0"/>
          <w:sz w:val="24"/>
          <w:szCs w:val="24"/>
          <w:rtl/>
          <w:lang w:val="en-US"/>
        </w:rPr>
        <w:t xml:space="preserve"> </w:t>
      </w:r>
      <w:r>
        <w:rPr>
          <w:b w:val="0"/>
          <w:bCs w:val="0"/>
          <w:sz w:val="24"/>
          <w:szCs w:val="24"/>
          <w:rtl/>
          <w:cs/>
          <w:lang w:val="en-US"/>
        </w:rPr>
        <w:t>الوقائية</w:t>
      </w:r>
      <w:r>
        <w:rPr>
          <w:b w:val="0"/>
          <w:bCs w:val="0"/>
          <w:sz w:val="24"/>
          <w:szCs w:val="24"/>
          <w:rtl/>
          <w:lang w:val="en-US"/>
        </w:rPr>
        <w:t xml:space="preserve"> </w:t>
      </w:r>
      <w:r>
        <w:rPr>
          <w:b w:val="0"/>
          <w:bCs w:val="0"/>
          <w:sz w:val="24"/>
          <w:szCs w:val="24"/>
          <w:rtl/>
          <w:cs/>
          <w:lang w:val="en-US"/>
        </w:rPr>
        <w:t>للحدّ</w:t>
      </w:r>
      <w:r>
        <w:rPr>
          <w:b w:val="0"/>
          <w:bCs w:val="0"/>
          <w:sz w:val="24"/>
          <w:szCs w:val="24"/>
          <w:rtl/>
          <w:lang w:val="en-US"/>
        </w:rPr>
        <w:t xml:space="preserve"> </w:t>
      </w:r>
      <w:r>
        <w:rPr>
          <w:b w:val="0"/>
          <w:bCs w:val="0"/>
          <w:sz w:val="24"/>
          <w:szCs w:val="24"/>
          <w:rtl/>
          <w:cs/>
          <w:lang w:val="en-US"/>
        </w:rPr>
        <w:t>من</w:t>
      </w:r>
      <w:r>
        <w:rPr>
          <w:b w:val="0"/>
          <w:bCs w:val="0"/>
          <w:sz w:val="24"/>
          <w:szCs w:val="24"/>
          <w:rtl/>
          <w:lang w:val="en-US"/>
        </w:rPr>
        <w:t xml:space="preserve"> </w:t>
      </w:r>
      <w:r>
        <w:rPr>
          <w:b w:val="0"/>
          <w:bCs w:val="0"/>
          <w:sz w:val="24"/>
          <w:szCs w:val="24"/>
          <w:rtl/>
          <w:cs/>
          <w:lang w:val="en-US"/>
        </w:rPr>
        <w:t>انتشار</w:t>
      </w:r>
      <w:r>
        <w:rPr>
          <w:b w:val="0"/>
          <w:bCs w:val="0"/>
          <w:sz w:val="24"/>
          <w:szCs w:val="24"/>
          <w:rtl/>
          <w:lang w:val="en-US"/>
        </w:rPr>
        <w:t xml:space="preserve"> </w:t>
      </w:r>
      <w:r>
        <w:rPr>
          <w:b w:val="0"/>
          <w:bCs w:val="0"/>
          <w:sz w:val="24"/>
          <w:szCs w:val="24"/>
          <w:rtl/>
          <w:cs/>
          <w:lang w:val="en-US"/>
        </w:rPr>
        <w:t>البكتيريا</w:t>
      </w:r>
      <w:r>
        <w:rPr>
          <w:b w:val="0"/>
          <w:bCs w:val="0"/>
          <w:sz w:val="24"/>
          <w:szCs w:val="24"/>
          <w:rtl/>
          <w:lang w:val="en-US"/>
        </w:rPr>
        <w:t xml:space="preserve"> </w:t>
      </w:r>
      <w:r>
        <w:rPr>
          <w:b w:val="0"/>
          <w:bCs w:val="0"/>
          <w:sz w:val="24"/>
          <w:szCs w:val="24"/>
          <w:rtl/>
          <w:cs/>
          <w:lang w:val="en-US"/>
        </w:rPr>
        <w:t>المقاومة</w:t>
      </w:r>
      <w:r>
        <w:rPr>
          <w:b w:val="0"/>
          <w:bCs w:val="0"/>
          <w:sz w:val="24"/>
          <w:szCs w:val="24"/>
          <w:rtl/>
          <w:lang w:val="en-US"/>
        </w:rPr>
        <w:t xml:space="preserve"> </w:t>
      </w:r>
      <w:r>
        <w:rPr>
          <w:b w:val="0"/>
          <w:bCs w:val="0"/>
          <w:sz w:val="24"/>
          <w:szCs w:val="24"/>
          <w:rtl/>
          <w:cs/>
          <w:lang w:val="en-US"/>
        </w:rPr>
        <w:t>داخل</w:t>
      </w:r>
      <w:r>
        <w:rPr>
          <w:b w:val="0"/>
          <w:bCs w:val="0"/>
          <w:sz w:val="24"/>
          <w:szCs w:val="24"/>
          <w:rtl/>
          <w:lang w:val="en-US"/>
        </w:rPr>
        <w:t xml:space="preserve"> </w:t>
      </w:r>
      <w:r>
        <w:rPr>
          <w:b w:val="0"/>
          <w:bCs w:val="0"/>
          <w:sz w:val="24"/>
          <w:szCs w:val="24"/>
          <w:rtl/>
          <w:cs/>
          <w:lang w:val="en-US"/>
        </w:rPr>
        <w:t>بيئات</w:t>
      </w:r>
      <w:r>
        <w:rPr>
          <w:b w:val="0"/>
          <w:bCs w:val="0"/>
          <w:sz w:val="24"/>
          <w:szCs w:val="24"/>
          <w:rtl/>
          <w:lang w:val="en-US"/>
        </w:rPr>
        <w:t xml:space="preserve"> </w:t>
      </w:r>
      <w:r>
        <w:rPr>
          <w:b w:val="0"/>
          <w:bCs w:val="0"/>
          <w:sz w:val="24"/>
          <w:szCs w:val="24"/>
          <w:rtl/>
          <w:cs/>
          <w:lang w:val="en-US"/>
        </w:rPr>
        <w:t>الرعاية</w:t>
      </w:r>
      <w:r>
        <w:rPr>
          <w:b w:val="0"/>
          <w:bCs w:val="0"/>
          <w:sz w:val="24"/>
          <w:szCs w:val="24"/>
          <w:rtl/>
          <w:lang w:val="en-US"/>
        </w:rPr>
        <w:t xml:space="preserve"> </w:t>
      </w:r>
      <w:r>
        <w:rPr>
          <w:b w:val="0"/>
          <w:bCs w:val="0"/>
          <w:sz w:val="24"/>
          <w:szCs w:val="24"/>
          <w:rtl/>
          <w:cs/>
          <w:lang w:val="en-US"/>
        </w:rPr>
        <w:t>الصحية</w:t>
      </w:r>
      <w:r>
        <w:rPr>
          <w:b w:val="0"/>
          <w:bCs w:val="0"/>
          <w:sz w:val="24"/>
          <w:szCs w:val="24"/>
          <w:rtl/>
          <w:lang w:val="en-US"/>
        </w:rPr>
        <w:t>.</w:t>
      </w:r>
    </w:p>
    <w:p w14:paraId="7933C630" w14:textId="77777777" w:rsidR="00B611D1" w:rsidRDefault="00B611D1">
      <w:pPr>
        <w:pStyle w:val="Titre2"/>
        <w:bidi/>
        <w:spacing w:before="69" w:line="360" w:lineRule="auto"/>
        <w:ind w:left="251" w:right="272"/>
        <w:jc w:val="both"/>
        <w:rPr>
          <w:b w:val="0"/>
          <w:bCs w:val="0"/>
          <w:sz w:val="24"/>
          <w:szCs w:val="24"/>
          <w:rtl/>
          <w:lang w:val="en-US"/>
        </w:rPr>
      </w:pPr>
    </w:p>
    <w:p w14:paraId="52470DA8" w14:textId="77777777" w:rsidR="00B611D1" w:rsidRDefault="00FB7689">
      <w:pPr>
        <w:pStyle w:val="Titre2"/>
        <w:bidi/>
        <w:spacing w:before="69" w:line="360" w:lineRule="auto"/>
        <w:ind w:left="251" w:right="272"/>
        <w:jc w:val="both"/>
        <w:rPr>
          <w:b w:val="0"/>
          <w:bCs w:val="0"/>
          <w:sz w:val="24"/>
          <w:szCs w:val="24"/>
          <w:rtl/>
          <w:lang w:val="fr-FR" w:bidi="ar-DZ"/>
        </w:rPr>
      </w:pPr>
      <w:r>
        <w:rPr>
          <w:b w:val="0"/>
          <w:bCs w:val="0"/>
          <w:sz w:val="24"/>
          <w:szCs w:val="24"/>
          <w:rtl/>
          <w:cs/>
          <w:lang w:val="en-US"/>
        </w:rPr>
        <w:t>الكلمات</w:t>
      </w:r>
      <w:r>
        <w:rPr>
          <w:b w:val="0"/>
          <w:bCs w:val="0"/>
          <w:sz w:val="24"/>
          <w:szCs w:val="24"/>
          <w:rtl/>
          <w:lang w:val="en-US"/>
        </w:rPr>
        <w:t xml:space="preserve"> </w:t>
      </w:r>
      <w:r>
        <w:rPr>
          <w:b w:val="0"/>
          <w:bCs w:val="0"/>
          <w:sz w:val="24"/>
          <w:szCs w:val="24"/>
          <w:rtl/>
          <w:cs/>
          <w:lang w:val="en-US"/>
        </w:rPr>
        <w:t>المفتاحية</w:t>
      </w:r>
      <w:r>
        <w:rPr>
          <w:b w:val="0"/>
          <w:bCs w:val="0"/>
          <w:sz w:val="24"/>
          <w:szCs w:val="24"/>
          <w:rtl/>
          <w:lang w:val="en-US"/>
        </w:rPr>
        <w:t xml:space="preserve">: </w:t>
      </w:r>
      <w:r>
        <w:rPr>
          <w:b w:val="0"/>
          <w:bCs w:val="0"/>
          <w:sz w:val="24"/>
          <w:szCs w:val="24"/>
          <w:rtl/>
          <w:cs/>
          <w:lang w:val="en-US"/>
        </w:rPr>
        <w:t>ا</w:t>
      </w:r>
      <w:r>
        <w:rPr>
          <w:rFonts w:hint="cs"/>
          <w:b w:val="0"/>
          <w:bCs w:val="0"/>
          <w:sz w:val="24"/>
          <w:szCs w:val="24"/>
          <w:rtl/>
          <w:lang w:val="en-US" w:bidi="ar-DZ"/>
        </w:rPr>
        <w:t>لعدوى المكتسبة في المستشفيات</w:t>
      </w:r>
      <w:r>
        <w:rPr>
          <w:rFonts w:hint="cs"/>
          <w:b w:val="0"/>
          <w:bCs w:val="0"/>
          <w:sz w:val="24"/>
          <w:szCs w:val="24"/>
          <w:rtl/>
          <w:cs/>
          <w:lang w:val="en-US"/>
        </w:rPr>
        <w:t>،</w:t>
      </w:r>
      <w:r>
        <w:rPr>
          <w:rFonts w:hint="cs"/>
          <w:b w:val="0"/>
          <w:bCs w:val="0"/>
          <w:sz w:val="24"/>
          <w:szCs w:val="24"/>
          <w:rtl/>
          <w:lang w:val="en-US" w:bidi="ar-DZ"/>
        </w:rPr>
        <w:t xml:space="preserve"> </w:t>
      </w:r>
      <w:r>
        <w:rPr>
          <w:b w:val="0"/>
          <w:bCs w:val="0"/>
          <w:sz w:val="24"/>
          <w:szCs w:val="24"/>
          <w:rtl/>
          <w:cs/>
          <w:lang w:val="en-US"/>
        </w:rPr>
        <w:t>الأسطح</w:t>
      </w:r>
      <w:r>
        <w:rPr>
          <w:b w:val="0"/>
          <w:bCs w:val="0"/>
          <w:sz w:val="24"/>
          <w:szCs w:val="24"/>
          <w:rtl/>
          <w:lang w:val="en-US"/>
        </w:rPr>
        <w:t xml:space="preserve"> </w:t>
      </w:r>
      <w:r>
        <w:rPr>
          <w:b w:val="0"/>
          <w:bCs w:val="0"/>
          <w:sz w:val="24"/>
          <w:szCs w:val="24"/>
          <w:rtl/>
          <w:cs/>
          <w:lang w:val="en-US"/>
        </w:rPr>
        <w:t>الاستشفائية،</w:t>
      </w:r>
      <w:r>
        <w:rPr>
          <w:b w:val="0"/>
          <w:bCs w:val="0"/>
          <w:sz w:val="24"/>
          <w:szCs w:val="24"/>
          <w:rtl/>
          <w:lang w:val="en-US"/>
        </w:rPr>
        <w:t xml:space="preserve"> </w:t>
      </w:r>
      <w:r>
        <w:rPr>
          <w:b w:val="0"/>
          <w:bCs w:val="0"/>
          <w:sz w:val="24"/>
          <w:szCs w:val="24"/>
          <w:rtl/>
          <w:cs/>
          <w:lang w:val="en-US"/>
        </w:rPr>
        <w:t>مقاومة</w:t>
      </w:r>
      <w:r>
        <w:rPr>
          <w:b w:val="0"/>
          <w:bCs w:val="0"/>
          <w:sz w:val="24"/>
          <w:szCs w:val="24"/>
          <w:rtl/>
          <w:lang w:val="en-US"/>
        </w:rPr>
        <w:t xml:space="preserve"> </w:t>
      </w:r>
      <w:r>
        <w:rPr>
          <w:b w:val="0"/>
          <w:bCs w:val="0"/>
          <w:sz w:val="24"/>
          <w:szCs w:val="24"/>
          <w:rtl/>
          <w:cs/>
          <w:lang w:val="en-US"/>
        </w:rPr>
        <w:t>المضادات</w:t>
      </w:r>
      <w:r>
        <w:rPr>
          <w:b w:val="0"/>
          <w:bCs w:val="0"/>
          <w:sz w:val="24"/>
          <w:szCs w:val="24"/>
          <w:rtl/>
          <w:lang w:val="en-US"/>
        </w:rPr>
        <w:t xml:space="preserve"> </w:t>
      </w:r>
      <w:r>
        <w:rPr>
          <w:b w:val="0"/>
          <w:bCs w:val="0"/>
          <w:sz w:val="24"/>
          <w:szCs w:val="24"/>
          <w:rtl/>
          <w:cs/>
          <w:lang w:val="en-US"/>
        </w:rPr>
        <w:t>الحيوية،</w:t>
      </w:r>
      <w:r>
        <w:rPr>
          <w:b w:val="0"/>
          <w:bCs w:val="0"/>
          <w:sz w:val="24"/>
          <w:szCs w:val="24"/>
          <w:rtl/>
          <w:lang w:val="en-US"/>
        </w:rPr>
        <w:t xml:space="preserve"> </w:t>
      </w:r>
      <w:r>
        <w:rPr>
          <w:b w:val="0"/>
          <w:bCs w:val="0"/>
          <w:sz w:val="24"/>
          <w:szCs w:val="24"/>
          <w:rtl/>
          <w:cs/>
          <w:lang w:val="en-US"/>
        </w:rPr>
        <w:t>المكورات</w:t>
      </w:r>
      <w:r>
        <w:rPr>
          <w:b w:val="0"/>
          <w:bCs w:val="0"/>
          <w:sz w:val="24"/>
          <w:szCs w:val="24"/>
          <w:rtl/>
          <w:lang w:val="en-US"/>
        </w:rPr>
        <w:t xml:space="preserve"> </w:t>
      </w:r>
      <w:r>
        <w:rPr>
          <w:b w:val="0"/>
          <w:bCs w:val="0"/>
          <w:sz w:val="24"/>
          <w:szCs w:val="24"/>
          <w:rtl/>
          <w:cs/>
          <w:lang w:val="en-US"/>
        </w:rPr>
        <w:t>العنقودية</w:t>
      </w:r>
      <w:r>
        <w:rPr>
          <w:b w:val="0"/>
          <w:bCs w:val="0"/>
          <w:sz w:val="24"/>
          <w:szCs w:val="24"/>
          <w:rtl/>
          <w:lang w:val="en-US"/>
        </w:rPr>
        <w:t xml:space="preserve"> </w:t>
      </w:r>
      <w:r>
        <w:rPr>
          <w:b w:val="0"/>
          <w:bCs w:val="0"/>
          <w:sz w:val="24"/>
          <w:szCs w:val="24"/>
          <w:rtl/>
          <w:cs/>
          <w:lang w:val="en-US"/>
        </w:rPr>
        <w:t>الذهبية</w:t>
      </w:r>
      <w:r>
        <w:rPr>
          <w:b w:val="0"/>
          <w:bCs w:val="0"/>
          <w:sz w:val="24"/>
          <w:szCs w:val="24"/>
          <w:rtl/>
          <w:lang w:val="en-US"/>
        </w:rPr>
        <w:t xml:space="preserve"> </w:t>
      </w:r>
      <w:r>
        <w:rPr>
          <w:b w:val="0"/>
          <w:bCs w:val="0"/>
          <w:sz w:val="24"/>
          <w:szCs w:val="24"/>
          <w:rtl/>
          <w:cs/>
          <w:lang w:val="en-US"/>
        </w:rPr>
        <w:t>المقاومة</w:t>
      </w:r>
      <w:r>
        <w:rPr>
          <w:b w:val="0"/>
          <w:bCs w:val="0"/>
          <w:sz w:val="24"/>
          <w:szCs w:val="24"/>
          <w:rtl/>
          <w:lang w:val="en-US"/>
        </w:rPr>
        <w:t xml:space="preserve"> </w:t>
      </w:r>
      <w:r>
        <w:rPr>
          <w:rFonts w:hint="cs"/>
          <w:b w:val="0"/>
          <w:bCs w:val="0"/>
          <w:sz w:val="24"/>
          <w:szCs w:val="24"/>
          <w:rtl/>
          <w:lang w:val="en-US" w:bidi="ar-DZ"/>
        </w:rPr>
        <w:t xml:space="preserve">للميثيسلين </w:t>
      </w:r>
      <w:r>
        <w:rPr>
          <w:b w:val="0"/>
          <w:bCs w:val="0"/>
          <w:sz w:val="24"/>
          <w:szCs w:val="24"/>
          <w:rtl/>
          <w:lang w:val="en-US"/>
        </w:rPr>
        <w:t xml:space="preserve"> </w:t>
      </w:r>
      <w:r>
        <w:rPr>
          <w:b w:val="0"/>
          <w:bCs w:val="0"/>
          <w:sz w:val="24"/>
          <w:szCs w:val="24"/>
          <w:rtl/>
          <w:cs/>
          <w:lang w:val="en-US"/>
        </w:rPr>
        <w:t>،</w:t>
      </w:r>
      <w:r>
        <w:rPr>
          <w:b w:val="0"/>
          <w:bCs w:val="0"/>
          <w:sz w:val="24"/>
          <w:szCs w:val="24"/>
          <w:rtl/>
          <w:lang w:val="en-US"/>
        </w:rPr>
        <w:t xml:space="preserve">(SARM) </w:t>
      </w:r>
      <w:r>
        <w:rPr>
          <w:b w:val="0"/>
          <w:bCs w:val="0"/>
          <w:sz w:val="24"/>
          <w:szCs w:val="24"/>
          <w:rtl/>
          <w:cs/>
          <w:lang w:val="en-US"/>
        </w:rPr>
        <w:t>البكتيريا</w:t>
      </w:r>
      <w:r>
        <w:rPr>
          <w:b w:val="0"/>
          <w:bCs w:val="0"/>
          <w:sz w:val="24"/>
          <w:szCs w:val="24"/>
          <w:rtl/>
          <w:lang w:val="en-US"/>
        </w:rPr>
        <w:t xml:space="preserve"> </w:t>
      </w:r>
      <w:r>
        <w:rPr>
          <w:b w:val="0"/>
          <w:bCs w:val="0"/>
          <w:sz w:val="24"/>
          <w:szCs w:val="24"/>
          <w:rtl/>
          <w:cs/>
          <w:lang w:val="en-US"/>
        </w:rPr>
        <w:t>المنتجة</w:t>
      </w:r>
      <w:r>
        <w:rPr>
          <w:b w:val="0"/>
          <w:bCs w:val="0"/>
          <w:sz w:val="24"/>
          <w:szCs w:val="24"/>
          <w:rtl/>
          <w:lang w:val="en-US"/>
        </w:rPr>
        <w:t xml:space="preserve"> </w:t>
      </w:r>
      <w:r>
        <w:rPr>
          <w:b w:val="0"/>
          <w:bCs w:val="0"/>
          <w:sz w:val="24"/>
          <w:szCs w:val="24"/>
          <w:rtl/>
          <w:cs/>
          <w:lang w:val="en-US"/>
        </w:rPr>
        <w:t>للبيتا</w:t>
      </w:r>
      <w:r>
        <w:rPr>
          <w:b w:val="0"/>
          <w:bCs w:val="0"/>
          <w:sz w:val="24"/>
          <w:szCs w:val="24"/>
          <w:rtl/>
          <w:lang w:val="en-US"/>
        </w:rPr>
        <w:t>-</w:t>
      </w:r>
      <w:r>
        <w:rPr>
          <w:b w:val="0"/>
          <w:bCs w:val="0"/>
          <w:sz w:val="24"/>
          <w:szCs w:val="24"/>
          <w:rtl/>
          <w:cs/>
          <w:lang w:val="en-US"/>
        </w:rPr>
        <w:t>لاكتاماز</w:t>
      </w:r>
      <w:r>
        <w:rPr>
          <w:b w:val="0"/>
          <w:bCs w:val="0"/>
          <w:sz w:val="24"/>
          <w:szCs w:val="24"/>
          <w:rtl/>
          <w:lang w:val="en-US"/>
        </w:rPr>
        <w:t xml:space="preserve"> </w:t>
      </w:r>
      <w:r>
        <w:rPr>
          <w:b w:val="0"/>
          <w:bCs w:val="0"/>
          <w:sz w:val="24"/>
          <w:szCs w:val="24"/>
          <w:rtl/>
          <w:cs/>
          <w:lang w:val="en-US"/>
        </w:rPr>
        <w:t>واسع</w:t>
      </w:r>
      <w:r>
        <w:rPr>
          <w:b w:val="0"/>
          <w:bCs w:val="0"/>
          <w:sz w:val="24"/>
          <w:szCs w:val="24"/>
          <w:rtl/>
          <w:lang w:val="en-US"/>
        </w:rPr>
        <w:t xml:space="preserve"> </w:t>
      </w:r>
      <w:r>
        <w:rPr>
          <w:b w:val="0"/>
          <w:bCs w:val="0"/>
          <w:sz w:val="24"/>
          <w:szCs w:val="24"/>
          <w:rtl/>
          <w:cs/>
          <w:lang w:val="en-US"/>
        </w:rPr>
        <w:t>الطيف</w:t>
      </w:r>
      <w:r>
        <w:rPr>
          <w:b w:val="0"/>
          <w:bCs w:val="0"/>
          <w:sz w:val="24"/>
          <w:szCs w:val="24"/>
          <w:rtl/>
          <w:lang w:val="en-US"/>
        </w:rPr>
        <w:t xml:space="preserve"> (BLSE</w:t>
      </w:r>
      <w:r>
        <w:rPr>
          <w:b w:val="0"/>
          <w:bCs w:val="0"/>
          <w:sz w:val="24"/>
          <w:szCs w:val="24"/>
          <w:lang w:val="fr-FR"/>
        </w:rPr>
        <w:t xml:space="preserve">) </w:t>
      </w:r>
    </w:p>
    <w:p w14:paraId="0AE3C75E" w14:textId="77777777" w:rsidR="00B611D1" w:rsidRDefault="00B611D1">
      <w:pPr>
        <w:pStyle w:val="Titre2"/>
        <w:bidi/>
        <w:spacing w:before="69" w:line="360" w:lineRule="auto"/>
        <w:ind w:left="251" w:right="272"/>
        <w:jc w:val="both"/>
        <w:rPr>
          <w:b w:val="0"/>
          <w:bCs w:val="0"/>
          <w:sz w:val="24"/>
          <w:szCs w:val="24"/>
          <w:lang w:val="en-US" w:bidi="ar-DZ"/>
        </w:rPr>
      </w:pPr>
    </w:p>
    <w:p w14:paraId="5F6412C0" w14:textId="77777777" w:rsidR="00B611D1" w:rsidRDefault="00B611D1">
      <w:pPr>
        <w:pStyle w:val="Titre2"/>
        <w:bidi/>
        <w:spacing w:before="69" w:line="360" w:lineRule="auto"/>
        <w:ind w:left="251" w:right="272"/>
        <w:jc w:val="both"/>
        <w:rPr>
          <w:b w:val="0"/>
          <w:bCs w:val="0"/>
          <w:sz w:val="24"/>
          <w:szCs w:val="24"/>
          <w:lang w:val="fr-FR"/>
        </w:rPr>
      </w:pPr>
    </w:p>
    <w:p w14:paraId="1D303308" w14:textId="77777777" w:rsidR="00B611D1" w:rsidRDefault="00B611D1">
      <w:pPr>
        <w:pStyle w:val="Titre2"/>
        <w:bidi/>
        <w:spacing w:before="69" w:line="360" w:lineRule="auto"/>
        <w:ind w:left="251" w:right="272"/>
        <w:jc w:val="both"/>
        <w:rPr>
          <w:b w:val="0"/>
          <w:bCs w:val="0"/>
          <w:sz w:val="24"/>
          <w:szCs w:val="24"/>
          <w:rtl/>
          <w:lang w:val="fr-FR"/>
        </w:rPr>
      </w:pPr>
    </w:p>
    <w:p w14:paraId="5D22873B" w14:textId="77777777" w:rsidR="00B611D1" w:rsidRDefault="00B611D1">
      <w:pPr>
        <w:rPr>
          <w:lang w:val="fr-FR"/>
        </w:rPr>
      </w:pPr>
    </w:p>
    <w:p w14:paraId="10AACDA9" w14:textId="77777777" w:rsidR="00B611D1" w:rsidRDefault="00B611D1">
      <w:pPr>
        <w:rPr>
          <w:lang w:val="fr-FR"/>
        </w:rPr>
      </w:pPr>
    </w:p>
    <w:p w14:paraId="03A07D1A" w14:textId="77777777" w:rsidR="00B611D1" w:rsidRDefault="00B611D1">
      <w:pPr>
        <w:rPr>
          <w:lang w:val="fr-FR"/>
        </w:rPr>
        <w:sectPr w:rsidR="00B611D1">
          <w:headerReference w:type="default" r:id="rId22"/>
          <w:footerReference w:type="default" r:id="rId23"/>
          <w:pgSz w:w="11900" w:h="16840"/>
          <w:pgMar w:top="1040" w:right="900" w:bottom="280" w:left="1180" w:header="0" w:footer="0" w:gutter="0"/>
          <w:cols w:space="720"/>
        </w:sectPr>
      </w:pPr>
    </w:p>
    <w:p w14:paraId="3EEC0478" w14:textId="77777777" w:rsidR="00B611D1" w:rsidRDefault="00FB7689">
      <w:pPr>
        <w:jc w:val="center"/>
        <w:rPr>
          <w:b/>
          <w:bCs/>
          <w:sz w:val="28"/>
          <w:szCs w:val="28"/>
          <w:lang w:val="fr-FR"/>
        </w:rPr>
      </w:pPr>
      <w:r>
        <w:rPr>
          <w:b/>
          <w:bCs/>
          <w:sz w:val="28"/>
          <w:szCs w:val="28"/>
          <w:lang w:val="fr-FR"/>
        </w:rPr>
        <w:t>Liste des Figures</w:t>
      </w:r>
    </w:p>
    <w:p w14:paraId="7F744801" w14:textId="77777777" w:rsidR="00B611D1" w:rsidRDefault="00FB7689">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r>
        <w:rPr>
          <w:lang w:val="fr-FR"/>
        </w:rPr>
        <w:fldChar w:fldCharType="begin"/>
      </w:r>
      <w:r>
        <w:rPr>
          <w:lang w:val="fr-FR"/>
        </w:rPr>
        <w:instrText xml:space="preserve"> TOC \h \z \c "Figure" </w:instrText>
      </w:r>
      <w:r>
        <w:rPr>
          <w:lang w:val="fr-FR"/>
        </w:rPr>
        <w:fldChar w:fldCharType="separate"/>
      </w:r>
      <w:hyperlink w:anchor="_Toc201269645" w:history="1">
        <w:r>
          <w:rPr>
            <w:rStyle w:val="Lienhypertexte"/>
            <w:b/>
            <w:bCs/>
            <w:lang w:val="en-US"/>
          </w:rPr>
          <w:t>Figure 1 :</w:t>
        </w:r>
        <w:r>
          <w:rPr>
            <w:rStyle w:val="Lienhypertexte"/>
            <w:b/>
            <w:bCs/>
            <w:i/>
            <w:iCs/>
            <w:lang w:val="en-US"/>
          </w:rPr>
          <w:t xml:space="preserve"> </w:t>
        </w:r>
        <w:r>
          <w:rPr>
            <w:rStyle w:val="Lienhypertexte"/>
            <w:i/>
            <w:iCs/>
            <w:lang w:val="en-US"/>
          </w:rPr>
          <w:t>Escherichia coli</w:t>
        </w:r>
        <w:r>
          <w:rPr>
            <w:rStyle w:val="Lienhypertexte"/>
            <w:b/>
            <w:bCs/>
            <w:i/>
            <w:iCs/>
            <w:lang w:val="en-US"/>
          </w:rPr>
          <w:t xml:space="preserve"> </w:t>
        </w:r>
        <w:r>
          <w:tab/>
        </w:r>
        <w:r>
          <w:fldChar w:fldCharType="begin"/>
        </w:r>
        <w:r>
          <w:instrText xml:space="preserve"> PAGEREF _Toc201269645 \h </w:instrText>
        </w:r>
        <w:r>
          <w:fldChar w:fldCharType="separate"/>
        </w:r>
        <w:r>
          <w:t>16</w:t>
        </w:r>
        <w:r>
          <w:fldChar w:fldCharType="end"/>
        </w:r>
      </w:hyperlink>
    </w:p>
    <w:p w14:paraId="2AFB5B74"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46" w:history="1">
        <w:r w:rsidR="00FB7689">
          <w:rPr>
            <w:rStyle w:val="Lienhypertexte"/>
            <w:b/>
            <w:bCs/>
            <w:lang w:val="fr-FR"/>
          </w:rPr>
          <w:t xml:space="preserve">Figure 2 : </w:t>
        </w:r>
        <w:r w:rsidR="00FB7689">
          <w:rPr>
            <w:rStyle w:val="Lienhypertexte"/>
            <w:i/>
            <w:iCs/>
            <w:lang w:val="fr-FR"/>
          </w:rPr>
          <w:t>Klebsiella pneumoniae</w:t>
        </w:r>
        <w:r w:rsidR="00FB7689">
          <w:rPr>
            <w:rStyle w:val="Lienhypertexte"/>
            <w:b/>
            <w:bCs/>
            <w:i/>
            <w:iCs/>
            <w:lang w:val="fr-FR"/>
          </w:rPr>
          <w:t xml:space="preserve"> </w:t>
        </w:r>
        <w:r w:rsidR="00FB7689">
          <w:tab/>
        </w:r>
        <w:r w:rsidR="00FB7689">
          <w:fldChar w:fldCharType="begin"/>
        </w:r>
        <w:r w:rsidR="00FB7689">
          <w:instrText xml:space="preserve"> PAGEREF _Toc201269646 \h </w:instrText>
        </w:r>
        <w:r w:rsidR="00FB7689">
          <w:fldChar w:fldCharType="separate"/>
        </w:r>
        <w:r w:rsidR="00FB7689">
          <w:t>17</w:t>
        </w:r>
        <w:r w:rsidR="00FB7689">
          <w:fldChar w:fldCharType="end"/>
        </w:r>
      </w:hyperlink>
    </w:p>
    <w:p w14:paraId="07F04C2F"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47" w:history="1">
        <w:r w:rsidR="00FB7689">
          <w:rPr>
            <w:rStyle w:val="Lienhypertexte"/>
            <w:b/>
            <w:bCs/>
            <w:lang w:val="fr-FR"/>
          </w:rPr>
          <w:t xml:space="preserve">Figure 3 : </w:t>
        </w:r>
        <w:r w:rsidR="00FB7689">
          <w:rPr>
            <w:rStyle w:val="Lienhypertexte"/>
            <w:i/>
            <w:iCs/>
            <w:lang w:val="fr-FR"/>
          </w:rPr>
          <w:t>Serratia marcescens</w:t>
        </w:r>
        <w:r w:rsidR="00FB7689">
          <w:rPr>
            <w:rStyle w:val="Lienhypertexte"/>
            <w:b/>
            <w:bCs/>
            <w:i/>
            <w:iCs/>
            <w:lang w:val="fr-FR"/>
          </w:rPr>
          <w:t xml:space="preserve"> </w:t>
        </w:r>
        <w:r w:rsidR="00FB7689">
          <w:tab/>
        </w:r>
        <w:r w:rsidR="00FB7689">
          <w:fldChar w:fldCharType="begin"/>
        </w:r>
        <w:r w:rsidR="00FB7689">
          <w:instrText xml:space="preserve"> PAGEREF _Toc201269647 \h </w:instrText>
        </w:r>
        <w:r w:rsidR="00FB7689">
          <w:fldChar w:fldCharType="separate"/>
        </w:r>
        <w:r w:rsidR="00FB7689">
          <w:t>18</w:t>
        </w:r>
        <w:r w:rsidR="00FB7689">
          <w:fldChar w:fldCharType="end"/>
        </w:r>
      </w:hyperlink>
    </w:p>
    <w:p w14:paraId="28A74ECA"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48" w:history="1">
        <w:r w:rsidR="00FB7689">
          <w:rPr>
            <w:rStyle w:val="Lienhypertexte"/>
            <w:b/>
            <w:bCs/>
            <w:lang w:val="fr-FR"/>
          </w:rPr>
          <w:t>Figure 4 :</w:t>
        </w:r>
        <w:r w:rsidR="00FB7689">
          <w:rPr>
            <w:rStyle w:val="Lienhypertexte"/>
            <w:b/>
            <w:bCs/>
            <w:i/>
            <w:iCs/>
            <w:lang w:val="fr-FR"/>
          </w:rPr>
          <w:t xml:space="preserve"> </w:t>
        </w:r>
        <w:r w:rsidR="00FB7689">
          <w:rPr>
            <w:rStyle w:val="Lienhypertexte"/>
            <w:i/>
            <w:iCs/>
            <w:lang w:val="fr-FR"/>
          </w:rPr>
          <w:t>Acinetobacter baumannii</w:t>
        </w:r>
        <w:r w:rsidR="00FB7689">
          <w:rPr>
            <w:rStyle w:val="Lienhypertexte"/>
            <w:b/>
            <w:bCs/>
            <w:lang w:val="fr-FR"/>
          </w:rPr>
          <w:t xml:space="preserve"> </w:t>
        </w:r>
        <w:r w:rsidR="00FB7689">
          <w:tab/>
        </w:r>
        <w:r w:rsidR="00FB7689">
          <w:fldChar w:fldCharType="begin"/>
        </w:r>
        <w:r w:rsidR="00FB7689">
          <w:instrText xml:space="preserve"> PAGEREF _Toc201269648 \h </w:instrText>
        </w:r>
        <w:r w:rsidR="00FB7689">
          <w:fldChar w:fldCharType="separate"/>
        </w:r>
        <w:r w:rsidR="00FB7689">
          <w:t>18</w:t>
        </w:r>
        <w:r w:rsidR="00FB7689">
          <w:fldChar w:fldCharType="end"/>
        </w:r>
      </w:hyperlink>
    </w:p>
    <w:p w14:paraId="35865933"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49" w:history="1">
        <w:r w:rsidR="00FB7689">
          <w:rPr>
            <w:rStyle w:val="Lienhypertexte"/>
            <w:b/>
            <w:bCs/>
            <w:lang w:eastAsia="zh-CN"/>
          </w:rPr>
          <w:t>Figure 5</w:t>
        </w:r>
        <w:r w:rsidR="00FB7689">
          <w:rPr>
            <w:rStyle w:val="Lienhypertexte"/>
            <w:b/>
            <w:bCs/>
            <w:lang w:val="fr-FR" w:eastAsia="zh-CN"/>
          </w:rPr>
          <w:t xml:space="preserve"> : </w:t>
        </w:r>
        <w:r w:rsidR="00FB7689">
          <w:rPr>
            <w:rStyle w:val="Lienhypertexte"/>
            <w:i/>
            <w:iCs/>
            <w:lang w:val="fr-FR" w:eastAsia="zh-CN"/>
          </w:rPr>
          <w:t>Pseudomonas aeruginosa</w:t>
        </w:r>
        <w:r w:rsidR="00FB7689">
          <w:rPr>
            <w:rStyle w:val="Lienhypertexte"/>
            <w:b/>
            <w:bCs/>
            <w:lang w:val="fr-FR" w:eastAsia="zh-CN"/>
          </w:rPr>
          <w:t xml:space="preserve"> </w:t>
        </w:r>
        <w:r w:rsidR="00FB7689">
          <w:tab/>
        </w:r>
        <w:r w:rsidR="00FB7689">
          <w:fldChar w:fldCharType="begin"/>
        </w:r>
        <w:r w:rsidR="00FB7689">
          <w:instrText xml:space="preserve"> PAGEREF _Toc201269649 \h </w:instrText>
        </w:r>
        <w:r w:rsidR="00FB7689">
          <w:fldChar w:fldCharType="separate"/>
        </w:r>
        <w:r w:rsidR="00FB7689">
          <w:t>19</w:t>
        </w:r>
        <w:r w:rsidR="00FB7689">
          <w:fldChar w:fldCharType="end"/>
        </w:r>
      </w:hyperlink>
    </w:p>
    <w:p w14:paraId="7E18CDBE"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0" w:history="1">
        <w:r w:rsidR="00FB7689">
          <w:rPr>
            <w:rStyle w:val="Lienhypertexte"/>
            <w:b/>
            <w:bCs/>
            <w:lang w:val="fr-FR"/>
          </w:rPr>
          <w:t>Figure 6 :</w:t>
        </w:r>
        <w:r w:rsidR="00FB7689">
          <w:rPr>
            <w:rStyle w:val="Lienhypertexte"/>
            <w:lang w:val="fr-FR"/>
          </w:rPr>
          <w:t xml:space="preserve"> </w:t>
        </w:r>
        <w:r w:rsidR="00FB7689">
          <w:rPr>
            <w:rStyle w:val="Lienhypertexte"/>
            <w:i/>
            <w:iCs/>
            <w:lang w:val="fr-FR"/>
          </w:rPr>
          <w:t>Staphylococcus aureus</w:t>
        </w:r>
        <w:r w:rsidR="00FB7689">
          <w:rPr>
            <w:rStyle w:val="Lienhypertexte"/>
            <w:b/>
            <w:bCs/>
            <w:lang w:val="fr-FR"/>
          </w:rPr>
          <w:t xml:space="preserve"> </w:t>
        </w:r>
        <w:r w:rsidR="00FB7689">
          <w:tab/>
        </w:r>
        <w:r w:rsidR="00FB7689">
          <w:fldChar w:fldCharType="begin"/>
        </w:r>
        <w:r w:rsidR="00FB7689">
          <w:instrText xml:space="preserve"> PAGEREF _Toc201269650 \h </w:instrText>
        </w:r>
        <w:r w:rsidR="00FB7689">
          <w:fldChar w:fldCharType="separate"/>
        </w:r>
        <w:r w:rsidR="00FB7689">
          <w:t>20</w:t>
        </w:r>
        <w:r w:rsidR="00FB7689">
          <w:fldChar w:fldCharType="end"/>
        </w:r>
      </w:hyperlink>
    </w:p>
    <w:p w14:paraId="1899F886"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1" w:history="1">
        <w:r w:rsidR="00FB7689">
          <w:rPr>
            <w:rStyle w:val="Lienhypertexte"/>
            <w:b/>
            <w:bCs/>
          </w:rPr>
          <w:t>Figure 7</w:t>
        </w:r>
        <w:r w:rsidR="00FB7689">
          <w:rPr>
            <w:rStyle w:val="Lienhypertexte"/>
            <w:b/>
            <w:bCs/>
            <w:lang w:val="fr-FR"/>
          </w:rPr>
          <w:t> :</w:t>
        </w:r>
        <w:r w:rsidR="00FB7689">
          <w:rPr>
            <w:rStyle w:val="Lienhypertexte"/>
            <w:b/>
            <w:bCs/>
            <w:i/>
            <w:iCs/>
            <w:lang w:val="fr-FR"/>
          </w:rPr>
          <w:t xml:space="preserve"> </w:t>
        </w:r>
        <w:r w:rsidR="00FB7689">
          <w:rPr>
            <w:rStyle w:val="Lienhypertexte"/>
            <w:i/>
            <w:iCs/>
            <w:lang w:val="fr-FR"/>
          </w:rPr>
          <w:t>Streptococcus</w:t>
        </w:r>
        <w:r w:rsidR="00FB7689">
          <w:rPr>
            <w:rStyle w:val="Lienhypertexte"/>
            <w:lang w:val="fr-FR"/>
          </w:rPr>
          <w:t xml:space="preserve"> </w:t>
        </w:r>
        <w:r w:rsidR="00FB7689">
          <w:tab/>
        </w:r>
        <w:r w:rsidR="00FB7689">
          <w:fldChar w:fldCharType="begin"/>
        </w:r>
        <w:r w:rsidR="00FB7689">
          <w:instrText xml:space="preserve"> PAGEREF _Toc201269651 \h </w:instrText>
        </w:r>
        <w:r w:rsidR="00FB7689">
          <w:fldChar w:fldCharType="separate"/>
        </w:r>
        <w:r w:rsidR="00FB7689">
          <w:t>21</w:t>
        </w:r>
        <w:r w:rsidR="00FB7689">
          <w:fldChar w:fldCharType="end"/>
        </w:r>
      </w:hyperlink>
    </w:p>
    <w:p w14:paraId="65DFE1F4"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2" w:history="1">
        <w:r w:rsidR="00FB7689">
          <w:rPr>
            <w:rStyle w:val="Lienhypertexte"/>
            <w:b/>
            <w:bCs/>
            <w:lang w:val="fr-FR"/>
          </w:rPr>
          <w:t xml:space="preserve">Figure 8 : </w:t>
        </w:r>
        <w:r w:rsidR="00FB7689">
          <w:rPr>
            <w:rStyle w:val="Lienhypertexte"/>
            <w:lang w:val="fr-FR"/>
          </w:rPr>
          <w:t>Cibles bactériennes et mécanisme de résistance aux antibiotiques</w:t>
        </w:r>
        <w:r w:rsidR="00FB7689">
          <w:rPr>
            <w:rStyle w:val="Lienhypertexte"/>
            <w:b/>
            <w:bCs/>
            <w:lang w:val="fr-FR"/>
          </w:rPr>
          <w:t xml:space="preserve"> </w:t>
        </w:r>
        <w:r w:rsidR="00FB7689">
          <w:tab/>
        </w:r>
        <w:r w:rsidR="00FB7689">
          <w:fldChar w:fldCharType="begin"/>
        </w:r>
        <w:r w:rsidR="00FB7689">
          <w:instrText xml:space="preserve"> PAGEREF _Toc201269652 \h </w:instrText>
        </w:r>
        <w:r w:rsidR="00FB7689">
          <w:fldChar w:fldCharType="separate"/>
        </w:r>
        <w:r w:rsidR="00FB7689">
          <w:t>27</w:t>
        </w:r>
        <w:r w:rsidR="00FB7689">
          <w:fldChar w:fldCharType="end"/>
        </w:r>
      </w:hyperlink>
    </w:p>
    <w:p w14:paraId="58EC2D19"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3" w:history="1">
        <w:r w:rsidR="00FB7689">
          <w:rPr>
            <w:rStyle w:val="Lienhypertexte"/>
            <w:b/>
            <w:bCs/>
            <w:lang w:val="fr-FR"/>
          </w:rPr>
          <w:t xml:space="preserve">Figure 9 : </w:t>
        </w:r>
        <w:r w:rsidR="00FB7689">
          <w:rPr>
            <w:rStyle w:val="Lienhypertexte"/>
            <w:lang w:val="fr-FR"/>
          </w:rPr>
          <w:t>Turbidité des tubes.</w:t>
        </w:r>
        <w:r w:rsidR="00FB7689">
          <w:rPr>
            <w:rStyle w:val="Lienhypertexte"/>
            <w:rFonts w:eastAsia="SimSun"/>
            <w:lang w:val="fr-FR" w:eastAsia="zh-CN" w:bidi="ar"/>
          </w:rPr>
          <w:t>.</w:t>
        </w:r>
        <w:r w:rsidR="00FB7689">
          <w:tab/>
        </w:r>
        <w:r w:rsidR="00FB7689">
          <w:fldChar w:fldCharType="begin"/>
        </w:r>
        <w:r w:rsidR="00FB7689">
          <w:instrText xml:space="preserve"> PAGEREF _Toc201269653 \h </w:instrText>
        </w:r>
        <w:r w:rsidR="00FB7689">
          <w:fldChar w:fldCharType="separate"/>
        </w:r>
        <w:r w:rsidR="00FB7689">
          <w:t>36</w:t>
        </w:r>
        <w:r w:rsidR="00FB7689">
          <w:fldChar w:fldCharType="end"/>
        </w:r>
      </w:hyperlink>
    </w:p>
    <w:p w14:paraId="778B01A7"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4" w:history="1">
        <w:r w:rsidR="00FB7689">
          <w:rPr>
            <w:rStyle w:val="Lienhypertexte"/>
            <w:b/>
            <w:bCs/>
            <w:lang w:val="fr-FR"/>
          </w:rPr>
          <w:t xml:space="preserve">Figure 10 : </w:t>
        </w:r>
        <w:r w:rsidR="00FB7689">
          <w:rPr>
            <w:rStyle w:val="Lienhypertexte"/>
            <w:lang w:val="fr-FR"/>
          </w:rPr>
          <w:t>Fréquence des espèces bactériennes isolées aux urgences</w:t>
        </w:r>
        <w:r w:rsidR="00FB7689">
          <w:tab/>
        </w:r>
        <w:r w:rsidR="00FB7689">
          <w:fldChar w:fldCharType="begin"/>
        </w:r>
        <w:r w:rsidR="00FB7689">
          <w:instrText xml:space="preserve"> PAGEREF _Toc201269654 \h </w:instrText>
        </w:r>
        <w:r w:rsidR="00FB7689">
          <w:fldChar w:fldCharType="separate"/>
        </w:r>
        <w:r w:rsidR="00FB7689">
          <w:t>37</w:t>
        </w:r>
        <w:r w:rsidR="00FB7689">
          <w:fldChar w:fldCharType="end"/>
        </w:r>
      </w:hyperlink>
    </w:p>
    <w:p w14:paraId="2ACB6140"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5" w:history="1">
        <w:r w:rsidR="00FB7689">
          <w:rPr>
            <w:rStyle w:val="Lienhypertexte"/>
            <w:b/>
            <w:bCs/>
            <w:lang w:val="fr-FR"/>
          </w:rPr>
          <w:t xml:space="preserve">Figure 11 : </w:t>
        </w:r>
        <w:r w:rsidR="00FB7689">
          <w:rPr>
            <w:rStyle w:val="Lienhypertexte"/>
            <w:lang w:val="fr-FR"/>
          </w:rPr>
          <w:t xml:space="preserve">Identification des souches par le système API </w:t>
        </w:r>
        <w:r w:rsidR="00FB7689">
          <w:tab/>
        </w:r>
        <w:r w:rsidR="00FB7689">
          <w:fldChar w:fldCharType="begin"/>
        </w:r>
        <w:r w:rsidR="00FB7689">
          <w:instrText xml:space="preserve"> PAGEREF _Toc201269655 \h </w:instrText>
        </w:r>
        <w:r w:rsidR="00FB7689">
          <w:fldChar w:fldCharType="separate"/>
        </w:r>
        <w:r w:rsidR="00FB7689">
          <w:t>39</w:t>
        </w:r>
        <w:r w:rsidR="00FB7689">
          <w:fldChar w:fldCharType="end"/>
        </w:r>
      </w:hyperlink>
    </w:p>
    <w:p w14:paraId="575E9835"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6" w:history="1">
        <w:r w:rsidR="00FB7689">
          <w:rPr>
            <w:rStyle w:val="Lienhypertexte"/>
            <w:b/>
            <w:bCs/>
            <w:lang w:val="fr-FR"/>
          </w:rPr>
          <w:t xml:space="preserve">Figure 12 : </w:t>
        </w:r>
        <w:r w:rsidR="00FB7689">
          <w:rPr>
            <w:rStyle w:val="Lienhypertexte"/>
            <w:lang w:val="fr-FR"/>
          </w:rPr>
          <w:t>Résultats des tests biochimiques d’identification bactérienne .</w:t>
        </w:r>
        <w:r w:rsidR="00FB7689">
          <w:tab/>
        </w:r>
        <w:r w:rsidR="00FB7689">
          <w:fldChar w:fldCharType="begin"/>
        </w:r>
        <w:r w:rsidR="00FB7689">
          <w:instrText xml:space="preserve"> PAGEREF _Toc201269656 \h </w:instrText>
        </w:r>
        <w:r w:rsidR="00FB7689">
          <w:fldChar w:fldCharType="separate"/>
        </w:r>
        <w:r w:rsidR="00FB7689">
          <w:t>40</w:t>
        </w:r>
        <w:r w:rsidR="00FB7689">
          <w:fldChar w:fldCharType="end"/>
        </w:r>
      </w:hyperlink>
    </w:p>
    <w:p w14:paraId="63021FCA"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7" w:history="1">
        <w:r w:rsidR="00FB7689">
          <w:rPr>
            <w:rStyle w:val="Lienhypertexte"/>
            <w:b/>
            <w:bCs/>
            <w:lang w:val="fr-FR"/>
          </w:rPr>
          <w:t xml:space="preserve">Figure 13: </w:t>
        </w:r>
        <w:r w:rsidR="00FB7689">
          <w:rPr>
            <w:rStyle w:val="Lienhypertexte"/>
            <w:lang w:val="fr-FR"/>
          </w:rPr>
          <w:t xml:space="preserve">Profil de résistance aux antibiotiques de </w:t>
        </w:r>
        <w:r w:rsidR="00FB7689">
          <w:rPr>
            <w:rStyle w:val="Lienhypertexte"/>
            <w:i/>
            <w:iCs/>
            <w:lang w:val="fr-FR"/>
          </w:rPr>
          <w:t>Klebsiella pneumoniae</w:t>
        </w:r>
        <w:r w:rsidR="00FB7689">
          <w:tab/>
        </w:r>
        <w:r w:rsidR="00FB7689">
          <w:fldChar w:fldCharType="begin"/>
        </w:r>
        <w:r w:rsidR="00FB7689">
          <w:instrText xml:space="preserve"> PAGEREF _Toc201269657 \h </w:instrText>
        </w:r>
        <w:r w:rsidR="00FB7689">
          <w:fldChar w:fldCharType="separate"/>
        </w:r>
        <w:r w:rsidR="00FB7689">
          <w:t>41</w:t>
        </w:r>
        <w:r w:rsidR="00FB7689">
          <w:fldChar w:fldCharType="end"/>
        </w:r>
      </w:hyperlink>
    </w:p>
    <w:p w14:paraId="638A6FDB"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8" w:history="1">
        <w:r w:rsidR="00FB7689">
          <w:rPr>
            <w:rStyle w:val="Lienhypertexte"/>
            <w:b/>
            <w:bCs/>
            <w:lang w:val="fr-FR"/>
          </w:rPr>
          <w:t xml:space="preserve">Figure 14 : </w:t>
        </w:r>
        <w:r w:rsidR="00FB7689">
          <w:rPr>
            <w:rStyle w:val="Lienhypertexte"/>
            <w:lang w:val="fr-FR"/>
          </w:rPr>
          <w:t xml:space="preserve">Profil de résistance aux antibiotiques de </w:t>
        </w:r>
        <w:r w:rsidR="00FB7689">
          <w:rPr>
            <w:rStyle w:val="Lienhypertexte"/>
            <w:i/>
            <w:iCs/>
            <w:lang w:val="fr-FR"/>
          </w:rPr>
          <w:t>Staphylococcus aureus</w:t>
        </w:r>
        <w:r w:rsidR="00FB7689">
          <w:tab/>
        </w:r>
        <w:r w:rsidR="00FB7689">
          <w:fldChar w:fldCharType="begin"/>
        </w:r>
        <w:r w:rsidR="00FB7689">
          <w:instrText xml:space="preserve"> PAGEREF _Toc201269658 \h </w:instrText>
        </w:r>
        <w:r w:rsidR="00FB7689">
          <w:fldChar w:fldCharType="separate"/>
        </w:r>
        <w:r w:rsidR="00FB7689">
          <w:t>41</w:t>
        </w:r>
        <w:r w:rsidR="00FB7689">
          <w:fldChar w:fldCharType="end"/>
        </w:r>
      </w:hyperlink>
    </w:p>
    <w:p w14:paraId="50F21ED7"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59" w:history="1">
        <w:r w:rsidR="00FB7689">
          <w:rPr>
            <w:rStyle w:val="Lienhypertexte"/>
            <w:b/>
            <w:bCs/>
            <w:lang w:val="fr-FR"/>
          </w:rPr>
          <w:t xml:space="preserve">Figure 15 : </w:t>
        </w:r>
        <w:r w:rsidR="00FB7689">
          <w:rPr>
            <w:rStyle w:val="Lienhypertexte"/>
            <w:lang w:val="fr-FR"/>
          </w:rPr>
          <w:t xml:space="preserve">Profil de résistance aux antibiotiques de </w:t>
        </w:r>
        <w:r w:rsidR="00FB7689">
          <w:rPr>
            <w:rStyle w:val="Lienhypertexte"/>
            <w:i/>
            <w:iCs/>
            <w:lang w:val="fr-FR"/>
          </w:rPr>
          <w:t>Serratia marcescens</w:t>
        </w:r>
        <w:r w:rsidR="00FB7689">
          <w:tab/>
        </w:r>
        <w:r w:rsidR="00FB7689">
          <w:fldChar w:fldCharType="begin"/>
        </w:r>
        <w:r w:rsidR="00FB7689">
          <w:instrText xml:space="preserve"> PAGEREF _Toc201269659 \h </w:instrText>
        </w:r>
        <w:r w:rsidR="00FB7689">
          <w:fldChar w:fldCharType="separate"/>
        </w:r>
        <w:r w:rsidR="00FB7689">
          <w:t>42</w:t>
        </w:r>
        <w:r w:rsidR="00FB7689">
          <w:fldChar w:fldCharType="end"/>
        </w:r>
      </w:hyperlink>
    </w:p>
    <w:p w14:paraId="739608BA"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9660" w:history="1">
        <w:r w:rsidR="00FB7689">
          <w:rPr>
            <w:rStyle w:val="Lienhypertexte"/>
            <w:b/>
            <w:bCs/>
            <w:lang w:val="fr-FR"/>
          </w:rPr>
          <w:t xml:space="preserve">Figure 16 : </w:t>
        </w:r>
        <w:r w:rsidR="00FB7689">
          <w:rPr>
            <w:rStyle w:val="Lienhypertexte"/>
            <w:lang w:val="fr-FR"/>
          </w:rPr>
          <w:t xml:space="preserve">Profil de résistance aux antibiotiques de </w:t>
        </w:r>
        <w:r w:rsidR="00FB7689">
          <w:rPr>
            <w:rStyle w:val="Lienhypertexte"/>
            <w:i/>
            <w:iCs/>
            <w:lang w:val="fr-FR"/>
          </w:rPr>
          <w:t>Acinetobacter baumannii</w:t>
        </w:r>
        <w:r w:rsidR="00FB7689">
          <w:tab/>
        </w:r>
        <w:r w:rsidR="00FB7689">
          <w:fldChar w:fldCharType="begin"/>
        </w:r>
        <w:r w:rsidR="00FB7689">
          <w:instrText xml:space="preserve"> PAGEREF _Toc201269660 \h </w:instrText>
        </w:r>
        <w:r w:rsidR="00FB7689">
          <w:fldChar w:fldCharType="separate"/>
        </w:r>
        <w:r w:rsidR="00FB7689">
          <w:t>42</w:t>
        </w:r>
        <w:r w:rsidR="00FB7689">
          <w:fldChar w:fldCharType="end"/>
        </w:r>
      </w:hyperlink>
    </w:p>
    <w:p w14:paraId="5DD9B39E" w14:textId="77777777" w:rsidR="00B611D1" w:rsidRDefault="00FB7689">
      <w:pPr>
        <w:pStyle w:val="Corpsdetexte"/>
        <w:tabs>
          <w:tab w:val="left" w:leader="dot" w:pos="9095"/>
        </w:tabs>
        <w:spacing w:before="573"/>
        <w:ind w:right="1"/>
        <w:rPr>
          <w:lang w:val="fr-FR"/>
        </w:rPr>
        <w:sectPr w:rsidR="00B611D1">
          <w:headerReference w:type="default" r:id="rId24"/>
          <w:footerReference w:type="default" r:id="rId25"/>
          <w:pgSz w:w="11900" w:h="16840"/>
          <w:pgMar w:top="1040" w:right="900" w:bottom="280" w:left="1180" w:header="0" w:footer="0" w:gutter="0"/>
          <w:cols w:space="720"/>
        </w:sectPr>
      </w:pPr>
      <w:r>
        <w:rPr>
          <w:lang w:val="fr-FR"/>
        </w:rPr>
        <w:fldChar w:fldCharType="end"/>
      </w:r>
    </w:p>
    <w:p w14:paraId="03CC8B8B" w14:textId="77777777" w:rsidR="00B611D1" w:rsidRDefault="00FB7689">
      <w:pPr>
        <w:ind w:right="248"/>
        <w:jc w:val="center"/>
        <w:rPr>
          <w:b/>
          <w:sz w:val="28"/>
          <w:lang w:val="fr-FR"/>
        </w:rPr>
      </w:pPr>
      <w:r>
        <w:rPr>
          <w:b/>
          <w:sz w:val="28"/>
          <w:lang w:val="fr-FR"/>
        </w:rPr>
        <w:t>Liste</w:t>
      </w:r>
      <w:r>
        <w:rPr>
          <w:b/>
          <w:spacing w:val="-2"/>
          <w:sz w:val="28"/>
          <w:lang w:val="fr-FR"/>
        </w:rPr>
        <w:t xml:space="preserve"> </w:t>
      </w:r>
      <w:r>
        <w:rPr>
          <w:b/>
          <w:sz w:val="28"/>
          <w:lang w:val="fr-FR"/>
        </w:rPr>
        <w:t>des</w:t>
      </w:r>
      <w:r>
        <w:rPr>
          <w:b/>
          <w:spacing w:val="-1"/>
          <w:sz w:val="28"/>
          <w:lang w:val="fr-FR"/>
        </w:rPr>
        <w:t xml:space="preserve"> </w:t>
      </w:r>
      <w:r>
        <w:rPr>
          <w:b/>
          <w:sz w:val="28"/>
          <w:lang w:val="fr-FR"/>
        </w:rPr>
        <w:t>Tableaux</w:t>
      </w:r>
    </w:p>
    <w:p w14:paraId="5912107D" w14:textId="77777777" w:rsidR="00B611D1" w:rsidRDefault="00B611D1">
      <w:pPr>
        <w:jc w:val="center"/>
        <w:rPr>
          <w:lang w:val="fr-FR"/>
        </w:rPr>
      </w:pPr>
    </w:p>
    <w:p w14:paraId="250F5FB5" w14:textId="77777777" w:rsidR="00B611D1" w:rsidRDefault="00FB7689">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r>
        <w:rPr>
          <w:lang w:val="fr-FR"/>
        </w:rPr>
        <w:fldChar w:fldCharType="begin"/>
      </w:r>
      <w:r>
        <w:rPr>
          <w:lang w:val="fr-FR"/>
        </w:rPr>
        <w:instrText xml:space="preserve"> TOC \h \z \c "Tableau" </w:instrText>
      </w:r>
      <w:r>
        <w:rPr>
          <w:lang w:val="fr-FR"/>
        </w:rPr>
        <w:fldChar w:fldCharType="separate"/>
      </w:r>
      <w:hyperlink w:anchor="_Toc201267817" w:history="1">
        <w:r>
          <w:rPr>
            <w:rStyle w:val="Lienhypertexte"/>
            <w:b/>
            <w:bCs/>
            <w:lang w:val="fr-FR"/>
          </w:rPr>
          <w:t xml:space="preserve">Tableau 1 : </w:t>
        </w:r>
        <w:r>
          <w:rPr>
            <w:rStyle w:val="Lienhypertexte"/>
            <w:lang w:val="fr-FR"/>
          </w:rPr>
          <w:t>persistance des bactéries sur des surfaces inanimées</w:t>
        </w:r>
        <w:r>
          <w:rPr>
            <w:rStyle w:val="Lienhypertexte"/>
            <w:b/>
            <w:bCs/>
            <w:lang w:val="fr-FR"/>
          </w:rPr>
          <w:t xml:space="preserve"> </w:t>
        </w:r>
        <w:r>
          <w:tab/>
        </w:r>
        <w:r>
          <w:fldChar w:fldCharType="begin"/>
        </w:r>
        <w:r>
          <w:instrText xml:space="preserve"> PAGEREF _Toc201267817 \h </w:instrText>
        </w:r>
        <w:r>
          <w:fldChar w:fldCharType="separate"/>
        </w:r>
        <w:r>
          <w:t>14</w:t>
        </w:r>
        <w:r>
          <w:fldChar w:fldCharType="end"/>
        </w:r>
      </w:hyperlink>
    </w:p>
    <w:p w14:paraId="59D7637E"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7818" w:history="1">
        <w:r w:rsidR="00FB7689">
          <w:rPr>
            <w:rStyle w:val="Lienhypertexte"/>
            <w:b/>
            <w:bCs/>
            <w:lang w:val="fr-FR"/>
          </w:rPr>
          <w:t xml:space="preserve">Tableau 2 : </w:t>
        </w:r>
        <w:r w:rsidR="00FB7689">
          <w:rPr>
            <w:rStyle w:val="Lienhypertexte"/>
            <w:lang w:val="fr-FR"/>
          </w:rPr>
          <w:t>Bactéries responsables des infections nosocomiales</w:t>
        </w:r>
        <w:r w:rsidR="00FB7689">
          <w:rPr>
            <w:rStyle w:val="Lienhypertexte"/>
            <w:b/>
            <w:bCs/>
            <w:lang w:val="fr-FR"/>
          </w:rPr>
          <w:t xml:space="preserve"> </w:t>
        </w:r>
        <w:r w:rsidR="00FB7689">
          <w:tab/>
        </w:r>
        <w:r w:rsidR="00FB7689">
          <w:fldChar w:fldCharType="begin"/>
        </w:r>
        <w:r w:rsidR="00FB7689">
          <w:instrText xml:space="preserve"> PAGEREF _Toc201267818 \h </w:instrText>
        </w:r>
        <w:r w:rsidR="00FB7689">
          <w:fldChar w:fldCharType="separate"/>
        </w:r>
        <w:r w:rsidR="00FB7689">
          <w:t>15</w:t>
        </w:r>
        <w:r w:rsidR="00FB7689">
          <w:fldChar w:fldCharType="end"/>
        </w:r>
      </w:hyperlink>
    </w:p>
    <w:p w14:paraId="3710B037"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7819" w:history="1">
        <w:r w:rsidR="00FB7689">
          <w:rPr>
            <w:rStyle w:val="Lienhypertexte"/>
            <w:b/>
            <w:bCs/>
            <w:lang w:val="fr-FR"/>
          </w:rPr>
          <w:t xml:space="preserve">Tableau 3 : </w:t>
        </w:r>
        <w:r w:rsidR="00FB7689">
          <w:rPr>
            <w:rStyle w:val="Lienhypertexte"/>
            <w:lang w:val="fr-FR"/>
          </w:rPr>
          <w:t>Caractérisation des espèces bactériennes</w:t>
        </w:r>
        <w:r w:rsidR="00FB7689">
          <w:tab/>
        </w:r>
        <w:r w:rsidR="00FB7689">
          <w:fldChar w:fldCharType="begin"/>
        </w:r>
        <w:r w:rsidR="00FB7689">
          <w:instrText xml:space="preserve"> PAGEREF _Toc201267819 \h </w:instrText>
        </w:r>
        <w:r w:rsidR="00FB7689">
          <w:fldChar w:fldCharType="separate"/>
        </w:r>
        <w:r w:rsidR="00FB7689">
          <w:t>37</w:t>
        </w:r>
        <w:r w:rsidR="00FB7689">
          <w:fldChar w:fldCharType="end"/>
        </w:r>
      </w:hyperlink>
    </w:p>
    <w:p w14:paraId="164506D9" w14:textId="77777777" w:rsidR="00B611D1" w:rsidRDefault="00CD2B93">
      <w:pPr>
        <w:pStyle w:val="Tabledesillustrations"/>
        <w:tabs>
          <w:tab w:val="right" w:leader="dot" w:pos="9810"/>
        </w:tabs>
        <w:spacing w:line="360" w:lineRule="auto"/>
        <w:rPr>
          <w:rFonts w:asciiTheme="minorHAnsi" w:eastAsiaTheme="minorEastAsia" w:hAnsiTheme="minorHAnsi" w:cstheme="minorBidi"/>
          <w:kern w:val="2"/>
          <w:lang w:val="fr-FR" w:eastAsia="zh-CN"/>
          <w14:ligatures w14:val="standardContextual"/>
        </w:rPr>
      </w:pPr>
      <w:hyperlink w:anchor="_Toc201267820" w:history="1">
        <w:r w:rsidR="00FB7689">
          <w:rPr>
            <w:rStyle w:val="Lienhypertexte"/>
            <w:b/>
            <w:bCs/>
            <w:lang w:val="fr-FR"/>
          </w:rPr>
          <w:t xml:space="preserve">Tableau 4 : </w:t>
        </w:r>
        <w:r w:rsidR="00FB7689">
          <w:rPr>
            <w:rStyle w:val="Lienhypertexte"/>
            <w:lang w:val="fr-FR"/>
          </w:rPr>
          <w:t xml:space="preserve">Résultats des tests d'oxydase, de catalase et de coagulase </w:t>
        </w:r>
        <w:r w:rsidR="00FB7689">
          <w:tab/>
        </w:r>
        <w:r w:rsidR="00FB7689">
          <w:fldChar w:fldCharType="begin"/>
        </w:r>
        <w:r w:rsidR="00FB7689">
          <w:instrText xml:space="preserve"> PAGEREF _Toc201267820 \h </w:instrText>
        </w:r>
        <w:r w:rsidR="00FB7689">
          <w:fldChar w:fldCharType="separate"/>
        </w:r>
        <w:r w:rsidR="00FB7689">
          <w:t>40</w:t>
        </w:r>
        <w:r w:rsidR="00FB7689">
          <w:fldChar w:fldCharType="end"/>
        </w:r>
      </w:hyperlink>
    </w:p>
    <w:p w14:paraId="712476A4" w14:textId="77777777" w:rsidR="00B611D1" w:rsidRDefault="00FB7689">
      <w:pPr>
        <w:jc w:val="center"/>
        <w:rPr>
          <w:lang w:val="fr-FR"/>
        </w:rPr>
      </w:pPr>
      <w:r>
        <w:rPr>
          <w:lang w:val="fr-FR"/>
        </w:rPr>
        <w:fldChar w:fldCharType="end"/>
      </w:r>
    </w:p>
    <w:p w14:paraId="1EE85A2E" w14:textId="77777777" w:rsidR="00B611D1" w:rsidRDefault="00FB7689">
      <w:pPr>
        <w:rPr>
          <w:lang w:val="fr-FR"/>
        </w:rPr>
      </w:pPr>
      <w:r>
        <w:rPr>
          <w:lang w:val="fr-FR"/>
        </w:rPr>
        <w:br w:type="page"/>
      </w:r>
    </w:p>
    <w:p w14:paraId="52D86011" w14:textId="77777777" w:rsidR="00B611D1" w:rsidRDefault="00FB7689">
      <w:pPr>
        <w:jc w:val="center"/>
        <w:rPr>
          <w:b/>
          <w:bCs/>
          <w:sz w:val="28"/>
          <w:szCs w:val="28"/>
          <w:lang w:val="fr-FR"/>
        </w:rPr>
      </w:pPr>
      <w:r>
        <w:rPr>
          <w:b/>
          <w:bCs/>
          <w:sz w:val="28"/>
          <w:szCs w:val="28"/>
          <w:lang w:val="fr-FR"/>
        </w:rPr>
        <w:t>Liste des Annexes</w:t>
      </w:r>
    </w:p>
    <w:p w14:paraId="51EA3F58" w14:textId="77777777" w:rsidR="00B611D1" w:rsidRDefault="00B611D1">
      <w:pPr>
        <w:jc w:val="center"/>
        <w:rPr>
          <w:b/>
          <w:bCs/>
          <w:sz w:val="28"/>
          <w:szCs w:val="28"/>
          <w:lang w:val="fr-FR"/>
        </w:rPr>
      </w:pPr>
    </w:p>
    <w:p w14:paraId="228D04A3" w14:textId="77777777" w:rsidR="00B611D1" w:rsidRDefault="00FB7689">
      <w:pPr>
        <w:spacing w:after="200" w:line="276" w:lineRule="auto"/>
        <w:rPr>
          <w:lang w:val="fr"/>
        </w:rPr>
      </w:pPr>
      <w:r>
        <w:rPr>
          <w:rFonts w:eastAsia="MS Mincho" w:cs="Arial"/>
          <w:b/>
          <w:bCs/>
          <w:sz w:val="22"/>
          <w:szCs w:val="22"/>
          <w:lang w:val="fr" w:eastAsia="zh-CN" w:bidi="ar"/>
        </w:rPr>
        <w:t>Annexe 1 :</w:t>
      </w:r>
      <w:r>
        <w:rPr>
          <w:rFonts w:eastAsia="MS Mincho" w:cs="Arial"/>
          <w:sz w:val="22"/>
          <w:szCs w:val="22"/>
          <w:lang w:val="fr" w:eastAsia="zh-CN" w:bidi="ar"/>
        </w:rPr>
        <w:t xml:space="preserve"> Matériel non biologique .............................................</w:t>
      </w:r>
      <w:r>
        <w:rPr>
          <w:rFonts w:eastAsia="MS Mincho" w:cs="Arial"/>
          <w:sz w:val="22"/>
          <w:szCs w:val="22"/>
          <w:lang w:val="fr-FR" w:eastAsia="zh-CN" w:bidi="ar"/>
        </w:rPr>
        <w:t>......................................................................</w:t>
      </w:r>
      <w:r>
        <w:rPr>
          <w:rFonts w:eastAsia="MS Mincho" w:cs="Arial"/>
          <w:sz w:val="22"/>
          <w:szCs w:val="22"/>
          <w:lang w:val="fr" w:eastAsia="zh-CN" w:bidi="ar"/>
        </w:rPr>
        <w:t>78</w:t>
      </w:r>
    </w:p>
    <w:p w14:paraId="16F7A9C0" w14:textId="77777777" w:rsidR="00B611D1" w:rsidRDefault="00FB7689">
      <w:pPr>
        <w:spacing w:after="200" w:line="276" w:lineRule="auto"/>
        <w:rPr>
          <w:lang w:val="fr"/>
        </w:rPr>
      </w:pPr>
      <w:r>
        <w:rPr>
          <w:rFonts w:eastAsia="MS Mincho" w:cs="Arial"/>
          <w:b/>
          <w:bCs/>
          <w:sz w:val="22"/>
          <w:szCs w:val="22"/>
          <w:lang w:val="fr" w:eastAsia="zh-CN" w:bidi="ar"/>
        </w:rPr>
        <w:t>Annexe 2 :</w:t>
      </w:r>
      <w:r>
        <w:rPr>
          <w:rFonts w:eastAsia="MS Mincho" w:cs="Arial"/>
          <w:sz w:val="22"/>
          <w:szCs w:val="22"/>
          <w:lang w:val="fr" w:eastAsia="zh-CN" w:bidi="ar"/>
        </w:rPr>
        <w:t xml:space="preserve"> Caractères culturaux sur gélose au sang .............................</w:t>
      </w:r>
      <w:r>
        <w:rPr>
          <w:rFonts w:eastAsia="MS Mincho" w:cs="Arial"/>
          <w:sz w:val="22"/>
          <w:szCs w:val="22"/>
          <w:lang w:val="fr-FR" w:eastAsia="zh-CN" w:bidi="ar"/>
        </w:rPr>
        <w:t>..............................................................</w:t>
      </w:r>
      <w:r>
        <w:rPr>
          <w:rFonts w:eastAsia="MS Mincho" w:cs="Arial"/>
          <w:sz w:val="22"/>
          <w:szCs w:val="22"/>
          <w:lang w:val="fr" w:eastAsia="zh-CN" w:bidi="ar"/>
        </w:rPr>
        <w:t>83</w:t>
      </w:r>
    </w:p>
    <w:p w14:paraId="3637D7A2" w14:textId="77777777" w:rsidR="00B611D1" w:rsidRDefault="00FB7689">
      <w:pPr>
        <w:spacing w:after="200" w:line="276" w:lineRule="auto"/>
        <w:rPr>
          <w:lang w:val="fr"/>
        </w:rPr>
      </w:pPr>
      <w:r>
        <w:rPr>
          <w:rFonts w:eastAsia="MS Mincho" w:cs="Arial"/>
          <w:b/>
          <w:bCs/>
          <w:sz w:val="22"/>
          <w:szCs w:val="22"/>
          <w:lang w:val="fr" w:eastAsia="zh-CN" w:bidi="ar"/>
        </w:rPr>
        <w:t>Annexe 3 :</w:t>
      </w:r>
      <w:r>
        <w:rPr>
          <w:rFonts w:eastAsia="MS Mincho" w:cs="Arial"/>
          <w:sz w:val="22"/>
          <w:szCs w:val="22"/>
          <w:lang w:val="fr" w:eastAsia="zh-CN" w:bidi="ar"/>
        </w:rPr>
        <w:t xml:space="preserve"> Distribution des germes isolés par site de prélèvement ..............</w:t>
      </w:r>
      <w:r>
        <w:rPr>
          <w:rFonts w:eastAsia="MS Mincho" w:cs="Arial"/>
          <w:sz w:val="22"/>
          <w:szCs w:val="22"/>
          <w:lang w:val="fr-FR" w:eastAsia="zh-CN" w:bidi="ar"/>
        </w:rPr>
        <w:t>.....................................................</w:t>
      </w:r>
      <w:r>
        <w:rPr>
          <w:rFonts w:eastAsia="MS Mincho" w:cs="Arial"/>
          <w:sz w:val="22"/>
          <w:szCs w:val="22"/>
          <w:lang w:val="fr" w:eastAsia="zh-CN" w:bidi="ar"/>
        </w:rPr>
        <w:t>84</w:t>
      </w:r>
    </w:p>
    <w:p w14:paraId="17583420" w14:textId="77777777" w:rsidR="00B611D1" w:rsidRDefault="00FB7689">
      <w:pPr>
        <w:spacing w:after="200" w:line="276" w:lineRule="auto"/>
        <w:rPr>
          <w:lang w:val="fr"/>
        </w:rPr>
      </w:pPr>
      <w:r>
        <w:rPr>
          <w:rFonts w:eastAsia="MS Mincho" w:cs="Arial"/>
          <w:b/>
          <w:bCs/>
          <w:sz w:val="22"/>
          <w:szCs w:val="22"/>
          <w:lang w:val="fr" w:eastAsia="zh-CN" w:bidi="ar"/>
        </w:rPr>
        <w:t>Annexe 4 :</w:t>
      </w:r>
      <w:r>
        <w:rPr>
          <w:rFonts w:eastAsia="MS Mincho" w:cs="Arial"/>
          <w:sz w:val="22"/>
          <w:szCs w:val="22"/>
          <w:lang w:val="fr" w:eastAsia="zh-CN" w:bidi="ar"/>
        </w:rPr>
        <w:t xml:space="preserve"> Les antibiotiques utilisés ..........................................</w:t>
      </w:r>
      <w:r>
        <w:rPr>
          <w:rFonts w:eastAsia="MS Mincho" w:cs="Arial"/>
          <w:sz w:val="22"/>
          <w:szCs w:val="22"/>
          <w:lang w:val="fr-FR" w:eastAsia="zh-CN" w:bidi="ar"/>
        </w:rPr>
        <w:t>........................................................................</w:t>
      </w:r>
      <w:r>
        <w:rPr>
          <w:rFonts w:eastAsia="MS Mincho" w:cs="Arial"/>
          <w:sz w:val="22"/>
          <w:szCs w:val="22"/>
          <w:lang w:val="fr" w:eastAsia="zh-CN" w:bidi="ar"/>
        </w:rPr>
        <w:t>84</w:t>
      </w:r>
    </w:p>
    <w:p w14:paraId="2DD47409" w14:textId="77777777" w:rsidR="00B611D1" w:rsidRDefault="00B611D1">
      <w:pPr>
        <w:jc w:val="center"/>
        <w:rPr>
          <w:b/>
          <w:bCs/>
          <w:sz w:val="28"/>
          <w:szCs w:val="28"/>
          <w:lang w:val="fr-FR"/>
        </w:rPr>
        <w:sectPr w:rsidR="00B611D1">
          <w:headerReference w:type="default" r:id="rId26"/>
          <w:footerReference w:type="default" r:id="rId27"/>
          <w:pgSz w:w="11900" w:h="16840"/>
          <w:pgMar w:top="1580" w:right="900" w:bottom="280" w:left="1180" w:header="0" w:footer="0" w:gutter="0"/>
          <w:cols w:space="720"/>
        </w:sectPr>
      </w:pPr>
    </w:p>
    <w:p w14:paraId="4A7450E4" w14:textId="77777777" w:rsidR="00B611D1" w:rsidRDefault="00FB7689">
      <w:pPr>
        <w:jc w:val="center"/>
        <w:rPr>
          <w:b/>
          <w:bCs/>
          <w:sz w:val="28"/>
          <w:szCs w:val="28"/>
          <w:lang w:val="fr-FR" w:eastAsia="zh-CN"/>
        </w:rPr>
      </w:pPr>
      <w:r>
        <w:rPr>
          <w:b/>
          <w:bCs/>
          <w:sz w:val="28"/>
          <w:szCs w:val="28"/>
          <w:lang w:val="fr-FR"/>
        </w:rPr>
        <w:t>Liste des Abréviations</w:t>
      </w:r>
    </w:p>
    <w:p w14:paraId="6B500993" w14:textId="77777777" w:rsidR="00B611D1" w:rsidRDefault="00B611D1">
      <w:pPr>
        <w:jc w:val="center"/>
        <w:rPr>
          <w:b/>
          <w:bCs/>
          <w:sz w:val="28"/>
          <w:szCs w:val="28"/>
          <w:lang w:val="fr-FR" w:eastAsia="zh-CN"/>
        </w:rPr>
      </w:pPr>
    </w:p>
    <w:p w14:paraId="788C48EE" w14:textId="77777777" w:rsidR="00B611D1" w:rsidRDefault="00B611D1">
      <w:pPr>
        <w:spacing w:line="360" w:lineRule="auto"/>
        <w:jc w:val="center"/>
        <w:rPr>
          <w:b/>
          <w:bCs/>
          <w:sz w:val="28"/>
          <w:szCs w:val="28"/>
          <w:lang w:val="fr-FR"/>
        </w:rPr>
      </w:pPr>
    </w:p>
    <w:p w14:paraId="38D6CE78" w14:textId="77777777" w:rsidR="00B611D1" w:rsidRDefault="00B611D1">
      <w:pPr>
        <w:spacing w:line="360" w:lineRule="auto"/>
        <w:rPr>
          <w:lang w:val="fr-FR"/>
        </w:rPr>
      </w:pPr>
    </w:p>
    <w:p w14:paraId="23BB9CC0" w14:textId="77777777" w:rsidR="00B611D1" w:rsidRDefault="00FB7689">
      <w:pPr>
        <w:spacing w:line="360" w:lineRule="auto"/>
        <w:rPr>
          <w:lang w:val="fr-FR"/>
        </w:rPr>
      </w:pPr>
      <w:r>
        <w:rPr>
          <w:b/>
          <w:bCs/>
          <w:lang w:val="fr-FR"/>
        </w:rPr>
        <w:t>BLSE :</w:t>
      </w:r>
      <w:r>
        <w:rPr>
          <w:lang w:val="fr-FR"/>
        </w:rPr>
        <w:t xml:space="preserve">  </w:t>
      </w:r>
      <w:r>
        <w:t>β</w:t>
      </w:r>
      <w:r>
        <w:rPr>
          <w:lang w:val="fr-FR"/>
        </w:rPr>
        <w:t>-lactamases à spectre étendu.</w:t>
      </w:r>
    </w:p>
    <w:p w14:paraId="6F792C57" w14:textId="77777777" w:rsidR="00B611D1" w:rsidRDefault="00FB7689">
      <w:pPr>
        <w:spacing w:line="360" w:lineRule="auto"/>
        <w:rPr>
          <w:lang w:val="fr-FR"/>
        </w:rPr>
      </w:pPr>
      <w:r>
        <w:rPr>
          <w:b/>
          <w:bCs/>
          <w:lang w:val="fr-FR"/>
        </w:rPr>
        <w:t>GSF :</w:t>
      </w:r>
      <w:r>
        <w:rPr>
          <w:lang w:val="fr-FR"/>
        </w:rPr>
        <w:t xml:space="preserve"> Gélose au sang frais.</w:t>
      </w:r>
    </w:p>
    <w:p w14:paraId="16A70776" w14:textId="77777777" w:rsidR="00B611D1" w:rsidRDefault="00FB7689">
      <w:pPr>
        <w:spacing w:line="360" w:lineRule="auto"/>
        <w:rPr>
          <w:lang w:val="fr-FR"/>
        </w:rPr>
      </w:pPr>
      <w:r>
        <w:rPr>
          <w:b/>
          <w:bCs/>
          <w:lang w:val="fr-FR"/>
        </w:rPr>
        <w:t>IN :</w:t>
      </w:r>
      <w:r>
        <w:rPr>
          <w:lang w:val="fr-FR"/>
        </w:rPr>
        <w:t xml:space="preserve"> Infection nosocomiale.</w:t>
      </w:r>
    </w:p>
    <w:p w14:paraId="20D5E51A" w14:textId="77777777" w:rsidR="00B611D1" w:rsidRDefault="00FB7689">
      <w:pPr>
        <w:spacing w:line="360" w:lineRule="auto"/>
        <w:rPr>
          <w:lang w:val="fr-FR"/>
        </w:rPr>
      </w:pPr>
      <w:r>
        <w:rPr>
          <w:b/>
          <w:bCs/>
          <w:lang w:val="fr-FR"/>
        </w:rPr>
        <w:t>MHA :</w:t>
      </w:r>
      <w:r>
        <w:rPr>
          <w:lang w:val="fr-FR"/>
        </w:rPr>
        <w:t xml:space="preserve"> Mueller-Hinton Agar.</w:t>
      </w:r>
    </w:p>
    <w:p w14:paraId="48C2E8DE" w14:textId="77777777" w:rsidR="00B611D1" w:rsidRDefault="00FB7689">
      <w:pPr>
        <w:spacing w:line="360" w:lineRule="auto"/>
        <w:rPr>
          <w:lang w:val="fr-FR"/>
        </w:rPr>
      </w:pPr>
      <w:r>
        <w:rPr>
          <w:b/>
          <w:bCs/>
          <w:lang w:val="fr-FR"/>
        </w:rPr>
        <w:t>PBP :</w:t>
      </w:r>
      <w:r>
        <w:rPr>
          <w:lang w:val="fr-FR"/>
        </w:rPr>
        <w:t xml:space="preserve"> Protéine de liaison à la pénicilline.</w:t>
      </w:r>
    </w:p>
    <w:p w14:paraId="786C5EFE" w14:textId="77777777" w:rsidR="00B611D1" w:rsidRDefault="00FB7689">
      <w:pPr>
        <w:spacing w:line="360" w:lineRule="auto"/>
        <w:rPr>
          <w:lang w:val="fr-FR"/>
        </w:rPr>
      </w:pPr>
      <w:r>
        <w:rPr>
          <w:b/>
          <w:bCs/>
          <w:lang w:val="fr-FR"/>
        </w:rPr>
        <w:t>SARM :</w:t>
      </w:r>
      <w:r>
        <w:rPr>
          <w:lang w:val="fr-FR"/>
        </w:rPr>
        <w:t xml:space="preserve"> </w:t>
      </w:r>
      <w:r>
        <w:rPr>
          <w:i/>
          <w:iCs/>
          <w:lang w:val="fr-FR"/>
        </w:rPr>
        <w:t>Staphylococcus aureus</w:t>
      </w:r>
      <w:r>
        <w:rPr>
          <w:lang w:val="fr-FR"/>
        </w:rPr>
        <w:t xml:space="preserve"> résistant à la méticilline.</w:t>
      </w:r>
    </w:p>
    <w:p w14:paraId="70852803" w14:textId="77777777" w:rsidR="00B611D1" w:rsidRDefault="00FB7689">
      <w:pPr>
        <w:spacing w:line="360" w:lineRule="auto"/>
        <w:rPr>
          <w:lang w:val="fr-FR"/>
        </w:rPr>
      </w:pPr>
      <w:r>
        <w:rPr>
          <w:b/>
          <w:bCs/>
          <w:lang w:val="fr-FR"/>
        </w:rPr>
        <w:t>SCCmec :</w:t>
      </w:r>
      <w:r>
        <w:rPr>
          <w:lang w:val="fr-FR"/>
        </w:rPr>
        <w:t xml:space="preserve"> Staphylococcal Cassette Chromosome mec.</w:t>
      </w:r>
    </w:p>
    <w:p w14:paraId="3F5CF11A" w14:textId="77777777" w:rsidR="00B611D1" w:rsidRDefault="00FB7689">
      <w:pPr>
        <w:spacing w:line="360" w:lineRule="auto"/>
        <w:rPr>
          <w:lang w:val="fr-FR"/>
        </w:rPr>
      </w:pPr>
      <w:r>
        <w:rPr>
          <w:b/>
          <w:bCs/>
          <w:lang w:val="fr-FR"/>
        </w:rPr>
        <w:t>SU :</w:t>
      </w:r>
      <w:r>
        <w:rPr>
          <w:lang w:val="fr-FR"/>
        </w:rPr>
        <w:t xml:space="preserve">  Service d’urgence.</w:t>
      </w:r>
    </w:p>
    <w:p w14:paraId="6B9A4F94" w14:textId="77777777" w:rsidR="00B611D1" w:rsidRDefault="00FB7689">
      <w:pPr>
        <w:spacing w:line="360" w:lineRule="auto"/>
        <w:rPr>
          <w:lang w:val="fr-FR"/>
        </w:rPr>
      </w:pPr>
      <w:r>
        <w:rPr>
          <w:b/>
          <w:bCs/>
          <w:lang w:val="fr-FR"/>
        </w:rPr>
        <w:t>VRE :</w:t>
      </w:r>
      <w:r>
        <w:rPr>
          <w:lang w:val="fr-FR"/>
        </w:rPr>
        <w:t xml:space="preserve"> Bactéries résistantes à la vancomycine.</w:t>
      </w:r>
    </w:p>
    <w:p w14:paraId="19EBD881" w14:textId="77777777" w:rsidR="00B611D1" w:rsidRDefault="00B611D1">
      <w:pPr>
        <w:pStyle w:val="Titre2"/>
        <w:spacing w:before="69" w:line="360" w:lineRule="auto"/>
        <w:ind w:right="247"/>
        <w:jc w:val="both"/>
        <w:rPr>
          <w:b w:val="0"/>
          <w:bCs w:val="0"/>
          <w:lang w:val="fr-FR"/>
        </w:rPr>
      </w:pPr>
    </w:p>
    <w:p w14:paraId="07DD8A88" w14:textId="77777777" w:rsidR="00B611D1" w:rsidRDefault="00B611D1">
      <w:pPr>
        <w:pStyle w:val="Titre2"/>
        <w:spacing w:before="69" w:line="360" w:lineRule="auto"/>
        <w:ind w:right="247"/>
        <w:jc w:val="both"/>
        <w:rPr>
          <w:b w:val="0"/>
          <w:bCs w:val="0"/>
          <w:lang w:val="fr-FR"/>
        </w:rPr>
      </w:pPr>
    </w:p>
    <w:p w14:paraId="591849B0" w14:textId="77777777" w:rsidR="00B611D1" w:rsidRDefault="00B611D1">
      <w:pPr>
        <w:pStyle w:val="Titre2"/>
        <w:spacing w:before="69" w:line="360" w:lineRule="auto"/>
        <w:ind w:right="247"/>
        <w:jc w:val="both"/>
        <w:rPr>
          <w:lang w:val="fr-FR"/>
        </w:rPr>
      </w:pPr>
    </w:p>
    <w:p w14:paraId="13CFCD51" w14:textId="77777777" w:rsidR="00B611D1" w:rsidRDefault="00B611D1">
      <w:pPr>
        <w:pStyle w:val="Titre2"/>
        <w:spacing w:before="69" w:line="360" w:lineRule="auto"/>
        <w:ind w:right="247"/>
        <w:jc w:val="center"/>
        <w:rPr>
          <w:lang w:val="fr-FR"/>
        </w:rPr>
      </w:pPr>
    </w:p>
    <w:p w14:paraId="260450E1" w14:textId="77777777" w:rsidR="00B611D1" w:rsidRDefault="00B611D1">
      <w:pPr>
        <w:pStyle w:val="Titre2"/>
        <w:spacing w:before="69"/>
        <w:ind w:right="247"/>
        <w:jc w:val="center"/>
        <w:rPr>
          <w:lang w:val="fr-FR"/>
        </w:rPr>
        <w:sectPr w:rsidR="00B611D1">
          <w:headerReference w:type="default" r:id="rId28"/>
          <w:footerReference w:type="default" r:id="rId29"/>
          <w:pgSz w:w="11900" w:h="16840"/>
          <w:pgMar w:top="1040" w:right="900" w:bottom="280" w:left="1180" w:header="0" w:footer="0" w:gutter="0"/>
          <w:cols w:space="720"/>
        </w:sectPr>
      </w:pPr>
    </w:p>
    <w:p w14:paraId="0E9F80E9" w14:textId="77777777" w:rsidR="00B611D1" w:rsidRDefault="00FB7689">
      <w:pPr>
        <w:jc w:val="center"/>
        <w:rPr>
          <w:b/>
          <w:bCs/>
          <w:sz w:val="28"/>
          <w:szCs w:val="28"/>
        </w:rPr>
      </w:pPr>
      <w:r>
        <w:rPr>
          <w:b/>
          <w:bCs/>
          <w:sz w:val="28"/>
          <w:szCs w:val="28"/>
        </w:rPr>
        <w:t>Tables des matières</w:t>
      </w:r>
    </w:p>
    <w:p w14:paraId="182134D4" w14:textId="77777777" w:rsidR="00B611D1" w:rsidRDefault="00B611D1">
      <w:pPr>
        <w:pStyle w:val="Corpsdetexte"/>
        <w:rPr>
          <w:b/>
          <w:sz w:val="30"/>
          <w:lang w:eastAsia="zh-CN"/>
        </w:rPr>
      </w:pPr>
    </w:p>
    <w:p w14:paraId="4CF455BF" w14:textId="77777777" w:rsidR="00B611D1" w:rsidRDefault="00FB7689">
      <w:pPr>
        <w:spacing w:before="225" w:line="360" w:lineRule="auto"/>
        <w:ind w:left="241" w:right="8303"/>
        <w:rPr>
          <w:i/>
          <w:iCs/>
          <w:sz w:val="25"/>
          <w:szCs w:val="25"/>
          <w:lang w:eastAsia="zh-CN"/>
        </w:rPr>
      </w:pPr>
      <w:r>
        <w:rPr>
          <w:i/>
          <w:iCs/>
          <w:spacing w:val="-1"/>
          <w:lang w:eastAsia="zh-CN"/>
        </w:rPr>
        <w:t>Remerciment</w:t>
      </w:r>
      <w:r>
        <w:rPr>
          <w:i/>
          <w:iCs/>
          <w:spacing w:val="-57"/>
          <w:lang w:eastAsia="zh-CN"/>
        </w:rPr>
        <w:t xml:space="preserve"> </w:t>
      </w:r>
      <w:r>
        <w:rPr>
          <w:i/>
          <w:iCs/>
          <w:lang w:eastAsia="zh-CN"/>
        </w:rPr>
        <w:t>Dédicace</w:t>
      </w:r>
      <w:r>
        <w:rPr>
          <w:i/>
          <w:iCs/>
          <w:spacing w:val="1"/>
          <w:lang w:eastAsia="zh-CN"/>
        </w:rPr>
        <w:t xml:space="preserve"> </w:t>
      </w:r>
      <w:r>
        <w:rPr>
          <w:i/>
          <w:iCs/>
          <w:lang w:eastAsia="zh-CN"/>
        </w:rPr>
        <w:t>Resumé</w:t>
      </w:r>
      <w:r>
        <w:rPr>
          <w:i/>
          <w:iCs/>
          <w:spacing w:val="1"/>
          <w:lang w:eastAsia="zh-CN"/>
        </w:rPr>
        <w:t xml:space="preserve"> </w:t>
      </w:r>
      <w:r>
        <w:rPr>
          <w:i/>
          <w:iCs/>
          <w:lang w:eastAsia="zh-CN"/>
        </w:rPr>
        <w:t>Abstcrat</w:t>
      </w:r>
      <w:r>
        <w:rPr>
          <w:i/>
          <w:iCs/>
          <w:spacing w:val="1"/>
          <w:lang w:eastAsia="zh-CN"/>
        </w:rPr>
        <w:t xml:space="preserve"> </w:t>
      </w:r>
      <w:r>
        <w:rPr>
          <w:i/>
          <w:iCs/>
          <w:w w:val="85"/>
          <w:sz w:val="25"/>
          <w:szCs w:val="25"/>
          <w:rtl/>
        </w:rPr>
        <w:t>ملخص</w:t>
      </w:r>
    </w:p>
    <w:p w14:paraId="548A6B15" w14:textId="77777777" w:rsidR="00B611D1" w:rsidRDefault="00FB7689">
      <w:pPr>
        <w:spacing w:line="362" w:lineRule="auto"/>
        <w:ind w:left="241" w:right="7443"/>
        <w:rPr>
          <w:i/>
          <w:spacing w:val="1"/>
          <w:lang w:eastAsia="zh-CN"/>
        </w:rPr>
      </w:pPr>
      <w:r>
        <w:rPr>
          <w:i/>
          <w:lang w:eastAsia="zh-CN"/>
        </w:rPr>
        <w:t>Liste</w:t>
      </w:r>
      <w:r>
        <w:rPr>
          <w:i/>
          <w:spacing w:val="7"/>
          <w:lang w:eastAsia="zh-CN"/>
        </w:rPr>
        <w:t xml:space="preserve"> </w:t>
      </w:r>
      <w:r>
        <w:rPr>
          <w:i/>
          <w:lang w:eastAsia="zh-CN"/>
        </w:rPr>
        <w:t>des</w:t>
      </w:r>
      <w:r>
        <w:rPr>
          <w:i/>
          <w:spacing w:val="8"/>
          <w:lang w:eastAsia="zh-CN"/>
        </w:rPr>
        <w:t xml:space="preserve"> </w:t>
      </w:r>
      <w:r>
        <w:rPr>
          <w:i/>
          <w:lang w:eastAsia="zh-CN"/>
        </w:rPr>
        <w:t>Figures</w:t>
      </w:r>
      <w:r>
        <w:rPr>
          <w:i/>
          <w:spacing w:val="1"/>
          <w:lang w:eastAsia="zh-CN"/>
        </w:rPr>
        <w:t xml:space="preserve"> </w:t>
      </w:r>
      <w:r>
        <w:rPr>
          <w:i/>
          <w:lang w:eastAsia="zh-CN"/>
        </w:rPr>
        <w:t>Liste des Tableaux</w:t>
      </w:r>
      <w:r>
        <w:rPr>
          <w:i/>
          <w:spacing w:val="1"/>
          <w:lang w:eastAsia="zh-CN"/>
        </w:rPr>
        <w:t xml:space="preserve"> </w:t>
      </w:r>
    </w:p>
    <w:p w14:paraId="5D3AF7A4" w14:textId="77777777" w:rsidR="00B611D1" w:rsidRDefault="00FB7689">
      <w:pPr>
        <w:spacing w:line="362" w:lineRule="auto"/>
        <w:ind w:left="241" w:right="7443"/>
        <w:rPr>
          <w:i/>
          <w:lang w:eastAsia="zh-CN"/>
        </w:rPr>
      </w:pPr>
      <w:r>
        <w:rPr>
          <w:i/>
          <w:lang w:eastAsia="zh-CN"/>
        </w:rPr>
        <w:t>Liste des Annexes</w:t>
      </w:r>
    </w:p>
    <w:p w14:paraId="3A3B47D0" w14:textId="77777777" w:rsidR="00B611D1" w:rsidRDefault="00FB7689">
      <w:pPr>
        <w:spacing w:line="362" w:lineRule="auto"/>
        <w:ind w:left="241" w:right="7443"/>
        <w:rPr>
          <w:i/>
          <w:lang w:eastAsia="zh-CN"/>
        </w:rPr>
      </w:pPr>
      <w:r>
        <w:rPr>
          <w:i/>
          <w:lang w:eastAsia="zh-CN"/>
        </w:rPr>
        <w:t>Liste</w:t>
      </w:r>
      <w:r>
        <w:rPr>
          <w:i/>
          <w:spacing w:val="-9"/>
          <w:lang w:eastAsia="zh-CN"/>
        </w:rPr>
        <w:t xml:space="preserve"> </w:t>
      </w:r>
      <w:r>
        <w:rPr>
          <w:i/>
          <w:lang w:eastAsia="zh-CN"/>
        </w:rPr>
        <w:t>des</w:t>
      </w:r>
      <w:r>
        <w:rPr>
          <w:i/>
          <w:spacing w:val="-7"/>
          <w:lang w:eastAsia="zh-CN"/>
        </w:rPr>
        <w:t xml:space="preserve"> </w:t>
      </w:r>
      <w:r>
        <w:rPr>
          <w:i/>
          <w:lang w:eastAsia="zh-CN"/>
        </w:rPr>
        <w:t>Abréviations</w:t>
      </w:r>
    </w:p>
    <w:sdt>
      <w:sdtPr>
        <w:rPr>
          <w:rFonts w:ascii="Times New Roman" w:eastAsia="Times New Roman" w:hAnsi="Times New Roman" w:cs="Times New Roman"/>
          <w:color w:val="auto"/>
          <w:sz w:val="24"/>
          <w:szCs w:val="24"/>
          <w:lang w:val="zh-CN" w:eastAsia="en-US"/>
        </w:rPr>
        <w:id w:val="536481657"/>
        <w:docPartObj>
          <w:docPartGallery w:val="Table of Contents"/>
          <w:docPartUnique/>
        </w:docPartObj>
      </w:sdtPr>
      <w:sdtEndPr>
        <w:rPr>
          <w:b/>
          <w:bCs/>
        </w:rPr>
      </w:sdtEndPr>
      <w:sdtContent>
        <w:p w14:paraId="0F3ECC5C" w14:textId="77777777" w:rsidR="00B611D1" w:rsidRDefault="00B611D1">
          <w:pPr>
            <w:pStyle w:val="En-ttedetabledesmatires1"/>
          </w:pPr>
        </w:p>
        <w:p w14:paraId="77329812" w14:textId="77777777" w:rsidR="00B611D1" w:rsidRDefault="00FB7689">
          <w:pPr>
            <w:pStyle w:val="TM1"/>
            <w:tabs>
              <w:tab w:val="right" w:leader="dot" w:pos="9810"/>
            </w:tabs>
            <w:rPr>
              <w:rFonts w:ascii="Times New Roman" w:eastAsiaTheme="minorEastAsia" w:hAnsi="Times New Roman" w:cs="Times New Roman"/>
              <w:b w:val="0"/>
              <w:bCs w:val="0"/>
              <w:i w:val="0"/>
              <w:iCs w:val="0"/>
              <w:kern w:val="2"/>
              <w:szCs w:val="24"/>
              <w:lang w:val="fr-FR" w:eastAsia="zh-CN"/>
              <w14:ligatures w14:val="standardContextual"/>
            </w:rPr>
          </w:pPr>
          <w:r>
            <w:rPr>
              <w:b w:val="0"/>
              <w:bCs w:val="0"/>
              <w:i w:val="0"/>
              <w:iCs w:val="0"/>
            </w:rPr>
            <w:fldChar w:fldCharType="begin"/>
          </w:r>
          <w:r>
            <w:rPr>
              <w:b w:val="0"/>
              <w:bCs w:val="0"/>
              <w:i w:val="0"/>
              <w:iCs w:val="0"/>
            </w:rPr>
            <w:instrText xml:space="preserve"> TOC \o \h \z \u </w:instrText>
          </w:r>
          <w:r>
            <w:rPr>
              <w:b w:val="0"/>
              <w:bCs w:val="0"/>
              <w:i w:val="0"/>
              <w:iCs w:val="0"/>
            </w:rPr>
            <w:fldChar w:fldCharType="separate"/>
          </w:r>
          <w:hyperlink w:anchor="_Toc201260001" w:history="1">
            <w:r>
              <w:rPr>
                <w:rStyle w:val="Lienhypertexte"/>
                <w:rFonts w:ascii="Times New Roman" w:hAnsi="Times New Roman" w:cs="Times New Roman"/>
                <w:b w:val="0"/>
                <w:bCs w:val="0"/>
                <w:szCs w:val="24"/>
                <w:lang w:val="fr-FR" w:eastAsia="zh-CN"/>
              </w:rPr>
              <w:t>Introduction</w:t>
            </w:r>
            <w:r>
              <w:rPr>
                <w:rFonts w:ascii="Times New Roman" w:hAnsi="Times New Roman" w:cs="Times New Roman"/>
                <w:b w:val="0"/>
                <w:bCs w:val="0"/>
                <w:szCs w:val="24"/>
              </w:rPr>
              <w:tab/>
            </w:r>
            <w:r>
              <w:rPr>
                <w:rFonts w:ascii="Times New Roman" w:hAnsi="Times New Roman" w:cs="Times New Roman"/>
                <w:b w:val="0"/>
                <w:bCs w:val="0"/>
                <w:szCs w:val="24"/>
              </w:rPr>
              <w:fldChar w:fldCharType="begin"/>
            </w:r>
            <w:r>
              <w:rPr>
                <w:rFonts w:ascii="Times New Roman" w:hAnsi="Times New Roman" w:cs="Times New Roman"/>
                <w:b w:val="0"/>
                <w:bCs w:val="0"/>
                <w:szCs w:val="24"/>
              </w:rPr>
              <w:instrText xml:space="preserve"> PAGEREF _Toc201260001 \h </w:instrText>
            </w:r>
            <w:r>
              <w:rPr>
                <w:rFonts w:ascii="Times New Roman" w:hAnsi="Times New Roman" w:cs="Times New Roman"/>
                <w:b w:val="0"/>
                <w:bCs w:val="0"/>
                <w:szCs w:val="24"/>
              </w:rPr>
            </w:r>
            <w:r>
              <w:rPr>
                <w:rFonts w:ascii="Times New Roman" w:hAnsi="Times New Roman" w:cs="Times New Roman"/>
                <w:b w:val="0"/>
                <w:bCs w:val="0"/>
                <w:szCs w:val="24"/>
              </w:rPr>
              <w:fldChar w:fldCharType="separate"/>
            </w:r>
            <w:r>
              <w:rPr>
                <w:rFonts w:ascii="Times New Roman" w:hAnsi="Times New Roman" w:cs="Times New Roman"/>
                <w:b w:val="0"/>
                <w:bCs w:val="0"/>
                <w:szCs w:val="24"/>
              </w:rPr>
              <w:t>1</w:t>
            </w:r>
            <w:r>
              <w:rPr>
                <w:rFonts w:ascii="Times New Roman" w:hAnsi="Times New Roman" w:cs="Times New Roman"/>
                <w:b w:val="0"/>
                <w:bCs w:val="0"/>
                <w:szCs w:val="24"/>
              </w:rPr>
              <w:fldChar w:fldCharType="end"/>
            </w:r>
          </w:hyperlink>
        </w:p>
        <w:p w14:paraId="6B00E2A6" w14:textId="77777777" w:rsidR="00B611D1" w:rsidRDefault="00CD2B93">
          <w:pPr>
            <w:pStyle w:val="TM2"/>
            <w:tabs>
              <w:tab w:val="right" w:leader="dot" w:pos="9810"/>
            </w:tabs>
            <w:rPr>
              <w:rFonts w:ascii="Times New Roman" w:eastAsiaTheme="minorEastAsia" w:hAnsi="Times New Roman" w:cs="Times New Roman"/>
              <w:b w:val="0"/>
              <w:bCs w:val="0"/>
              <w:kern w:val="2"/>
              <w:sz w:val="24"/>
              <w:szCs w:val="24"/>
              <w:lang w:val="fr-FR" w:eastAsia="zh-CN"/>
              <w14:ligatures w14:val="standardContextual"/>
            </w:rPr>
          </w:pPr>
          <w:hyperlink w:anchor="_Toc201260002" w:history="1">
            <w:r w:rsidR="00FB7689">
              <w:rPr>
                <w:rStyle w:val="Lienhypertexte"/>
                <w:rFonts w:ascii="Times New Roman" w:hAnsi="Times New Roman" w:cs="Times New Roman"/>
                <w:b w:val="0"/>
                <w:bCs w:val="0"/>
                <w:sz w:val="24"/>
                <w:szCs w:val="24"/>
                <w:lang w:val="fr-FR"/>
              </w:rPr>
              <w:t>Partie</w:t>
            </w:r>
            <w:r w:rsidR="00FB7689">
              <w:rPr>
                <w:rStyle w:val="Lienhypertexte"/>
                <w:rFonts w:ascii="Times New Roman" w:hAnsi="Times New Roman" w:cs="Times New Roman"/>
                <w:b w:val="0"/>
                <w:bCs w:val="0"/>
                <w:spacing w:val="-2"/>
                <w:sz w:val="24"/>
                <w:szCs w:val="24"/>
                <w:lang w:val="fr-FR"/>
              </w:rPr>
              <w:t xml:space="preserve"> </w:t>
            </w:r>
            <w:r w:rsidR="00FB7689">
              <w:rPr>
                <w:rStyle w:val="Lienhypertexte"/>
                <w:rFonts w:ascii="Times New Roman" w:hAnsi="Times New Roman" w:cs="Times New Roman"/>
                <w:b w:val="0"/>
                <w:bCs w:val="0"/>
                <w:sz w:val="24"/>
                <w:szCs w:val="24"/>
                <w:lang w:val="fr-FR"/>
              </w:rPr>
              <w:t>1.</w:t>
            </w:r>
            <w:r w:rsidR="00FB7689">
              <w:rPr>
                <w:rStyle w:val="Lienhypertexte"/>
                <w:rFonts w:ascii="Times New Roman" w:hAnsi="Times New Roman" w:cs="Times New Roman"/>
                <w:b w:val="0"/>
                <w:bCs w:val="0"/>
                <w:spacing w:val="-1"/>
                <w:sz w:val="24"/>
                <w:szCs w:val="24"/>
                <w:lang w:val="fr-FR"/>
              </w:rPr>
              <w:t xml:space="preserve"> </w:t>
            </w:r>
            <w:r w:rsidR="00FB7689">
              <w:rPr>
                <w:rStyle w:val="Lienhypertexte"/>
                <w:rFonts w:ascii="Times New Roman" w:hAnsi="Times New Roman" w:cs="Times New Roman"/>
                <w:b w:val="0"/>
                <w:bCs w:val="0"/>
                <w:sz w:val="24"/>
                <w:szCs w:val="24"/>
              </w:rPr>
              <w:t>Revue</w:t>
            </w:r>
            <w:r w:rsidR="00FB7689">
              <w:rPr>
                <w:rStyle w:val="Lienhypertexte"/>
                <w:rFonts w:ascii="Times New Roman" w:hAnsi="Times New Roman" w:cs="Times New Roman"/>
                <w:b w:val="0"/>
                <w:bCs w:val="0"/>
                <w:spacing w:val="-2"/>
                <w:sz w:val="24"/>
                <w:szCs w:val="24"/>
              </w:rPr>
              <w:t xml:space="preserve"> </w:t>
            </w:r>
            <w:r w:rsidR="00FB7689">
              <w:rPr>
                <w:rStyle w:val="Lienhypertexte"/>
                <w:rFonts w:ascii="Times New Roman" w:hAnsi="Times New Roman" w:cs="Times New Roman"/>
                <w:b w:val="0"/>
                <w:bCs w:val="0"/>
                <w:sz w:val="24"/>
                <w:szCs w:val="24"/>
              </w:rPr>
              <w:t>de</w:t>
            </w:r>
            <w:r w:rsidR="00FB7689">
              <w:rPr>
                <w:rStyle w:val="Lienhypertexte"/>
                <w:rFonts w:ascii="Times New Roman" w:hAnsi="Times New Roman" w:cs="Times New Roman"/>
                <w:b w:val="0"/>
                <w:bCs w:val="0"/>
                <w:spacing w:val="-2"/>
                <w:sz w:val="24"/>
                <w:szCs w:val="24"/>
              </w:rPr>
              <w:t xml:space="preserve"> </w:t>
            </w:r>
            <w:r w:rsidR="00FB7689">
              <w:rPr>
                <w:rStyle w:val="Lienhypertexte"/>
                <w:rFonts w:ascii="Times New Roman" w:hAnsi="Times New Roman" w:cs="Times New Roman"/>
                <w:b w:val="0"/>
                <w:bCs w:val="0"/>
                <w:sz w:val="24"/>
                <w:szCs w:val="24"/>
              </w:rPr>
              <w:t>la</w:t>
            </w:r>
            <w:r w:rsidR="00FB7689">
              <w:rPr>
                <w:rStyle w:val="Lienhypertexte"/>
                <w:rFonts w:ascii="Times New Roman" w:hAnsi="Times New Roman" w:cs="Times New Roman"/>
                <w:b w:val="0"/>
                <w:bCs w:val="0"/>
                <w:spacing w:val="-1"/>
                <w:sz w:val="24"/>
                <w:szCs w:val="24"/>
              </w:rPr>
              <w:t xml:space="preserve"> </w:t>
            </w:r>
            <w:r w:rsidR="00FB7689">
              <w:rPr>
                <w:rStyle w:val="Lienhypertexte"/>
                <w:rFonts w:ascii="Times New Roman" w:hAnsi="Times New Roman" w:cs="Times New Roman"/>
                <w:b w:val="0"/>
                <w:bCs w:val="0"/>
                <w:sz w:val="24"/>
                <w:szCs w:val="24"/>
              </w:rPr>
              <w:t>littérature</w:t>
            </w:r>
            <w:r w:rsidR="00FB7689">
              <w:rPr>
                <w:rFonts w:ascii="Times New Roman" w:hAnsi="Times New Roman" w:cs="Times New Roman"/>
                <w:b w:val="0"/>
                <w:bCs w:val="0"/>
                <w:sz w:val="24"/>
                <w:szCs w:val="24"/>
              </w:rPr>
              <w:tab/>
            </w:r>
            <w:r w:rsidR="00FB7689">
              <w:rPr>
                <w:rFonts w:ascii="Times New Roman" w:hAnsi="Times New Roman" w:cs="Times New Roman"/>
                <w:b w:val="0"/>
                <w:bCs w:val="0"/>
                <w:sz w:val="24"/>
                <w:szCs w:val="24"/>
              </w:rPr>
              <w:fldChar w:fldCharType="begin"/>
            </w:r>
            <w:r w:rsidR="00FB7689">
              <w:rPr>
                <w:rFonts w:ascii="Times New Roman" w:hAnsi="Times New Roman" w:cs="Times New Roman"/>
                <w:b w:val="0"/>
                <w:bCs w:val="0"/>
                <w:sz w:val="24"/>
                <w:szCs w:val="24"/>
              </w:rPr>
              <w:instrText xml:space="preserve"> PAGEREF _Toc201260002 \h </w:instrText>
            </w:r>
            <w:r w:rsidR="00FB7689">
              <w:rPr>
                <w:rFonts w:ascii="Times New Roman" w:hAnsi="Times New Roman" w:cs="Times New Roman"/>
                <w:b w:val="0"/>
                <w:bCs w:val="0"/>
                <w:sz w:val="24"/>
                <w:szCs w:val="24"/>
              </w:rPr>
            </w:r>
            <w:r w:rsidR="00FB7689">
              <w:rPr>
                <w:rFonts w:ascii="Times New Roman" w:hAnsi="Times New Roman" w:cs="Times New Roman"/>
                <w:b w:val="0"/>
                <w:bCs w:val="0"/>
                <w:sz w:val="24"/>
                <w:szCs w:val="24"/>
              </w:rPr>
              <w:fldChar w:fldCharType="separate"/>
            </w:r>
            <w:r w:rsidR="00FB7689">
              <w:rPr>
                <w:rFonts w:ascii="Times New Roman" w:hAnsi="Times New Roman" w:cs="Times New Roman"/>
                <w:b w:val="0"/>
                <w:bCs w:val="0"/>
                <w:sz w:val="24"/>
                <w:szCs w:val="24"/>
              </w:rPr>
              <w:t>4</w:t>
            </w:r>
            <w:r w:rsidR="00FB7689">
              <w:rPr>
                <w:rFonts w:ascii="Times New Roman" w:hAnsi="Times New Roman" w:cs="Times New Roman"/>
                <w:b w:val="0"/>
                <w:bCs w:val="0"/>
                <w:sz w:val="24"/>
                <w:szCs w:val="24"/>
              </w:rPr>
              <w:fldChar w:fldCharType="end"/>
            </w:r>
          </w:hyperlink>
        </w:p>
        <w:p w14:paraId="1C03DABD" w14:textId="77777777" w:rsidR="00B611D1" w:rsidRDefault="00CD2B93">
          <w:pPr>
            <w:pStyle w:val="TM2"/>
            <w:tabs>
              <w:tab w:val="left" w:pos="960"/>
              <w:tab w:val="right" w:leader="dot" w:pos="9810"/>
            </w:tabs>
            <w:rPr>
              <w:rFonts w:ascii="Times New Roman" w:eastAsiaTheme="minorEastAsia" w:hAnsi="Times New Roman" w:cs="Times New Roman"/>
              <w:b w:val="0"/>
              <w:bCs w:val="0"/>
              <w:kern w:val="2"/>
              <w:sz w:val="24"/>
              <w:szCs w:val="24"/>
              <w:lang w:val="fr-FR" w:eastAsia="zh-CN"/>
              <w14:ligatures w14:val="standardContextual"/>
            </w:rPr>
          </w:pPr>
          <w:hyperlink w:anchor="_Toc201260003" w:history="1">
            <w:r w:rsidR="00FB7689">
              <w:rPr>
                <w:rStyle w:val="Lienhypertexte"/>
                <w:rFonts w:ascii="Times New Roman" w:hAnsi="Times New Roman" w:cs="Times New Roman"/>
                <w:b w:val="0"/>
                <w:bCs w:val="0"/>
                <w:sz w:val="24"/>
                <w:szCs w:val="24"/>
                <w:lang w:val="fr-FR"/>
              </w:rPr>
              <w:t>1.1.</w:t>
            </w:r>
            <w:r w:rsidR="00FB7689">
              <w:rPr>
                <w:rFonts w:ascii="Times New Roman" w:eastAsiaTheme="minorEastAsia" w:hAnsi="Times New Roman" w:cs="Times New Roman"/>
                <w:b w:val="0"/>
                <w:bCs w:val="0"/>
                <w:kern w:val="2"/>
                <w:sz w:val="24"/>
                <w:szCs w:val="24"/>
                <w:lang w:val="fr-FR" w:eastAsia="zh-CN"/>
                <w14:ligatures w14:val="standardContextual"/>
              </w:rPr>
              <w:tab/>
            </w:r>
            <w:r w:rsidR="00FB7689">
              <w:rPr>
                <w:rStyle w:val="Lienhypertexte"/>
                <w:rFonts w:ascii="Times New Roman" w:hAnsi="Times New Roman" w:cs="Times New Roman"/>
                <w:b w:val="0"/>
                <w:bCs w:val="0"/>
                <w:sz w:val="24"/>
                <w:szCs w:val="24"/>
                <w:lang w:val="fr-FR"/>
              </w:rPr>
              <w:t>Introduction générale sur les infections nosocomiales</w:t>
            </w:r>
            <w:r w:rsidR="00FB7689">
              <w:rPr>
                <w:rFonts w:ascii="Times New Roman" w:hAnsi="Times New Roman" w:cs="Times New Roman"/>
                <w:b w:val="0"/>
                <w:bCs w:val="0"/>
                <w:sz w:val="24"/>
                <w:szCs w:val="24"/>
              </w:rPr>
              <w:tab/>
            </w:r>
            <w:r w:rsidR="00FB7689">
              <w:rPr>
                <w:rFonts w:ascii="Times New Roman" w:hAnsi="Times New Roman" w:cs="Times New Roman"/>
                <w:b w:val="0"/>
                <w:bCs w:val="0"/>
                <w:sz w:val="24"/>
                <w:szCs w:val="24"/>
              </w:rPr>
              <w:fldChar w:fldCharType="begin"/>
            </w:r>
            <w:r w:rsidR="00FB7689">
              <w:rPr>
                <w:rFonts w:ascii="Times New Roman" w:hAnsi="Times New Roman" w:cs="Times New Roman"/>
                <w:b w:val="0"/>
                <w:bCs w:val="0"/>
                <w:sz w:val="24"/>
                <w:szCs w:val="24"/>
              </w:rPr>
              <w:instrText xml:space="preserve"> PAGEREF _Toc201260003 \h </w:instrText>
            </w:r>
            <w:r w:rsidR="00FB7689">
              <w:rPr>
                <w:rFonts w:ascii="Times New Roman" w:hAnsi="Times New Roman" w:cs="Times New Roman"/>
                <w:b w:val="0"/>
                <w:bCs w:val="0"/>
                <w:sz w:val="24"/>
                <w:szCs w:val="24"/>
              </w:rPr>
            </w:r>
            <w:r w:rsidR="00FB7689">
              <w:rPr>
                <w:rFonts w:ascii="Times New Roman" w:hAnsi="Times New Roman" w:cs="Times New Roman"/>
                <w:b w:val="0"/>
                <w:bCs w:val="0"/>
                <w:sz w:val="24"/>
                <w:szCs w:val="24"/>
              </w:rPr>
              <w:fldChar w:fldCharType="separate"/>
            </w:r>
            <w:r w:rsidR="00FB7689">
              <w:rPr>
                <w:rFonts w:ascii="Times New Roman" w:hAnsi="Times New Roman" w:cs="Times New Roman"/>
                <w:b w:val="0"/>
                <w:bCs w:val="0"/>
                <w:sz w:val="24"/>
                <w:szCs w:val="24"/>
              </w:rPr>
              <w:t>4</w:t>
            </w:r>
            <w:r w:rsidR="00FB7689">
              <w:rPr>
                <w:rFonts w:ascii="Times New Roman" w:hAnsi="Times New Roman" w:cs="Times New Roman"/>
                <w:b w:val="0"/>
                <w:bCs w:val="0"/>
                <w:sz w:val="24"/>
                <w:szCs w:val="24"/>
              </w:rPr>
              <w:fldChar w:fldCharType="end"/>
            </w:r>
          </w:hyperlink>
        </w:p>
        <w:p w14:paraId="5AEB55CE"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04" w:history="1">
            <w:r w:rsidR="00FB7689">
              <w:rPr>
                <w:rStyle w:val="Lienhypertexte"/>
                <w:rFonts w:ascii="Times New Roman" w:hAnsi="Times New Roman" w:cs="Times New Roman"/>
                <w:sz w:val="24"/>
                <w:lang w:val="fr-FR"/>
              </w:rPr>
              <w:t>1.1.1.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Définition et origine du Terme "Nosocomial"</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_Toc201260004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4</w:t>
            </w:r>
            <w:r w:rsidR="00FB7689">
              <w:rPr>
                <w:rFonts w:ascii="Times New Roman" w:hAnsi="Times New Roman" w:cs="Times New Roman"/>
                <w:sz w:val="24"/>
              </w:rPr>
              <w:fldChar w:fldCharType="end"/>
            </w:r>
          </w:hyperlink>
        </w:p>
        <w:p w14:paraId="1147B52D"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05" w:history="1">
            <w:r w:rsidR="00FB7689">
              <w:rPr>
                <w:rStyle w:val="Lienhypertexte"/>
                <w:rFonts w:ascii="Times New Roman" w:eastAsia="SimSun" w:hAnsi="Times New Roman" w:cs="Times New Roman"/>
                <w:sz w:val="24"/>
              </w:rPr>
              <w:t>1.1.2.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SimSun" w:hAnsi="Times New Roman" w:cs="Times New Roman"/>
                <w:sz w:val="24"/>
              </w:rPr>
              <w:t>Epidémiologie des infections nosocomiales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_Toc201260005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4</w:t>
            </w:r>
            <w:r w:rsidR="00FB7689">
              <w:rPr>
                <w:rFonts w:ascii="Times New Roman" w:hAnsi="Times New Roman" w:cs="Times New Roman"/>
                <w:sz w:val="24"/>
              </w:rPr>
              <w:fldChar w:fldCharType="end"/>
            </w:r>
          </w:hyperlink>
        </w:p>
        <w:p w14:paraId="06FE4410"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06" w:history="1">
            <w:r w:rsidR="00FB7689">
              <w:rPr>
                <w:rStyle w:val="Lienhypertexte"/>
                <w:rFonts w:ascii="Times New Roman" w:eastAsia="Calibri" w:hAnsi="Times New Roman" w:cs="Times New Roman"/>
                <w:sz w:val="24"/>
                <w:lang w:val="fr-FR" w:eastAsia="zh-CN" w:bidi="ar"/>
              </w:rPr>
              <w:t>1.1.3.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Calibri" w:hAnsi="Times New Roman" w:cs="Times New Roman"/>
                <w:sz w:val="24"/>
                <w:lang w:val="fr-FR" w:eastAsia="zh-CN" w:bidi="ar"/>
              </w:rPr>
              <w:t>Causes et modes de transmission des infections nosocomiales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_Toc201260006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5</w:t>
            </w:r>
            <w:r w:rsidR="00FB7689">
              <w:rPr>
                <w:rFonts w:ascii="Times New Roman" w:hAnsi="Times New Roman" w:cs="Times New Roman"/>
                <w:sz w:val="24"/>
              </w:rPr>
              <w:fldChar w:fldCharType="end"/>
            </w:r>
          </w:hyperlink>
        </w:p>
        <w:p w14:paraId="6385BC94"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07" w:history="1">
            <w:r w:rsidR="00FB7689">
              <w:rPr>
                <w:rStyle w:val="Lienhypertexte"/>
                <w:rFonts w:ascii="Times New Roman" w:hAnsi="Times New Roman" w:cs="Times New Roman"/>
                <w:sz w:val="24"/>
              </w:rPr>
              <w:t>1.1.3.1.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rPr>
              <w:t>Transmission par contact direct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_Toc201260007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5</w:t>
            </w:r>
            <w:r w:rsidR="00FB7689">
              <w:rPr>
                <w:rFonts w:ascii="Times New Roman" w:hAnsi="Times New Roman" w:cs="Times New Roman"/>
                <w:sz w:val="24"/>
              </w:rPr>
              <w:fldChar w:fldCharType="end"/>
            </w:r>
          </w:hyperlink>
        </w:p>
        <w:p w14:paraId="1CA05E66"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08" w:history="1">
            <w:r w:rsidR="00FB7689">
              <w:rPr>
                <w:rStyle w:val="Lienhypertexte"/>
                <w:rFonts w:ascii="Times New Roman" w:hAnsi="Times New Roman" w:cs="Times New Roman"/>
                <w:sz w:val="24"/>
                <w:lang w:val="fr-FR"/>
              </w:rPr>
              <w:t>1.1.3.2.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Transmission par contact indirect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_Toc201260008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5</w:t>
            </w:r>
            <w:r w:rsidR="00FB7689">
              <w:rPr>
                <w:rFonts w:ascii="Times New Roman" w:hAnsi="Times New Roman" w:cs="Times New Roman"/>
                <w:sz w:val="24"/>
              </w:rPr>
              <w:fldChar w:fldCharType="end"/>
            </w:r>
          </w:hyperlink>
        </w:p>
        <w:p w14:paraId="4F52205B"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09" w:history="1">
            <w:r w:rsidR="00FB7689">
              <w:rPr>
                <w:rStyle w:val="Lienhypertexte"/>
                <w:rFonts w:ascii="Times New Roman" w:hAnsi="Times New Roman" w:cs="Times New Roman"/>
                <w:sz w:val="24"/>
              </w:rPr>
              <w:t>1.1.3.3.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rPr>
              <w:t>Transmission par voie aérienne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_Toc201260009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5</w:t>
            </w:r>
            <w:r w:rsidR="00FB7689">
              <w:rPr>
                <w:rFonts w:ascii="Times New Roman" w:hAnsi="Times New Roman" w:cs="Times New Roman"/>
                <w:sz w:val="24"/>
              </w:rPr>
              <w:fldChar w:fldCharType="end"/>
            </w:r>
          </w:hyperlink>
        </w:p>
        <w:p w14:paraId="1CB030D5"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10" w:history="1">
            <w:r w:rsidR="00FB7689">
              <w:rPr>
                <w:rStyle w:val="Lienhypertexte"/>
                <w:rFonts w:ascii="Times New Roman" w:eastAsia="Calibri" w:hAnsi="Times New Roman" w:cs="Times New Roman"/>
                <w:sz w:val="24"/>
                <w:lang w:val="fr-FR" w:eastAsia="zh-CN" w:bidi="ar"/>
              </w:rPr>
              <w:t>1.1.4.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Calibri" w:hAnsi="Times New Roman" w:cs="Times New Roman"/>
                <w:sz w:val="24"/>
                <w:lang w:val="fr-FR" w:eastAsia="zh-CN" w:bidi="ar"/>
              </w:rPr>
              <w:t>Critères de diagnostic et délais d’apparition</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_Toc201260010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6</w:t>
            </w:r>
            <w:r w:rsidR="00FB7689">
              <w:rPr>
                <w:rFonts w:ascii="Times New Roman" w:hAnsi="Times New Roman" w:cs="Times New Roman"/>
                <w:sz w:val="24"/>
              </w:rPr>
              <w:fldChar w:fldCharType="end"/>
            </w:r>
          </w:hyperlink>
        </w:p>
        <w:p w14:paraId="2E4E12D4"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11" w:history="1">
            <w:r w:rsidR="00FB7689">
              <w:rPr>
                <w:rStyle w:val="Lienhypertexte"/>
                <w:rFonts w:ascii="Times New Roman" w:eastAsia="TimesNewRomanPS-BoldMT" w:hAnsi="Times New Roman" w:cs="Times New Roman"/>
                <w:sz w:val="24"/>
                <w:lang w:eastAsia="zh-CN" w:bidi="ar"/>
              </w:rPr>
              <w:t>1.1.5.</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TimesNewRomanPS-BoldMT" w:hAnsi="Times New Roman" w:cs="Times New Roman"/>
                <w:sz w:val="24"/>
                <w:lang w:eastAsia="zh-CN" w:bidi="ar"/>
              </w:rPr>
              <w:t>Les types majeurs d’infections nosocomiales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_Toc201260011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6</w:t>
            </w:r>
            <w:r w:rsidR="00FB7689">
              <w:rPr>
                <w:rFonts w:ascii="Times New Roman" w:hAnsi="Times New Roman" w:cs="Times New Roman"/>
                <w:sz w:val="24"/>
              </w:rPr>
              <w:fldChar w:fldCharType="end"/>
            </w:r>
          </w:hyperlink>
        </w:p>
        <w:p w14:paraId="04351261"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12" w:history="1">
            <w:r w:rsidR="00FB7689">
              <w:rPr>
                <w:rStyle w:val="Lienhypertexte"/>
                <w:rFonts w:ascii="Times New Roman" w:hAnsi="Times New Roman" w:cs="Times New Roman"/>
                <w:sz w:val="24"/>
                <w:lang w:eastAsia="zh-CN" w:bidi="ar"/>
              </w:rPr>
              <w:t>1.1.5.1.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eastAsia="zh-CN" w:bidi="ar"/>
              </w:rPr>
              <w:t>Infections urinaires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_Toc201260012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6</w:t>
            </w:r>
            <w:r w:rsidR="00FB7689">
              <w:rPr>
                <w:rFonts w:ascii="Times New Roman" w:hAnsi="Times New Roman" w:cs="Times New Roman"/>
                <w:sz w:val="24"/>
              </w:rPr>
              <w:fldChar w:fldCharType="end"/>
            </w:r>
          </w:hyperlink>
        </w:p>
        <w:p w14:paraId="030ED208"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13" w:history="1">
            <w:r w:rsidR="00FB7689">
              <w:rPr>
                <w:rStyle w:val="Lienhypertexte"/>
                <w:rFonts w:ascii="Times New Roman" w:hAnsi="Times New Roman" w:cs="Times New Roman"/>
                <w:sz w:val="24"/>
                <w:lang w:val="fr-FR" w:eastAsia="zh-CN"/>
              </w:rPr>
              <w:t>1.1.5.2.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rPr>
              <w:t>P</w:t>
            </w:r>
            <w:r w:rsidR="00FB7689">
              <w:rPr>
                <w:rStyle w:val="Lienhypertexte"/>
                <w:rFonts w:ascii="Times New Roman" w:hAnsi="Times New Roman" w:cs="Times New Roman"/>
                <w:sz w:val="24"/>
                <w:lang w:eastAsia="zh-CN"/>
              </w:rPr>
              <w:t>neumonie nosocomiale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_Toc201260013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6</w:t>
            </w:r>
            <w:r w:rsidR="00FB7689">
              <w:rPr>
                <w:rFonts w:ascii="Times New Roman" w:hAnsi="Times New Roman" w:cs="Times New Roman"/>
                <w:sz w:val="24"/>
              </w:rPr>
              <w:fldChar w:fldCharType="end"/>
            </w:r>
          </w:hyperlink>
        </w:p>
        <w:p w14:paraId="6A9C389F"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14" w:history="1">
            <w:r w:rsidR="00FB7689">
              <w:rPr>
                <w:rStyle w:val="Lienhypertexte"/>
                <w:rFonts w:ascii="Times New Roman" w:hAnsi="Times New Roman" w:cs="Times New Roman"/>
                <w:sz w:val="24"/>
                <w:lang w:eastAsia="zh-CN" w:bidi="ar"/>
              </w:rPr>
              <w:t>1.1.5.3.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eastAsia="zh-CN" w:bidi="ar"/>
              </w:rPr>
              <w:t>Bactériémies nosocomiales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_Toc201260014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7</w:t>
            </w:r>
            <w:r w:rsidR="00FB7689">
              <w:rPr>
                <w:rFonts w:ascii="Times New Roman" w:hAnsi="Times New Roman" w:cs="Times New Roman"/>
                <w:sz w:val="24"/>
              </w:rPr>
              <w:fldChar w:fldCharType="end"/>
            </w:r>
          </w:hyperlink>
        </w:p>
        <w:p w14:paraId="0635230E"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15" w:history="1">
            <w:r w:rsidR="00FB7689">
              <w:rPr>
                <w:rStyle w:val="Lienhypertexte"/>
                <w:rFonts w:ascii="Times New Roman" w:hAnsi="Times New Roman" w:cs="Times New Roman"/>
                <w:sz w:val="24"/>
                <w:lang w:eastAsia="zh-CN"/>
              </w:rPr>
              <w:t>1.1.5.4.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eastAsia="zh-CN"/>
              </w:rPr>
              <w:t>Infection du site opératoire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_Toc201260015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7</w:t>
            </w:r>
            <w:r w:rsidR="00FB7689">
              <w:rPr>
                <w:rFonts w:ascii="Times New Roman" w:hAnsi="Times New Roman" w:cs="Times New Roman"/>
                <w:sz w:val="24"/>
              </w:rPr>
              <w:fldChar w:fldCharType="end"/>
            </w:r>
          </w:hyperlink>
        </w:p>
        <w:p w14:paraId="3F8E7ACC"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16" w:history="1">
            <w:r w:rsidR="00FB7689">
              <w:rPr>
                <w:rStyle w:val="Lienhypertexte"/>
                <w:rFonts w:ascii="Times New Roman" w:eastAsia="TimesNewRomanPS-BoldMT" w:hAnsi="Times New Roman" w:cs="Times New Roman"/>
                <w:sz w:val="24"/>
                <w:lang w:val="fr-FR" w:eastAsia="zh-CN"/>
              </w:rPr>
              <w:t>1.1.6.</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SimSun" w:hAnsi="Times New Roman" w:cs="Times New Roman"/>
                <w:sz w:val="24"/>
                <w:lang w:val="fr-FR"/>
              </w:rPr>
              <w:t>Facteurs de risque des infections nosocomiales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_Toc201260016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7</w:t>
            </w:r>
            <w:r w:rsidR="00FB7689">
              <w:rPr>
                <w:rFonts w:ascii="Times New Roman" w:hAnsi="Times New Roman" w:cs="Times New Roman"/>
                <w:sz w:val="24"/>
              </w:rPr>
              <w:fldChar w:fldCharType="end"/>
            </w:r>
          </w:hyperlink>
        </w:p>
        <w:p w14:paraId="5809AC1D"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17" w:history="1">
            <w:r w:rsidR="00FB7689">
              <w:rPr>
                <w:rStyle w:val="Lienhypertexte"/>
                <w:rFonts w:ascii="Times New Roman" w:hAnsi="Times New Roman" w:cs="Times New Roman"/>
                <w:sz w:val="24"/>
                <w:lang w:eastAsia="zh-CN"/>
              </w:rPr>
              <w:t>1.1.6.1.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rPr>
              <w:t>Facteurs liés au patient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_Toc201260017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7</w:t>
            </w:r>
            <w:r w:rsidR="00FB7689">
              <w:rPr>
                <w:rFonts w:ascii="Times New Roman" w:hAnsi="Times New Roman" w:cs="Times New Roman"/>
                <w:sz w:val="24"/>
              </w:rPr>
              <w:fldChar w:fldCharType="end"/>
            </w:r>
          </w:hyperlink>
        </w:p>
        <w:p w14:paraId="061CC3BC"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026" w:history="1">
            <w:r w:rsidR="00FB7689">
              <w:rPr>
                <w:rStyle w:val="Lienhypertexte"/>
                <w:rFonts w:ascii="Times New Roman" w:hAnsi="Times New Roman" w:cs="Times New Roman"/>
                <w:sz w:val="24"/>
              </w:rPr>
              <w:t>1.1.6.1.1.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bidi="ar"/>
              </w:rPr>
              <w:t>L’</w:t>
            </w:r>
            <w:r w:rsidR="00FB7689">
              <w:rPr>
                <w:rStyle w:val="Lienhypertexte"/>
                <w:rFonts w:ascii="Times New Roman" w:hAnsi="Times New Roman" w:cs="Times New Roman"/>
                <w:sz w:val="24"/>
              </w:rPr>
              <w:t>Â</w:t>
            </w:r>
            <w:r w:rsidR="00FB7689">
              <w:rPr>
                <w:rStyle w:val="Lienhypertexte"/>
                <w:rFonts w:ascii="Times New Roman" w:hAnsi="Times New Roman" w:cs="Times New Roman"/>
                <w:sz w:val="24"/>
                <w:lang w:bidi="ar"/>
              </w:rPr>
              <w:t>ge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_Toc201260026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7</w:t>
            </w:r>
            <w:r w:rsidR="00FB7689">
              <w:rPr>
                <w:rFonts w:ascii="Times New Roman" w:hAnsi="Times New Roman" w:cs="Times New Roman"/>
                <w:sz w:val="24"/>
              </w:rPr>
              <w:fldChar w:fldCharType="end"/>
            </w:r>
          </w:hyperlink>
        </w:p>
        <w:p w14:paraId="188DA5B1"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027" w:history="1">
            <w:r w:rsidR="00FB7689">
              <w:rPr>
                <w:rStyle w:val="Lienhypertexte"/>
                <w:rFonts w:ascii="Times New Roman" w:hAnsi="Times New Roman" w:cs="Times New Roman"/>
                <w:sz w:val="24"/>
                <w:lang w:val="fr-FR"/>
              </w:rPr>
              <w:t>1.1.6.1.2.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bidi="ar"/>
              </w:rPr>
              <w:t>Patients exposés à des dispositifs invasifs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_Toc201260027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7</w:t>
            </w:r>
            <w:r w:rsidR="00FB7689">
              <w:rPr>
                <w:rFonts w:ascii="Times New Roman" w:hAnsi="Times New Roman" w:cs="Times New Roman"/>
                <w:sz w:val="24"/>
              </w:rPr>
              <w:fldChar w:fldCharType="end"/>
            </w:r>
          </w:hyperlink>
        </w:p>
        <w:p w14:paraId="0D1A3917"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038" w:history="1">
            <w:r w:rsidR="00FB7689">
              <w:rPr>
                <w:rStyle w:val="Lienhypertexte"/>
                <w:rFonts w:ascii="Times New Roman" w:eastAsia="Calibri" w:hAnsi="Times New Roman" w:cs="Times New Roman"/>
                <w:sz w:val="24"/>
                <w:lang w:val="fr" w:bidi="ar"/>
              </w:rPr>
              <w:t>1.1.6.1.3.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shd w:val="clear" w:color="auto" w:fill="FFFFFF"/>
              </w:rPr>
              <w:t>L'obésité</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_Toc201260038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8</w:t>
            </w:r>
            <w:r w:rsidR="00FB7689">
              <w:rPr>
                <w:rFonts w:ascii="Times New Roman" w:hAnsi="Times New Roman" w:cs="Times New Roman"/>
                <w:sz w:val="24"/>
              </w:rPr>
              <w:fldChar w:fldCharType="end"/>
            </w:r>
          </w:hyperlink>
        </w:p>
        <w:p w14:paraId="420CED44"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039" w:history="1">
            <w:r w:rsidR="00FB7689">
              <w:rPr>
                <w:rStyle w:val="Lienhypertexte"/>
                <w:rFonts w:ascii="Times New Roman" w:eastAsia="TimesNewRomanPS-BoldMT" w:hAnsi="Times New Roman" w:cs="Times New Roman"/>
                <w:sz w:val="24"/>
              </w:rPr>
              <w:t>1.1.6.1.4.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bidi="ar"/>
              </w:rPr>
              <w:t>P</w:t>
            </w:r>
            <w:r w:rsidR="00FB7689">
              <w:rPr>
                <w:rStyle w:val="Lienhypertexte"/>
                <w:rFonts w:ascii="Times New Roman" w:hAnsi="Times New Roman" w:cs="Times New Roman"/>
                <w:sz w:val="24"/>
              </w:rPr>
              <w:t>atients co-infectés VIH-tuberculose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_Toc201260039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8</w:t>
            </w:r>
            <w:r w:rsidR="00FB7689">
              <w:rPr>
                <w:rFonts w:ascii="Times New Roman" w:hAnsi="Times New Roman" w:cs="Times New Roman"/>
                <w:sz w:val="24"/>
              </w:rPr>
              <w:fldChar w:fldCharType="end"/>
            </w:r>
          </w:hyperlink>
        </w:p>
        <w:p w14:paraId="04F70F3E"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040" w:history="1">
            <w:r w:rsidR="00FB7689">
              <w:rPr>
                <w:rStyle w:val="Lienhypertexte"/>
                <w:rFonts w:ascii="Times New Roman" w:eastAsia="TimesNewRomanPS-BoldMT" w:hAnsi="Times New Roman" w:cs="Times New Roman"/>
                <w:sz w:val="24"/>
                <w:lang w:val="fr-FR"/>
              </w:rPr>
              <w:t>1.1.6.1.5.</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bidi="ar"/>
              </w:rPr>
              <w:t>Patients ayant subi de graves brûlures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_Toc201260040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8</w:t>
            </w:r>
            <w:r w:rsidR="00FB7689">
              <w:rPr>
                <w:rFonts w:ascii="Times New Roman" w:hAnsi="Times New Roman" w:cs="Times New Roman"/>
                <w:sz w:val="24"/>
              </w:rPr>
              <w:fldChar w:fldCharType="end"/>
            </w:r>
          </w:hyperlink>
        </w:p>
        <w:p w14:paraId="15106038"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041" w:history="1">
            <w:r w:rsidR="00FB7689">
              <w:rPr>
                <w:rStyle w:val="Lienhypertexte"/>
                <w:rFonts w:ascii="Times New Roman" w:eastAsia="TimesNewRomanPS-BoldMT" w:hAnsi="Times New Roman" w:cs="Times New Roman"/>
                <w:sz w:val="24"/>
              </w:rPr>
              <w:t>1.1.6.1.6.</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bidi="ar"/>
              </w:rPr>
              <w:t>Patients atteints de cancer</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8</w:t>
            </w:r>
            <w:r w:rsidR="00FB7689">
              <w:rPr>
                <w:rFonts w:ascii="Times New Roman" w:hAnsi="Times New Roman" w:cs="Times New Roman"/>
                <w:sz w:val="24"/>
              </w:rPr>
              <w:fldChar w:fldCharType="end"/>
            </w:r>
          </w:hyperlink>
        </w:p>
        <w:p w14:paraId="3047FBA4"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42" w:history="1">
            <w:r w:rsidR="00FB7689">
              <w:rPr>
                <w:rStyle w:val="Lienhypertexte"/>
                <w:rFonts w:ascii="Times New Roman" w:eastAsia="TimesNewRomanPS-BoldMT" w:hAnsi="Times New Roman" w:cs="Times New Roman"/>
                <w:sz w:val="24"/>
                <w:lang w:val="fr-FR" w:eastAsia="zh-CN"/>
              </w:rPr>
              <w:t>1.1.6.2.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bidi="ar"/>
              </w:rPr>
              <w:t>Durée de séjour</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9</w:t>
            </w:r>
            <w:r w:rsidR="00FB7689">
              <w:rPr>
                <w:rFonts w:ascii="Times New Roman" w:hAnsi="Times New Roman" w:cs="Times New Roman"/>
                <w:sz w:val="24"/>
              </w:rPr>
              <w:fldChar w:fldCharType="end"/>
            </w:r>
          </w:hyperlink>
        </w:p>
        <w:p w14:paraId="548D9E5D"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43" w:history="1">
            <w:r w:rsidR="00FB7689">
              <w:rPr>
                <w:rStyle w:val="Lienhypertexte"/>
                <w:rFonts w:ascii="Times New Roman" w:eastAsia="TimesNewRomanPS-BoldMT" w:hAnsi="Times New Roman" w:cs="Times New Roman"/>
                <w:sz w:val="24"/>
                <w:lang w:val="fr-FR" w:eastAsia="zh-CN"/>
              </w:rPr>
              <w:t>1.1.6.3.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 w:eastAsia="zh-CN"/>
              </w:rPr>
              <w:t>Environnement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9</w:t>
            </w:r>
            <w:r w:rsidR="00FB7689">
              <w:rPr>
                <w:rFonts w:ascii="Times New Roman" w:hAnsi="Times New Roman" w:cs="Times New Roman"/>
                <w:sz w:val="24"/>
              </w:rPr>
              <w:fldChar w:fldCharType="end"/>
            </w:r>
          </w:hyperlink>
        </w:p>
        <w:p w14:paraId="5801432E"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44" w:history="1">
            <w:r w:rsidR="00FB7689">
              <w:rPr>
                <w:rStyle w:val="Lienhypertexte"/>
                <w:rFonts w:ascii="Times New Roman" w:eastAsia="TimesNewRomanPS-BoldMT" w:hAnsi="Times New Roman" w:cs="Times New Roman"/>
                <w:sz w:val="24"/>
                <w:lang w:val="fr-FR" w:eastAsia="zh-CN"/>
              </w:rPr>
              <w:t>1.1.7.</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Calibri" w:hAnsi="Times New Roman" w:cs="Times New Roman"/>
                <w:sz w:val="24"/>
                <w:lang w:val="fr" w:eastAsia="zh-CN"/>
              </w:rPr>
              <w:t>Mesure de prévention</w:t>
            </w:r>
            <w:r w:rsidR="00FB7689">
              <w:rPr>
                <w:rStyle w:val="Lienhypertexte"/>
                <w:rFonts w:ascii="Times New Roman" w:eastAsia="Calibri" w:hAnsi="Times New Roman" w:cs="Times New Roman"/>
                <w:sz w:val="24"/>
                <w:lang w:val="fr-FR" w:eastAsia="zh-CN"/>
              </w:rPr>
              <w:t xml:space="preserve"> </w:t>
            </w:r>
            <w:r w:rsidR="00FB7689">
              <w:rPr>
                <w:rStyle w:val="Lienhypertexte"/>
                <w:rFonts w:ascii="Times New Roman" w:eastAsia="Calibri" w:hAnsi="Times New Roman" w:cs="Times New Roman"/>
                <w:sz w:val="24"/>
                <w:lang w:val="fr" w:eastAsia="zh-CN"/>
              </w:rPr>
              <w:t>des infections Nosocomiales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9</w:t>
            </w:r>
            <w:r w:rsidR="00FB7689">
              <w:rPr>
                <w:rFonts w:ascii="Times New Roman" w:hAnsi="Times New Roman" w:cs="Times New Roman"/>
                <w:sz w:val="24"/>
              </w:rPr>
              <w:fldChar w:fldCharType="end"/>
            </w:r>
          </w:hyperlink>
        </w:p>
        <w:p w14:paraId="437B1D0B"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45" w:history="1">
            <w:r w:rsidR="00FB7689">
              <w:rPr>
                <w:rStyle w:val="Lienhypertexte"/>
                <w:rFonts w:ascii="Times New Roman" w:eastAsia="TimesNewRomanPS-BoldMT" w:hAnsi="Times New Roman" w:cs="Times New Roman"/>
                <w:sz w:val="24"/>
                <w:lang w:eastAsia="zh-CN"/>
              </w:rPr>
              <w:t>1.1.7.1.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 w:eastAsia="zh-CN"/>
              </w:rPr>
              <w:t>Individuelle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9</w:t>
            </w:r>
            <w:r w:rsidR="00FB7689">
              <w:rPr>
                <w:rFonts w:ascii="Times New Roman" w:hAnsi="Times New Roman" w:cs="Times New Roman"/>
                <w:sz w:val="24"/>
              </w:rPr>
              <w:fldChar w:fldCharType="end"/>
            </w:r>
          </w:hyperlink>
        </w:p>
        <w:p w14:paraId="651606F6"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46" w:history="1">
            <w:r w:rsidR="00FB7689">
              <w:rPr>
                <w:rStyle w:val="Lienhypertexte"/>
                <w:rFonts w:ascii="Times New Roman" w:eastAsia="Calibri" w:hAnsi="Times New Roman" w:cs="Times New Roman"/>
                <w:sz w:val="24"/>
                <w:lang w:val="fr" w:eastAsia="zh-CN"/>
              </w:rPr>
              <w:t>1.1.7.1.1.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Formation et sensibilisation</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10</w:t>
            </w:r>
            <w:r w:rsidR="00FB7689">
              <w:rPr>
                <w:rFonts w:ascii="Times New Roman" w:hAnsi="Times New Roman" w:cs="Times New Roman"/>
                <w:sz w:val="24"/>
              </w:rPr>
              <w:fldChar w:fldCharType="end"/>
            </w:r>
          </w:hyperlink>
        </w:p>
        <w:p w14:paraId="1915EEA6"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47" w:history="1">
            <w:r w:rsidR="00FB7689">
              <w:rPr>
                <w:rStyle w:val="Lienhypertexte"/>
                <w:rFonts w:ascii="Times New Roman" w:eastAsia="Calibri" w:hAnsi="Times New Roman" w:cs="Times New Roman"/>
                <w:sz w:val="24"/>
                <w:lang w:val="fr" w:eastAsia="zh-CN" w:bidi="ar"/>
              </w:rPr>
              <w:t>1.1.7.1.2.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Hygiène des mains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10</w:t>
            </w:r>
            <w:r w:rsidR="00FB7689">
              <w:rPr>
                <w:rFonts w:ascii="Times New Roman" w:hAnsi="Times New Roman" w:cs="Times New Roman"/>
                <w:sz w:val="24"/>
              </w:rPr>
              <w:fldChar w:fldCharType="end"/>
            </w:r>
          </w:hyperlink>
        </w:p>
        <w:p w14:paraId="797123A1"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48" w:history="1">
            <w:r w:rsidR="00FB7689">
              <w:rPr>
                <w:rStyle w:val="Lienhypertexte"/>
                <w:rFonts w:ascii="Times New Roman" w:eastAsia="TimesNewRomanPS-BoldMT" w:hAnsi="Times New Roman" w:cs="Times New Roman"/>
                <w:sz w:val="24"/>
                <w:lang w:eastAsia="zh-CN"/>
              </w:rPr>
              <w:t>1.1.7.1.3.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Précautions standard</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10</w:t>
            </w:r>
            <w:r w:rsidR="00FB7689">
              <w:rPr>
                <w:rFonts w:ascii="Times New Roman" w:hAnsi="Times New Roman" w:cs="Times New Roman"/>
                <w:sz w:val="24"/>
              </w:rPr>
              <w:fldChar w:fldCharType="end"/>
            </w:r>
          </w:hyperlink>
        </w:p>
        <w:p w14:paraId="0470C2B7"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49" w:history="1">
            <w:r w:rsidR="00FB7689">
              <w:rPr>
                <w:rStyle w:val="Lienhypertexte"/>
                <w:rFonts w:ascii="Times New Roman" w:eastAsia="TimesNewRomanPS-BoldMT" w:hAnsi="Times New Roman" w:cs="Times New Roman"/>
                <w:sz w:val="24"/>
                <w:lang w:val="fr-FR"/>
              </w:rPr>
              <w:t>1.1.7.1.4.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Utilisation appropriée des antibiotiques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_Toc201260049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10</w:t>
            </w:r>
            <w:r w:rsidR="00FB7689">
              <w:rPr>
                <w:rFonts w:ascii="Times New Roman" w:hAnsi="Times New Roman" w:cs="Times New Roman"/>
                <w:sz w:val="24"/>
              </w:rPr>
              <w:fldChar w:fldCharType="end"/>
            </w:r>
          </w:hyperlink>
        </w:p>
        <w:p w14:paraId="74EA9742"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59" w:history="1">
            <w:r w:rsidR="00FB7689">
              <w:rPr>
                <w:rStyle w:val="Lienhypertexte"/>
                <w:rFonts w:ascii="Times New Roman" w:eastAsia="TimesNewRomanPS-BoldMT" w:hAnsi="Times New Roman" w:cs="Times New Roman"/>
                <w:sz w:val="24"/>
                <w:lang w:val="fr-FR" w:eastAsia="zh-CN"/>
              </w:rPr>
              <w:t>1.1.7.2.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 w:eastAsia="zh-CN"/>
              </w:rPr>
              <w:t>Environnementale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_Toc201260059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10</w:t>
            </w:r>
            <w:r w:rsidR="00FB7689">
              <w:rPr>
                <w:rFonts w:ascii="Times New Roman" w:hAnsi="Times New Roman" w:cs="Times New Roman"/>
                <w:sz w:val="24"/>
              </w:rPr>
              <w:fldChar w:fldCharType="end"/>
            </w:r>
          </w:hyperlink>
        </w:p>
        <w:p w14:paraId="66B9A254"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60" w:history="1">
            <w:r w:rsidR="00FB7689">
              <w:rPr>
                <w:rStyle w:val="Lienhypertexte"/>
                <w:rFonts w:ascii="Times New Roman" w:eastAsia="TimesNewRomanPS-BoldMT" w:hAnsi="Times New Roman" w:cs="Times New Roman"/>
                <w:sz w:val="24"/>
                <w:lang w:eastAsia="zh-CN"/>
              </w:rPr>
              <w:t>1.1.7.2.1.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Contrôle de l’environnement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_Toc201260060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10</w:t>
            </w:r>
            <w:r w:rsidR="00FB7689">
              <w:rPr>
                <w:rFonts w:ascii="Times New Roman" w:hAnsi="Times New Roman" w:cs="Times New Roman"/>
                <w:sz w:val="24"/>
              </w:rPr>
              <w:fldChar w:fldCharType="end"/>
            </w:r>
          </w:hyperlink>
        </w:p>
        <w:p w14:paraId="7A956B52"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72" w:history="1">
            <w:r w:rsidR="00FB7689">
              <w:rPr>
                <w:rStyle w:val="Lienhypertexte"/>
                <w:rFonts w:ascii="Times New Roman" w:eastAsia="TimesNewRomanPS-BoldMT" w:hAnsi="Times New Roman" w:cs="Times New Roman"/>
                <w:sz w:val="24"/>
                <w:lang w:val="fr-FR"/>
              </w:rPr>
              <w:t>1.1.7.2.2.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Surveillance et suivi</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_Toc201260072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11</w:t>
            </w:r>
            <w:r w:rsidR="00FB7689">
              <w:rPr>
                <w:rFonts w:ascii="Times New Roman" w:hAnsi="Times New Roman" w:cs="Times New Roman"/>
                <w:sz w:val="24"/>
              </w:rPr>
              <w:fldChar w:fldCharType="end"/>
            </w:r>
          </w:hyperlink>
        </w:p>
        <w:p w14:paraId="51431DD4" w14:textId="77777777" w:rsidR="00B611D1" w:rsidRDefault="00CD2B93">
          <w:pPr>
            <w:pStyle w:val="TM2"/>
            <w:tabs>
              <w:tab w:val="left" w:pos="960"/>
              <w:tab w:val="right" w:leader="dot" w:pos="9810"/>
            </w:tabs>
            <w:rPr>
              <w:rFonts w:ascii="Times New Roman" w:eastAsiaTheme="minorEastAsia" w:hAnsi="Times New Roman" w:cs="Times New Roman"/>
              <w:b w:val="0"/>
              <w:bCs w:val="0"/>
              <w:kern w:val="2"/>
              <w:sz w:val="24"/>
              <w:szCs w:val="24"/>
              <w:lang w:val="fr-FR" w:eastAsia="zh-CN"/>
              <w14:ligatures w14:val="standardContextual"/>
            </w:rPr>
          </w:pPr>
          <w:hyperlink w:anchor="_Toc201260073" w:history="1">
            <w:r w:rsidR="00FB7689">
              <w:rPr>
                <w:rStyle w:val="Lienhypertexte"/>
                <w:rFonts w:ascii="Times New Roman" w:eastAsia="Calibri" w:hAnsi="Times New Roman" w:cs="Times New Roman"/>
                <w:b w:val="0"/>
                <w:bCs w:val="0"/>
                <w:sz w:val="24"/>
                <w:szCs w:val="24"/>
                <w:lang w:val="fr-FR"/>
              </w:rPr>
              <w:t>1.2.</w:t>
            </w:r>
            <w:r w:rsidR="00FB7689">
              <w:rPr>
                <w:rFonts w:ascii="Times New Roman" w:eastAsiaTheme="minorEastAsia" w:hAnsi="Times New Roman" w:cs="Times New Roman"/>
                <w:b w:val="0"/>
                <w:bCs w:val="0"/>
                <w:kern w:val="2"/>
                <w:sz w:val="24"/>
                <w:szCs w:val="24"/>
                <w:lang w:val="fr-FR" w:eastAsia="zh-CN"/>
                <w14:ligatures w14:val="standardContextual"/>
              </w:rPr>
              <w:tab/>
            </w:r>
            <w:r w:rsidR="00FB7689">
              <w:rPr>
                <w:rStyle w:val="Lienhypertexte"/>
                <w:rFonts w:ascii="Times New Roman" w:eastAsia="Calibri" w:hAnsi="Times New Roman" w:cs="Times New Roman"/>
                <w:b w:val="0"/>
                <w:bCs w:val="0"/>
                <w:sz w:val="24"/>
                <w:szCs w:val="24"/>
                <w:lang w:val="fr-FR"/>
              </w:rPr>
              <w:t>Surfaces inertes et transmission des infections nosocomiales</w:t>
            </w:r>
            <w:r w:rsidR="00FB7689">
              <w:rPr>
                <w:rFonts w:ascii="Times New Roman" w:hAnsi="Times New Roman" w:cs="Times New Roman"/>
                <w:b w:val="0"/>
                <w:bCs w:val="0"/>
                <w:sz w:val="24"/>
                <w:szCs w:val="24"/>
              </w:rPr>
              <w:tab/>
            </w:r>
            <w:r w:rsidR="00FB7689">
              <w:rPr>
                <w:rFonts w:ascii="Times New Roman" w:hAnsi="Times New Roman" w:cs="Times New Roman"/>
                <w:b w:val="0"/>
                <w:bCs w:val="0"/>
                <w:sz w:val="24"/>
                <w:szCs w:val="24"/>
              </w:rPr>
              <w:fldChar w:fldCharType="begin"/>
            </w:r>
            <w:r w:rsidR="00FB7689">
              <w:rPr>
                <w:rFonts w:ascii="Times New Roman" w:hAnsi="Times New Roman" w:cs="Times New Roman"/>
                <w:b w:val="0"/>
                <w:bCs w:val="0"/>
                <w:sz w:val="24"/>
                <w:szCs w:val="24"/>
              </w:rPr>
              <w:instrText xml:space="preserve"> PAGEREF _Toc201260073 \h </w:instrText>
            </w:r>
            <w:r w:rsidR="00FB7689">
              <w:rPr>
                <w:rFonts w:ascii="Times New Roman" w:hAnsi="Times New Roman" w:cs="Times New Roman"/>
                <w:b w:val="0"/>
                <w:bCs w:val="0"/>
                <w:sz w:val="24"/>
                <w:szCs w:val="24"/>
              </w:rPr>
            </w:r>
            <w:r w:rsidR="00FB7689">
              <w:rPr>
                <w:rFonts w:ascii="Times New Roman" w:hAnsi="Times New Roman" w:cs="Times New Roman"/>
                <w:b w:val="0"/>
                <w:bCs w:val="0"/>
                <w:sz w:val="24"/>
                <w:szCs w:val="24"/>
              </w:rPr>
              <w:fldChar w:fldCharType="separate"/>
            </w:r>
            <w:r w:rsidR="00FB7689">
              <w:rPr>
                <w:rFonts w:ascii="Times New Roman" w:hAnsi="Times New Roman" w:cs="Times New Roman"/>
                <w:b w:val="0"/>
                <w:bCs w:val="0"/>
                <w:sz w:val="24"/>
                <w:szCs w:val="24"/>
              </w:rPr>
              <w:t>13</w:t>
            </w:r>
            <w:r w:rsidR="00FB7689">
              <w:rPr>
                <w:rFonts w:ascii="Times New Roman" w:hAnsi="Times New Roman" w:cs="Times New Roman"/>
                <w:b w:val="0"/>
                <w:bCs w:val="0"/>
                <w:sz w:val="24"/>
                <w:szCs w:val="24"/>
              </w:rPr>
              <w:fldChar w:fldCharType="end"/>
            </w:r>
          </w:hyperlink>
        </w:p>
        <w:p w14:paraId="16DC1D5E"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74" w:history="1">
            <w:r w:rsidR="00FB7689">
              <w:rPr>
                <w:rStyle w:val="Lienhypertexte"/>
                <w:rFonts w:ascii="Times New Roman" w:eastAsia="Calibri" w:hAnsi="Times New Roman" w:cs="Times New Roman"/>
                <w:sz w:val="24"/>
              </w:rPr>
              <w:t>1.2.1.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Calibri" w:hAnsi="Times New Roman" w:cs="Times New Roman"/>
                <w:sz w:val="24"/>
              </w:rPr>
              <w:t>Définition de l’environnement hospitalier</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_Toc201260074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13</w:t>
            </w:r>
            <w:r w:rsidR="00FB7689">
              <w:rPr>
                <w:rFonts w:ascii="Times New Roman" w:hAnsi="Times New Roman" w:cs="Times New Roman"/>
                <w:sz w:val="24"/>
              </w:rPr>
              <w:fldChar w:fldCharType="end"/>
            </w:r>
          </w:hyperlink>
        </w:p>
        <w:p w14:paraId="155F6057"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75" w:history="1">
            <w:r w:rsidR="00FB7689">
              <w:rPr>
                <w:rStyle w:val="Lienhypertexte"/>
                <w:rFonts w:ascii="Times New Roman" w:eastAsia="Calibri" w:hAnsi="Times New Roman" w:cs="Times New Roman"/>
                <w:sz w:val="24"/>
                <w:lang w:val="fr-FR"/>
              </w:rPr>
              <w:t>1.2.2.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Calibri" w:hAnsi="Times New Roman" w:cs="Times New Roman"/>
                <w:sz w:val="24"/>
                <w:lang w:val="fr-FR"/>
              </w:rPr>
              <w:t xml:space="preserve">Le rôle des surfaces dans la survenue des infections </w:t>
            </w:r>
            <w:r w:rsidR="00FB7689">
              <w:rPr>
                <w:rStyle w:val="Lienhypertexte"/>
                <w:rFonts w:ascii="Times New Roman" w:hAnsi="Times New Roman" w:cs="Times New Roman"/>
                <w:sz w:val="24"/>
                <w:lang w:val="fr-FR"/>
              </w:rPr>
              <w:t>nosocomiales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_Toc201260075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13</w:t>
            </w:r>
            <w:r w:rsidR="00FB7689">
              <w:rPr>
                <w:rFonts w:ascii="Times New Roman" w:hAnsi="Times New Roman" w:cs="Times New Roman"/>
                <w:sz w:val="24"/>
              </w:rPr>
              <w:fldChar w:fldCharType="end"/>
            </w:r>
          </w:hyperlink>
        </w:p>
        <w:p w14:paraId="06FF9E22"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76" w:history="1">
            <w:r w:rsidR="00FB7689">
              <w:rPr>
                <w:rStyle w:val="Lienhypertexte"/>
                <w:rFonts w:ascii="Times New Roman" w:hAnsi="Times New Roman" w:cs="Times New Roman"/>
                <w:sz w:val="24"/>
              </w:rPr>
              <w:t>1.2.3.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Calibri" w:hAnsi="Times New Roman" w:cs="Times New Roman"/>
                <w:sz w:val="24"/>
              </w:rPr>
              <w:t>La</w:t>
            </w:r>
            <w:r w:rsidR="00FB7689">
              <w:rPr>
                <w:rStyle w:val="Lienhypertexte"/>
                <w:rFonts w:ascii="Times New Roman" w:hAnsi="Times New Roman" w:cs="Times New Roman"/>
                <w:sz w:val="24"/>
              </w:rPr>
              <w:t xml:space="preserve"> persistance des micro-organismes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_Toc201260076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14</w:t>
            </w:r>
            <w:r w:rsidR="00FB7689">
              <w:rPr>
                <w:rFonts w:ascii="Times New Roman" w:hAnsi="Times New Roman" w:cs="Times New Roman"/>
                <w:sz w:val="24"/>
              </w:rPr>
              <w:fldChar w:fldCharType="end"/>
            </w:r>
          </w:hyperlink>
        </w:p>
        <w:p w14:paraId="17623E7E"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077" w:history="1">
            <w:r w:rsidR="00FB7689">
              <w:rPr>
                <w:rStyle w:val="Lienhypertexte"/>
                <w:rFonts w:ascii="Times New Roman" w:hAnsi="Times New Roman" w:cs="Times New Roman"/>
                <w:sz w:val="24"/>
                <w:lang w:val="fr-FR"/>
              </w:rPr>
              <w:t>1.2.4.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Principaux germes retrouvés dans l’environnement hospitalier</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_Toc201260077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15</w:t>
            </w:r>
            <w:r w:rsidR="00FB7689">
              <w:rPr>
                <w:rFonts w:ascii="Times New Roman" w:hAnsi="Times New Roman" w:cs="Times New Roman"/>
                <w:sz w:val="24"/>
              </w:rPr>
              <w:fldChar w:fldCharType="end"/>
            </w:r>
          </w:hyperlink>
        </w:p>
        <w:p w14:paraId="2F042DD5"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78" w:history="1">
            <w:r w:rsidR="00FB7689">
              <w:rPr>
                <w:rStyle w:val="Lienhypertexte"/>
                <w:rFonts w:ascii="Times New Roman" w:hAnsi="Times New Roman" w:cs="Times New Roman"/>
                <w:sz w:val="24"/>
                <w:lang w:val="fr-FR"/>
              </w:rPr>
              <w:t>1.2.4.1.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Bacilles Gram négatif Fermentaires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_Toc201260078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16</w:t>
            </w:r>
            <w:r w:rsidR="00FB7689">
              <w:rPr>
                <w:rFonts w:ascii="Times New Roman" w:hAnsi="Times New Roman" w:cs="Times New Roman"/>
                <w:sz w:val="24"/>
              </w:rPr>
              <w:fldChar w:fldCharType="end"/>
            </w:r>
          </w:hyperlink>
        </w:p>
        <w:p w14:paraId="4E5F17D9" w14:textId="77777777" w:rsidR="00B611D1" w:rsidRDefault="00CD2B93">
          <w:pPr>
            <w:pStyle w:val="TM4"/>
            <w:tabs>
              <w:tab w:val="left" w:pos="1200"/>
              <w:tab w:val="right" w:leader="dot" w:pos="9810"/>
            </w:tabs>
            <w:rPr>
              <w:rFonts w:ascii="Times New Roman" w:eastAsiaTheme="minorEastAsia" w:hAnsi="Times New Roman" w:cs="Times New Roman"/>
              <w:kern w:val="2"/>
              <w:sz w:val="24"/>
              <w:lang w:val="fr-FR" w:eastAsia="zh-CN"/>
              <w14:ligatures w14:val="standardContextual"/>
            </w:rPr>
          </w:pPr>
          <w:hyperlink w:anchor="_Toc201260079" w:history="1">
            <w:r w:rsidR="00FB7689">
              <w:rPr>
                <w:rStyle w:val="Lienhypertexte"/>
                <w:rFonts w:ascii="Times New Roman" w:hAnsi="Times New Roman" w:cs="Times New Roman"/>
                <w:sz w:val="24"/>
                <w:lang w:val="fr-FR"/>
              </w:rPr>
              <w:t>A.</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rPr>
              <w:t>Entérobactéries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_Toc201260079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16</w:t>
            </w:r>
            <w:r w:rsidR="00FB7689">
              <w:rPr>
                <w:rFonts w:ascii="Times New Roman" w:hAnsi="Times New Roman" w:cs="Times New Roman"/>
                <w:sz w:val="24"/>
              </w:rPr>
              <w:fldChar w:fldCharType="end"/>
            </w:r>
          </w:hyperlink>
        </w:p>
        <w:p w14:paraId="3122C702"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86" w:history="1">
            <w:r w:rsidR="00FB7689">
              <w:rPr>
                <w:rStyle w:val="Lienhypertexte"/>
                <w:rFonts w:ascii="Times New Roman" w:hAnsi="Times New Roman" w:cs="Times New Roman"/>
                <w:sz w:val="24"/>
                <w:lang w:val="fr-FR"/>
              </w:rPr>
              <w:t>1.2.4.1.1.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i/>
                <w:iCs/>
                <w:sz w:val="24"/>
                <w:lang w:val="fr-FR"/>
              </w:rPr>
              <w:t>Escherichia coli</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_Toc201260086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16</w:t>
            </w:r>
            <w:r w:rsidR="00FB7689">
              <w:rPr>
                <w:rFonts w:ascii="Times New Roman" w:hAnsi="Times New Roman" w:cs="Times New Roman"/>
                <w:sz w:val="24"/>
              </w:rPr>
              <w:fldChar w:fldCharType="end"/>
            </w:r>
          </w:hyperlink>
        </w:p>
        <w:p w14:paraId="1E397623"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87" w:history="1">
            <w:r w:rsidR="00FB7689">
              <w:rPr>
                <w:rStyle w:val="Lienhypertexte"/>
                <w:rFonts w:ascii="Times New Roman" w:hAnsi="Times New Roman" w:cs="Times New Roman"/>
                <w:sz w:val="24"/>
                <w:lang w:val="fr-FR" w:eastAsia="zh-CN" w:bidi="ar"/>
              </w:rPr>
              <w:t>1.2.4.1.2.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i/>
                <w:iCs/>
                <w:sz w:val="24"/>
                <w:lang w:val="fr-FR" w:eastAsia="zh-CN" w:bidi="ar"/>
              </w:rPr>
              <w:t>Klebsiella pneumoniae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_Toc201260087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16</w:t>
            </w:r>
            <w:r w:rsidR="00FB7689">
              <w:rPr>
                <w:rFonts w:ascii="Times New Roman" w:hAnsi="Times New Roman" w:cs="Times New Roman"/>
                <w:sz w:val="24"/>
              </w:rPr>
              <w:fldChar w:fldCharType="end"/>
            </w:r>
          </w:hyperlink>
        </w:p>
        <w:p w14:paraId="1D75F176"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88" w:history="1">
            <w:r w:rsidR="00FB7689">
              <w:rPr>
                <w:rStyle w:val="Lienhypertexte"/>
                <w:rFonts w:ascii="Times New Roman" w:hAnsi="Times New Roman" w:cs="Times New Roman"/>
                <w:sz w:val="24"/>
                <w:lang w:val="fr-FR" w:bidi="ar"/>
              </w:rPr>
              <w:t>1.2.4.1.3.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i/>
                <w:iCs/>
                <w:sz w:val="24"/>
                <w:lang w:val="fr-FR" w:bidi="ar"/>
              </w:rPr>
              <w:t>Serratia marcescens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_Toc201260088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17</w:t>
            </w:r>
            <w:r w:rsidR="00FB7689">
              <w:rPr>
                <w:rFonts w:ascii="Times New Roman" w:hAnsi="Times New Roman" w:cs="Times New Roman"/>
                <w:sz w:val="24"/>
              </w:rPr>
              <w:fldChar w:fldCharType="end"/>
            </w:r>
          </w:hyperlink>
        </w:p>
        <w:p w14:paraId="50BD000D"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89" w:history="1">
            <w:r w:rsidR="00FB7689">
              <w:rPr>
                <w:rStyle w:val="Lienhypertexte"/>
                <w:rFonts w:ascii="Times New Roman" w:hAnsi="Times New Roman" w:cs="Times New Roman"/>
                <w:sz w:val="24"/>
                <w:lang w:val="fr" w:eastAsia="zh-CN" w:bidi="ar"/>
              </w:rPr>
              <w:t>1.2.4.2.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 w:eastAsia="zh-CN" w:bidi="ar"/>
              </w:rPr>
              <w:t>Bacilles Gram négatif non Fermentaires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_Toc201260089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18</w:t>
            </w:r>
            <w:r w:rsidR="00FB7689">
              <w:rPr>
                <w:rFonts w:ascii="Times New Roman" w:hAnsi="Times New Roman" w:cs="Times New Roman"/>
                <w:sz w:val="24"/>
              </w:rPr>
              <w:fldChar w:fldCharType="end"/>
            </w:r>
          </w:hyperlink>
        </w:p>
        <w:p w14:paraId="7DB7D7CC"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91" w:history="1">
            <w:r w:rsidR="00FB7689">
              <w:rPr>
                <w:rStyle w:val="Lienhypertexte"/>
                <w:rFonts w:ascii="Times New Roman" w:hAnsi="Times New Roman" w:cs="Times New Roman"/>
                <w:sz w:val="24"/>
                <w:lang w:val="fr" w:eastAsia="zh-CN" w:bidi="ar"/>
              </w:rPr>
              <w:t>1.2.4.2.1.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i/>
                <w:iCs/>
                <w:sz w:val="24"/>
                <w:lang w:val="fr-FR" w:bidi="ar"/>
              </w:rPr>
              <w:t>Acinetobacter baumannii</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_Toc201260091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18</w:t>
            </w:r>
            <w:r w:rsidR="00FB7689">
              <w:rPr>
                <w:rFonts w:ascii="Times New Roman" w:hAnsi="Times New Roman" w:cs="Times New Roman"/>
                <w:sz w:val="24"/>
              </w:rPr>
              <w:fldChar w:fldCharType="end"/>
            </w:r>
          </w:hyperlink>
        </w:p>
        <w:p w14:paraId="10DEAE97"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93" w:history="1">
            <w:r w:rsidR="00FB7689">
              <w:rPr>
                <w:rStyle w:val="Lienhypertexte"/>
                <w:rFonts w:ascii="Times New Roman" w:hAnsi="Times New Roman" w:cs="Times New Roman"/>
                <w:sz w:val="24"/>
                <w:lang w:val="fr-FR"/>
              </w:rPr>
              <w:t>1.2.4.2.2.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i/>
                <w:iCs/>
                <w:sz w:val="24"/>
                <w:lang w:val="fr-FR"/>
              </w:rPr>
              <w:t>Pseudomonas aeruginosa</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_Toc201260093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19</w:t>
            </w:r>
            <w:r w:rsidR="00FB7689">
              <w:rPr>
                <w:rFonts w:ascii="Times New Roman" w:hAnsi="Times New Roman" w:cs="Times New Roman"/>
                <w:sz w:val="24"/>
              </w:rPr>
              <w:fldChar w:fldCharType="end"/>
            </w:r>
          </w:hyperlink>
        </w:p>
        <w:p w14:paraId="49DC8589"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094" w:history="1">
            <w:r w:rsidR="00FB7689">
              <w:rPr>
                <w:rStyle w:val="Lienhypertexte"/>
                <w:rFonts w:ascii="Times New Roman" w:hAnsi="Times New Roman" w:cs="Times New Roman"/>
                <w:sz w:val="24"/>
                <w:lang w:val="fr-FR" w:eastAsia="zh-CN"/>
              </w:rPr>
              <w:t>1.2.4.3.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rPr>
              <w:t>Les Cocci Gram positif</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_Toc201260094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19</w:t>
            </w:r>
            <w:r w:rsidR="00FB7689">
              <w:rPr>
                <w:rFonts w:ascii="Times New Roman" w:hAnsi="Times New Roman" w:cs="Times New Roman"/>
                <w:sz w:val="24"/>
              </w:rPr>
              <w:fldChar w:fldCharType="end"/>
            </w:r>
          </w:hyperlink>
        </w:p>
        <w:p w14:paraId="2BFBB8D4"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095" w:history="1">
            <w:r w:rsidR="00FB7689">
              <w:rPr>
                <w:rStyle w:val="Lienhypertexte"/>
                <w:rFonts w:ascii="Times New Roman" w:hAnsi="Times New Roman" w:cs="Times New Roman"/>
                <w:sz w:val="24"/>
                <w:lang w:val="fr-FR"/>
              </w:rPr>
              <w:t>1.2.4.3.1.</w:t>
            </w:r>
            <w:r w:rsidR="00FB7689">
              <w:rPr>
                <w:rFonts w:ascii="Times New Roman" w:eastAsiaTheme="minorEastAsia" w:hAnsi="Times New Roman" w:cs="Times New Roman"/>
                <w:i/>
                <w:iCs/>
                <w:kern w:val="2"/>
                <w:sz w:val="24"/>
                <w:lang w:val="fr-FR" w:eastAsia="zh-CN"/>
                <w14:ligatures w14:val="standardContextual"/>
              </w:rPr>
              <w:tab/>
            </w:r>
            <w:r w:rsidR="00FB7689">
              <w:rPr>
                <w:rStyle w:val="Lienhypertexte"/>
                <w:rFonts w:ascii="Times New Roman" w:hAnsi="Times New Roman" w:cs="Times New Roman"/>
                <w:i/>
                <w:iCs/>
                <w:sz w:val="24"/>
                <w:lang w:val="fr-FR" w:bidi="ar"/>
              </w:rPr>
              <w:t>Staphylococcus aureus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_Toc201260095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19</w:t>
            </w:r>
            <w:r w:rsidR="00FB7689">
              <w:rPr>
                <w:rFonts w:ascii="Times New Roman" w:hAnsi="Times New Roman" w:cs="Times New Roman"/>
                <w:sz w:val="24"/>
              </w:rPr>
              <w:fldChar w:fldCharType="end"/>
            </w:r>
          </w:hyperlink>
        </w:p>
        <w:p w14:paraId="72EE719B"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107" w:history="1">
            <w:r w:rsidR="00FB7689">
              <w:rPr>
                <w:rStyle w:val="Lienhypertexte"/>
                <w:rFonts w:ascii="Times New Roman" w:hAnsi="Times New Roman" w:cs="Times New Roman"/>
                <w:sz w:val="24"/>
                <w:lang w:val="fr-FR" w:bidi="ar"/>
              </w:rPr>
              <w:t>1.2.4.3.2.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i/>
                <w:iCs/>
                <w:sz w:val="24"/>
                <w:lang w:val="fr-FR" w:bidi="ar"/>
              </w:rPr>
              <w:t>Streptococcus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_Toc201260107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20</w:t>
            </w:r>
            <w:r w:rsidR="00FB7689">
              <w:rPr>
                <w:rFonts w:ascii="Times New Roman" w:hAnsi="Times New Roman" w:cs="Times New Roman"/>
                <w:sz w:val="24"/>
              </w:rPr>
              <w:fldChar w:fldCharType="end"/>
            </w:r>
          </w:hyperlink>
        </w:p>
        <w:p w14:paraId="40894A49" w14:textId="77777777" w:rsidR="00B611D1" w:rsidRDefault="00CD2B93">
          <w:pPr>
            <w:pStyle w:val="TM2"/>
            <w:tabs>
              <w:tab w:val="left" w:pos="960"/>
              <w:tab w:val="right" w:leader="dot" w:pos="9810"/>
            </w:tabs>
            <w:rPr>
              <w:rFonts w:ascii="Times New Roman" w:eastAsiaTheme="minorEastAsia" w:hAnsi="Times New Roman" w:cs="Times New Roman"/>
              <w:b w:val="0"/>
              <w:bCs w:val="0"/>
              <w:kern w:val="2"/>
              <w:sz w:val="24"/>
              <w:szCs w:val="24"/>
              <w:lang w:val="fr-FR" w:eastAsia="zh-CN"/>
              <w14:ligatures w14:val="standardContextual"/>
            </w:rPr>
          </w:pPr>
          <w:hyperlink w:anchor="_Toc201260108" w:history="1">
            <w:r w:rsidR="00FB7689">
              <w:rPr>
                <w:rStyle w:val="Lienhypertexte"/>
                <w:rFonts w:ascii="Times New Roman" w:eastAsia="TimesNewRomanPS-BoldMT" w:hAnsi="Times New Roman" w:cs="Times New Roman"/>
                <w:b w:val="0"/>
                <w:bCs w:val="0"/>
                <w:sz w:val="24"/>
                <w:szCs w:val="24"/>
                <w:lang w:val="fr-FR" w:eastAsia="zh-CN" w:bidi="ar"/>
              </w:rPr>
              <w:t>1.3.</w:t>
            </w:r>
            <w:r w:rsidR="00FB7689">
              <w:rPr>
                <w:rFonts w:ascii="Times New Roman" w:eastAsiaTheme="minorEastAsia" w:hAnsi="Times New Roman" w:cs="Times New Roman"/>
                <w:b w:val="0"/>
                <w:bCs w:val="0"/>
                <w:kern w:val="2"/>
                <w:sz w:val="24"/>
                <w:szCs w:val="24"/>
                <w:lang w:val="fr-FR" w:eastAsia="zh-CN"/>
                <w14:ligatures w14:val="standardContextual"/>
              </w:rPr>
              <w:tab/>
            </w:r>
            <w:r w:rsidR="00FB7689">
              <w:rPr>
                <w:rStyle w:val="Lienhypertexte"/>
                <w:rFonts w:ascii="Times New Roman" w:eastAsia="TimesNewRomanPS-BoldMT" w:hAnsi="Times New Roman" w:cs="Times New Roman"/>
                <w:b w:val="0"/>
                <w:bCs w:val="0"/>
                <w:sz w:val="24"/>
                <w:szCs w:val="24"/>
                <w:lang w:val="fr-FR" w:eastAsia="zh-CN" w:bidi="ar"/>
              </w:rPr>
              <w:t>Résistance aux Antibiotiques dans les Environnements Hospitaliers</w:t>
            </w:r>
            <w:r w:rsidR="00FB7689">
              <w:rPr>
                <w:rFonts w:ascii="Times New Roman" w:hAnsi="Times New Roman" w:cs="Times New Roman"/>
                <w:b w:val="0"/>
                <w:bCs w:val="0"/>
                <w:sz w:val="24"/>
                <w:szCs w:val="24"/>
              </w:rPr>
              <w:tab/>
            </w:r>
            <w:r w:rsidR="00FB7689">
              <w:rPr>
                <w:rFonts w:ascii="Times New Roman" w:hAnsi="Times New Roman" w:cs="Times New Roman"/>
                <w:b w:val="0"/>
                <w:bCs w:val="0"/>
                <w:sz w:val="24"/>
                <w:szCs w:val="24"/>
              </w:rPr>
              <w:fldChar w:fldCharType="begin"/>
            </w:r>
            <w:r w:rsidR="00FB7689">
              <w:rPr>
                <w:rFonts w:ascii="Times New Roman" w:hAnsi="Times New Roman" w:cs="Times New Roman"/>
                <w:b w:val="0"/>
                <w:bCs w:val="0"/>
                <w:sz w:val="24"/>
                <w:szCs w:val="24"/>
              </w:rPr>
              <w:instrText xml:space="preserve"> PAGEREF _Toc201260108 \h </w:instrText>
            </w:r>
            <w:r w:rsidR="00FB7689">
              <w:rPr>
                <w:rFonts w:ascii="Times New Roman" w:hAnsi="Times New Roman" w:cs="Times New Roman"/>
                <w:b w:val="0"/>
                <w:bCs w:val="0"/>
                <w:sz w:val="24"/>
                <w:szCs w:val="24"/>
              </w:rPr>
            </w:r>
            <w:r w:rsidR="00FB7689">
              <w:rPr>
                <w:rFonts w:ascii="Times New Roman" w:hAnsi="Times New Roman" w:cs="Times New Roman"/>
                <w:b w:val="0"/>
                <w:bCs w:val="0"/>
                <w:sz w:val="24"/>
                <w:szCs w:val="24"/>
              </w:rPr>
              <w:fldChar w:fldCharType="separate"/>
            </w:r>
            <w:r w:rsidR="00FB7689">
              <w:rPr>
                <w:rFonts w:ascii="Times New Roman" w:hAnsi="Times New Roman" w:cs="Times New Roman"/>
                <w:b w:val="0"/>
                <w:bCs w:val="0"/>
                <w:sz w:val="24"/>
                <w:szCs w:val="24"/>
              </w:rPr>
              <w:t>23</w:t>
            </w:r>
            <w:r w:rsidR="00FB7689">
              <w:rPr>
                <w:rFonts w:ascii="Times New Roman" w:hAnsi="Times New Roman" w:cs="Times New Roman"/>
                <w:b w:val="0"/>
                <w:bCs w:val="0"/>
                <w:sz w:val="24"/>
                <w:szCs w:val="24"/>
              </w:rPr>
              <w:fldChar w:fldCharType="end"/>
            </w:r>
          </w:hyperlink>
        </w:p>
        <w:p w14:paraId="6DF39979"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09" w:history="1">
            <w:r w:rsidR="00FB7689">
              <w:rPr>
                <w:rStyle w:val="Lienhypertexte"/>
                <w:rFonts w:ascii="Times New Roman" w:hAnsi="Times New Roman" w:cs="Times New Roman"/>
                <w:sz w:val="24"/>
              </w:rPr>
              <w:t>1.3.1.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TimesNewRomanPS-BoldMT" w:hAnsi="Times New Roman" w:cs="Times New Roman"/>
                <w:sz w:val="24"/>
                <w:lang w:val="fr-FR" w:eastAsia="zh-CN" w:bidi="ar"/>
              </w:rPr>
              <w:t>L'antibiorésistance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_Toc201260109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23</w:t>
            </w:r>
            <w:r w:rsidR="00FB7689">
              <w:rPr>
                <w:rFonts w:ascii="Times New Roman" w:hAnsi="Times New Roman" w:cs="Times New Roman"/>
                <w:sz w:val="24"/>
              </w:rPr>
              <w:fldChar w:fldCharType="end"/>
            </w:r>
          </w:hyperlink>
        </w:p>
        <w:p w14:paraId="3553B7AF"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10" w:history="1">
            <w:r w:rsidR="00FB7689">
              <w:rPr>
                <w:rStyle w:val="Lienhypertexte"/>
                <w:rFonts w:ascii="Times New Roman" w:hAnsi="Times New Roman" w:cs="Times New Roman"/>
                <w:sz w:val="24"/>
                <w:lang w:val="fr-FR" w:eastAsia="zh-CN" w:bidi="ar"/>
              </w:rPr>
              <w:t>1.3.1.1.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bidi="ar"/>
              </w:rPr>
              <w:t>Définition de l'antibiorésistance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_Toc201260110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23</w:t>
            </w:r>
            <w:r w:rsidR="00FB7689">
              <w:rPr>
                <w:rFonts w:ascii="Times New Roman" w:hAnsi="Times New Roman" w:cs="Times New Roman"/>
                <w:sz w:val="24"/>
              </w:rPr>
              <w:fldChar w:fldCharType="end"/>
            </w:r>
          </w:hyperlink>
        </w:p>
        <w:p w14:paraId="67BA90CF"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11" w:history="1">
            <w:r w:rsidR="00FB7689">
              <w:rPr>
                <w:rStyle w:val="Lienhypertexte"/>
                <w:rFonts w:ascii="Times New Roman" w:hAnsi="Times New Roman" w:cs="Times New Roman"/>
                <w:sz w:val="24"/>
              </w:rPr>
              <w:t>1.3.1.2.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bidi="ar"/>
              </w:rPr>
              <w:t>Les causes de l’antibiorésistance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_Toc201260111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23</w:t>
            </w:r>
            <w:r w:rsidR="00FB7689">
              <w:rPr>
                <w:rFonts w:ascii="Times New Roman" w:hAnsi="Times New Roman" w:cs="Times New Roman"/>
                <w:sz w:val="24"/>
              </w:rPr>
              <w:fldChar w:fldCharType="end"/>
            </w:r>
          </w:hyperlink>
        </w:p>
        <w:p w14:paraId="7B52460A"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19" w:history="1">
            <w:r w:rsidR="00FB7689">
              <w:rPr>
                <w:rStyle w:val="Lienhypertexte"/>
                <w:rFonts w:ascii="Times New Roman" w:hAnsi="Times New Roman" w:cs="Times New Roman"/>
                <w:sz w:val="24"/>
                <w:lang w:val="fr-FR"/>
              </w:rPr>
              <w:t>1.3.1.2.1.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Utilisation inappropriée et excessive des antibiotiques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_Toc201260119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23</w:t>
            </w:r>
            <w:r w:rsidR="00FB7689">
              <w:rPr>
                <w:rFonts w:ascii="Times New Roman" w:hAnsi="Times New Roman" w:cs="Times New Roman"/>
                <w:sz w:val="24"/>
              </w:rPr>
              <w:fldChar w:fldCharType="end"/>
            </w:r>
          </w:hyperlink>
        </w:p>
        <w:p w14:paraId="1E55DC9B"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20" w:history="1">
            <w:r w:rsidR="00FB7689">
              <w:rPr>
                <w:rStyle w:val="Lienhypertexte"/>
                <w:rFonts w:ascii="Times New Roman" w:hAnsi="Times New Roman" w:cs="Times New Roman"/>
                <w:sz w:val="24"/>
                <w:lang w:val="fr-FR"/>
              </w:rPr>
              <w:t>1.3.1.2.2.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bidi="ar"/>
              </w:rPr>
              <w:t>Conditions socio-économique défavorables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_Toc201260120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23</w:t>
            </w:r>
            <w:r w:rsidR="00FB7689">
              <w:rPr>
                <w:rFonts w:ascii="Times New Roman" w:hAnsi="Times New Roman" w:cs="Times New Roman"/>
                <w:sz w:val="24"/>
              </w:rPr>
              <w:fldChar w:fldCharType="end"/>
            </w:r>
          </w:hyperlink>
        </w:p>
        <w:p w14:paraId="5EFCDA3B"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21" w:history="1">
            <w:r w:rsidR="00FB7689">
              <w:rPr>
                <w:rStyle w:val="Lienhypertexte"/>
                <w:rFonts w:ascii="Times New Roman" w:hAnsi="Times New Roman" w:cs="Times New Roman"/>
                <w:sz w:val="24"/>
                <w:lang w:val="fr-FR"/>
              </w:rPr>
              <w:t>1.3.1.2.3.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bidi="ar"/>
              </w:rPr>
              <w:t>Utilisation d'antibiotiques dans l'agriculture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_Toc201260121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23</w:t>
            </w:r>
            <w:r w:rsidR="00FB7689">
              <w:rPr>
                <w:rFonts w:ascii="Times New Roman" w:hAnsi="Times New Roman" w:cs="Times New Roman"/>
                <w:sz w:val="24"/>
              </w:rPr>
              <w:fldChar w:fldCharType="end"/>
            </w:r>
          </w:hyperlink>
        </w:p>
        <w:p w14:paraId="254D04EB"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22" w:history="1">
            <w:r w:rsidR="00FB7689">
              <w:rPr>
                <w:rStyle w:val="Lienhypertexte"/>
                <w:rFonts w:ascii="Times New Roman" w:hAnsi="Times New Roman" w:cs="Times New Roman"/>
                <w:sz w:val="24"/>
                <w:lang w:val="fr-FR"/>
              </w:rPr>
              <w:t>1.3.1.2.4.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Transmission horizontale de gènes de résistance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_Toc201260122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24</w:t>
            </w:r>
            <w:r w:rsidR="00FB7689">
              <w:rPr>
                <w:rFonts w:ascii="Times New Roman" w:hAnsi="Times New Roman" w:cs="Times New Roman"/>
                <w:sz w:val="24"/>
              </w:rPr>
              <w:fldChar w:fldCharType="end"/>
            </w:r>
          </w:hyperlink>
        </w:p>
        <w:p w14:paraId="16C26C09"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23" w:history="1">
            <w:r w:rsidR="00FB7689">
              <w:rPr>
                <w:rStyle w:val="Lienhypertexte"/>
                <w:rFonts w:ascii="Times New Roman" w:hAnsi="Times New Roman" w:cs="Times New Roman"/>
                <w:sz w:val="24"/>
                <w:lang w:val="fr-FR"/>
              </w:rPr>
              <w:t>1.3.1.2.5.</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Manque d'accès à des antibiotiques de qualité</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_Toc201260123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24</w:t>
            </w:r>
            <w:r w:rsidR="00FB7689">
              <w:rPr>
                <w:rFonts w:ascii="Times New Roman" w:hAnsi="Times New Roman" w:cs="Times New Roman"/>
                <w:sz w:val="24"/>
              </w:rPr>
              <w:fldChar w:fldCharType="end"/>
            </w:r>
          </w:hyperlink>
        </w:p>
        <w:p w14:paraId="3BB765BE"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31" w:history="1">
            <w:r w:rsidR="00FB7689">
              <w:rPr>
                <w:rStyle w:val="Lienhypertexte"/>
                <w:rFonts w:ascii="Times New Roman" w:eastAsia="Calibri" w:hAnsi="Times New Roman" w:cs="Times New Roman"/>
                <w:sz w:val="24"/>
                <w:lang w:val="fr-FR" w:bidi="ar"/>
              </w:rPr>
              <w:t>1.3.1.3.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bidi="ar"/>
              </w:rPr>
              <w:t>Les conséquences de l’antibiorésistance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_Toc201260131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24</w:t>
            </w:r>
            <w:r w:rsidR="00FB7689">
              <w:rPr>
                <w:rFonts w:ascii="Times New Roman" w:hAnsi="Times New Roman" w:cs="Times New Roman"/>
                <w:sz w:val="24"/>
              </w:rPr>
              <w:fldChar w:fldCharType="end"/>
            </w:r>
          </w:hyperlink>
        </w:p>
        <w:p w14:paraId="05C70703" w14:textId="77777777" w:rsidR="00B611D1" w:rsidRDefault="00CD2B93">
          <w:pPr>
            <w:pStyle w:val="TM4"/>
            <w:tabs>
              <w:tab w:val="left" w:pos="1920"/>
              <w:tab w:val="right" w:leader="dot" w:pos="9810"/>
            </w:tabs>
            <w:rPr>
              <w:rFonts w:ascii="Times New Roman" w:eastAsiaTheme="minorEastAsia" w:hAnsi="Times New Roman" w:cs="Times New Roman"/>
              <w:kern w:val="2"/>
              <w:sz w:val="24"/>
              <w:lang w:val="fr-FR" w:eastAsia="zh-CN"/>
              <w14:ligatures w14:val="standardContextual"/>
            </w:rPr>
          </w:pPr>
          <w:hyperlink w:anchor="_Toc201260133" w:history="1">
            <w:r w:rsidR="00FB7689">
              <w:rPr>
                <w:rStyle w:val="Lienhypertexte"/>
                <w:rFonts w:ascii="Times New Roman" w:eastAsia="Calibri" w:hAnsi="Times New Roman" w:cs="Times New Roman"/>
                <w:sz w:val="24"/>
                <w:lang w:val="fr-FR" w:bidi="ar"/>
              </w:rPr>
              <w:t>1.3.1.3.1.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 xml:space="preserve">Allongement de la durée </w:t>
            </w:r>
            <w:r w:rsidR="00FB7689">
              <w:rPr>
                <w:rStyle w:val="Lienhypertexte"/>
                <w:rFonts w:ascii="Times New Roman" w:hAnsi="Times New Roman" w:cs="Times New Roman"/>
                <w:sz w:val="24"/>
                <w:lang w:val="fr-FR" w:bidi="ar"/>
              </w:rPr>
              <w:t>d'Hospitalisation</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_Toc201260133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24</w:t>
            </w:r>
            <w:r w:rsidR="00FB7689">
              <w:rPr>
                <w:rFonts w:ascii="Times New Roman" w:hAnsi="Times New Roman" w:cs="Times New Roman"/>
                <w:sz w:val="24"/>
              </w:rPr>
              <w:fldChar w:fldCharType="end"/>
            </w:r>
          </w:hyperlink>
        </w:p>
        <w:p w14:paraId="3F64C187"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34" w:history="1">
            <w:r w:rsidR="00FB7689">
              <w:rPr>
                <w:rStyle w:val="Lienhypertexte"/>
                <w:rFonts w:ascii="Times New Roman" w:hAnsi="Times New Roman" w:cs="Times New Roman"/>
                <w:sz w:val="24"/>
                <w:lang w:val="fr-FR"/>
              </w:rPr>
              <w:t>1.3.1.3.3.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Coûts économiques et sanitaires plus élevés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_Toc201260134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24</w:t>
            </w:r>
            <w:r w:rsidR="00FB7689">
              <w:rPr>
                <w:rFonts w:ascii="Times New Roman" w:hAnsi="Times New Roman" w:cs="Times New Roman"/>
                <w:sz w:val="24"/>
              </w:rPr>
              <w:fldChar w:fldCharType="end"/>
            </w:r>
          </w:hyperlink>
        </w:p>
        <w:p w14:paraId="17611DCE"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35" w:history="1">
            <w:r w:rsidR="00FB7689">
              <w:rPr>
                <w:rStyle w:val="Lienhypertexte"/>
                <w:rFonts w:ascii="Times New Roman" w:hAnsi="Times New Roman" w:cs="Times New Roman"/>
                <w:sz w:val="24"/>
                <w:lang w:val="fr-FR" w:bidi="ar"/>
              </w:rPr>
              <w:t>1.3.1.3.4.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bidi="ar"/>
              </w:rPr>
              <w:t>Échec des traitements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_Toc201260135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25</w:t>
            </w:r>
            <w:r w:rsidR="00FB7689">
              <w:rPr>
                <w:rFonts w:ascii="Times New Roman" w:hAnsi="Times New Roman" w:cs="Times New Roman"/>
                <w:sz w:val="24"/>
              </w:rPr>
              <w:fldChar w:fldCharType="end"/>
            </w:r>
          </w:hyperlink>
        </w:p>
        <w:p w14:paraId="03C11F70"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36" w:history="1">
            <w:r w:rsidR="00FB7689">
              <w:rPr>
                <w:rStyle w:val="Lienhypertexte"/>
                <w:rFonts w:ascii="Times New Roman" w:hAnsi="Times New Roman" w:cs="Times New Roman"/>
                <w:sz w:val="24"/>
                <w:lang w:val="fr-FR"/>
              </w:rPr>
              <w:t>1.3.1.3.5.</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Impact sur les actes médicaux</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_Toc201260136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25</w:t>
            </w:r>
            <w:r w:rsidR="00FB7689">
              <w:rPr>
                <w:rFonts w:ascii="Times New Roman" w:hAnsi="Times New Roman" w:cs="Times New Roman"/>
                <w:sz w:val="24"/>
              </w:rPr>
              <w:fldChar w:fldCharType="end"/>
            </w:r>
          </w:hyperlink>
        </w:p>
        <w:p w14:paraId="22DFB6A0"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42" w:history="1">
            <w:r w:rsidR="00FB7689">
              <w:rPr>
                <w:rStyle w:val="Lienhypertexte"/>
                <w:rFonts w:ascii="Times New Roman" w:eastAsia="TimesNewRomanPS-BoldMT" w:hAnsi="Times New Roman" w:cs="Times New Roman"/>
                <w:sz w:val="24"/>
                <w:lang w:val="fr-FR"/>
              </w:rPr>
              <w:t>1.3.2.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TimesNewRomanPS-BoldMT" w:hAnsi="Times New Roman" w:cs="Times New Roman"/>
                <w:sz w:val="24"/>
                <w:lang w:val="fr-FR"/>
              </w:rPr>
              <w:t>Les types des bactérie multirésistante (BMR)</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_Toc201260142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25</w:t>
            </w:r>
            <w:r w:rsidR="00FB7689">
              <w:rPr>
                <w:rFonts w:ascii="Times New Roman" w:hAnsi="Times New Roman" w:cs="Times New Roman"/>
                <w:sz w:val="24"/>
              </w:rPr>
              <w:fldChar w:fldCharType="end"/>
            </w:r>
          </w:hyperlink>
        </w:p>
        <w:p w14:paraId="7B6DCEAB"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43" w:history="1">
            <w:r w:rsidR="00FB7689">
              <w:rPr>
                <w:rStyle w:val="Lienhypertexte"/>
                <w:rFonts w:ascii="Times New Roman" w:hAnsi="Times New Roman" w:cs="Times New Roman"/>
                <w:sz w:val="24"/>
                <w:lang w:val="fr-FR"/>
              </w:rPr>
              <w:t>1.3.2.1.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Georgia" w:hAnsi="Times New Roman" w:cs="Times New Roman"/>
                <w:i/>
                <w:iCs/>
                <w:sz w:val="24"/>
                <w:lang w:val="fr-FR"/>
              </w:rPr>
              <w:t>Staphylococcus aureus</w:t>
            </w:r>
            <w:r w:rsidR="00FB7689">
              <w:rPr>
                <w:rStyle w:val="Lienhypertexte"/>
                <w:rFonts w:ascii="Times New Roman" w:eastAsia="Georgia" w:hAnsi="Times New Roman" w:cs="Times New Roman"/>
                <w:sz w:val="24"/>
                <w:lang w:val="fr-FR"/>
              </w:rPr>
              <w:t xml:space="preserve"> résistant </w:t>
            </w:r>
            <w:r w:rsidR="00FB7689">
              <w:rPr>
                <w:rStyle w:val="Lienhypertexte"/>
                <w:rFonts w:ascii="Times New Roman" w:hAnsi="Times New Roman" w:cs="Times New Roman"/>
                <w:sz w:val="24"/>
                <w:lang w:val="fr-FR"/>
              </w:rPr>
              <w:t>à la méticilline (SARM)</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_Toc201260143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25</w:t>
            </w:r>
            <w:r w:rsidR="00FB7689">
              <w:rPr>
                <w:rFonts w:ascii="Times New Roman" w:hAnsi="Times New Roman" w:cs="Times New Roman"/>
                <w:sz w:val="24"/>
              </w:rPr>
              <w:fldChar w:fldCharType="end"/>
            </w:r>
          </w:hyperlink>
        </w:p>
        <w:p w14:paraId="3E9E7F51"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44" w:history="1">
            <w:r w:rsidR="00FB7689">
              <w:rPr>
                <w:rStyle w:val="Lienhypertexte"/>
                <w:rFonts w:ascii="Times New Roman" w:hAnsi="Times New Roman" w:cs="Times New Roman"/>
                <w:sz w:val="24"/>
                <w:lang w:val="fr-FR" w:eastAsia="zh-CN"/>
              </w:rPr>
              <w:t>1.3.2.2.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rPr>
              <w:t>Les entérobactéries productrices de bêta-lactamases à spectre étendu (BLSE)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_Toc201260144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26</w:t>
            </w:r>
            <w:r w:rsidR="00FB7689">
              <w:rPr>
                <w:rFonts w:ascii="Times New Roman" w:hAnsi="Times New Roman" w:cs="Times New Roman"/>
                <w:sz w:val="24"/>
              </w:rPr>
              <w:fldChar w:fldCharType="end"/>
            </w:r>
          </w:hyperlink>
        </w:p>
        <w:p w14:paraId="61871061"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53" w:history="1">
            <w:r w:rsidR="00FB7689">
              <w:rPr>
                <w:rStyle w:val="Lienhypertexte"/>
                <w:rFonts w:ascii="Times New Roman" w:hAnsi="Times New Roman" w:cs="Times New Roman"/>
                <w:sz w:val="24"/>
                <w:lang w:val="fr-FR"/>
              </w:rPr>
              <w:t>1.3.2.3.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Bactéries résistantes à la vancomycine (VRE et VRSA)</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_Toc201260153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26</w:t>
            </w:r>
            <w:r w:rsidR="00FB7689">
              <w:rPr>
                <w:rFonts w:ascii="Times New Roman" w:hAnsi="Times New Roman" w:cs="Times New Roman"/>
                <w:sz w:val="24"/>
              </w:rPr>
              <w:fldChar w:fldCharType="end"/>
            </w:r>
          </w:hyperlink>
        </w:p>
        <w:p w14:paraId="158C3DCC"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55" w:history="1">
            <w:r w:rsidR="00FB7689">
              <w:rPr>
                <w:rStyle w:val="Lienhypertexte"/>
                <w:rFonts w:ascii="Times New Roman" w:eastAsia="Calibri" w:hAnsi="Times New Roman" w:cs="Times New Roman"/>
                <w:sz w:val="24"/>
                <w:lang w:val="fr" w:eastAsia="zh-CN" w:bidi="ar"/>
              </w:rPr>
              <w:t>1.3.3.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Calibri" w:hAnsi="Times New Roman" w:cs="Times New Roman"/>
                <w:sz w:val="24"/>
                <w:lang w:val="fr" w:eastAsia="zh-CN" w:bidi="ar"/>
              </w:rPr>
              <w:t>Mécanismes de résistance émergents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_Toc201260155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27</w:t>
            </w:r>
            <w:r w:rsidR="00FB7689">
              <w:rPr>
                <w:rFonts w:ascii="Times New Roman" w:hAnsi="Times New Roman" w:cs="Times New Roman"/>
                <w:sz w:val="24"/>
              </w:rPr>
              <w:fldChar w:fldCharType="end"/>
            </w:r>
          </w:hyperlink>
        </w:p>
        <w:p w14:paraId="402B6572"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56" w:history="1">
            <w:r w:rsidR="00FB7689">
              <w:rPr>
                <w:rStyle w:val="Lienhypertexte"/>
                <w:rFonts w:ascii="Times New Roman" w:hAnsi="Times New Roman" w:cs="Times New Roman"/>
                <w:sz w:val="24"/>
                <w:lang w:val="fr-FR"/>
              </w:rPr>
              <w:t>1.3.3.1.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Inactivation enzymatique de l’antibiotique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_Toc201260156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27</w:t>
            </w:r>
            <w:r w:rsidR="00FB7689">
              <w:rPr>
                <w:rFonts w:ascii="Times New Roman" w:hAnsi="Times New Roman" w:cs="Times New Roman"/>
                <w:sz w:val="24"/>
              </w:rPr>
              <w:fldChar w:fldCharType="end"/>
            </w:r>
          </w:hyperlink>
        </w:p>
        <w:p w14:paraId="5BDF91F1"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57" w:history="1">
            <w:r w:rsidR="00FB7689">
              <w:rPr>
                <w:rStyle w:val="Lienhypertexte"/>
                <w:rFonts w:ascii="Times New Roman" w:hAnsi="Times New Roman" w:cs="Times New Roman"/>
                <w:sz w:val="24"/>
                <w:lang w:val="fr-FR" w:eastAsia="zh-CN" w:bidi="ar"/>
              </w:rPr>
              <w:t>1.3.3.2.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bidi="ar"/>
              </w:rPr>
              <w:t>Efflux actif de l’antibiotiques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_Toc201260157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28</w:t>
            </w:r>
            <w:r w:rsidR="00FB7689">
              <w:rPr>
                <w:rFonts w:ascii="Times New Roman" w:hAnsi="Times New Roman" w:cs="Times New Roman"/>
                <w:sz w:val="24"/>
              </w:rPr>
              <w:fldChar w:fldCharType="end"/>
            </w:r>
          </w:hyperlink>
        </w:p>
        <w:p w14:paraId="2AEEA7FD"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58" w:history="1">
            <w:r w:rsidR="00FB7689">
              <w:rPr>
                <w:rStyle w:val="Lienhypertexte"/>
                <w:rFonts w:ascii="Times New Roman" w:hAnsi="Times New Roman" w:cs="Times New Roman"/>
                <w:sz w:val="24"/>
                <w:lang w:val="fr-FR"/>
              </w:rPr>
              <w:t>A.</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Bactéries à Gram négatif</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_Toc201260158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28</w:t>
            </w:r>
            <w:r w:rsidR="00FB7689">
              <w:rPr>
                <w:rFonts w:ascii="Times New Roman" w:hAnsi="Times New Roman" w:cs="Times New Roman"/>
                <w:sz w:val="24"/>
              </w:rPr>
              <w:fldChar w:fldCharType="end"/>
            </w:r>
          </w:hyperlink>
        </w:p>
        <w:p w14:paraId="20AF5BCB"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59" w:history="1">
            <w:r w:rsidR="00FB7689">
              <w:rPr>
                <w:rStyle w:val="Lienhypertexte"/>
                <w:rFonts w:ascii="Times New Roman" w:hAnsi="Times New Roman" w:cs="Times New Roman"/>
                <w:sz w:val="24"/>
                <w:lang w:val="fr-FR"/>
              </w:rPr>
              <w:t>B.</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Bactéries à Gram positif</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_Toc201260159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28</w:t>
            </w:r>
            <w:r w:rsidR="00FB7689">
              <w:rPr>
                <w:rFonts w:ascii="Times New Roman" w:hAnsi="Times New Roman" w:cs="Times New Roman"/>
                <w:sz w:val="24"/>
              </w:rPr>
              <w:fldChar w:fldCharType="end"/>
            </w:r>
          </w:hyperlink>
        </w:p>
        <w:p w14:paraId="02614E25"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60" w:history="1">
            <w:r w:rsidR="00FB7689">
              <w:rPr>
                <w:rStyle w:val="Lienhypertexte"/>
                <w:rFonts w:ascii="Times New Roman" w:hAnsi="Times New Roman" w:cs="Times New Roman"/>
                <w:sz w:val="24"/>
                <w:lang w:val="fr-FR" w:bidi="ar"/>
              </w:rPr>
              <w:t>C.</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bidi="ar"/>
              </w:rPr>
              <w:t>Mycobactéries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_Toc201260160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28</w:t>
            </w:r>
            <w:r w:rsidR="00FB7689">
              <w:rPr>
                <w:rFonts w:ascii="Times New Roman" w:hAnsi="Times New Roman" w:cs="Times New Roman"/>
                <w:sz w:val="24"/>
              </w:rPr>
              <w:fldChar w:fldCharType="end"/>
            </w:r>
          </w:hyperlink>
        </w:p>
        <w:p w14:paraId="69FF9B49"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61" w:history="1">
            <w:r w:rsidR="00FB7689">
              <w:rPr>
                <w:rStyle w:val="Lienhypertexte"/>
                <w:rFonts w:ascii="Times New Roman" w:hAnsi="Times New Roman" w:cs="Times New Roman"/>
                <w:sz w:val="24"/>
                <w:lang w:val="fr-FR" w:eastAsia="zh-CN" w:bidi="ar"/>
              </w:rPr>
              <w:t>1.3.3.3.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bidi="ar"/>
              </w:rPr>
              <w:t>Modification de la Cible de l'Antibiotique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28</w:t>
            </w:r>
            <w:r w:rsidR="00FB7689">
              <w:rPr>
                <w:rFonts w:ascii="Times New Roman" w:hAnsi="Times New Roman" w:cs="Times New Roman"/>
                <w:sz w:val="24"/>
              </w:rPr>
              <w:fldChar w:fldCharType="end"/>
            </w:r>
          </w:hyperlink>
        </w:p>
        <w:p w14:paraId="0DF5220E"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62" w:history="1">
            <w:r w:rsidR="00FB7689">
              <w:rPr>
                <w:rStyle w:val="Lienhypertexte"/>
                <w:rFonts w:ascii="Times New Roman" w:hAnsi="Times New Roman" w:cs="Times New Roman"/>
                <w:sz w:val="24"/>
                <w:lang w:val="fr-FR"/>
              </w:rPr>
              <w:t>A.</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Modifications de la protéine de liaison à la pénicilline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28</w:t>
            </w:r>
            <w:r w:rsidR="00FB7689">
              <w:rPr>
                <w:rFonts w:ascii="Times New Roman" w:hAnsi="Times New Roman" w:cs="Times New Roman"/>
                <w:sz w:val="24"/>
              </w:rPr>
              <w:fldChar w:fldCharType="end"/>
            </w:r>
          </w:hyperlink>
        </w:p>
        <w:p w14:paraId="10283819"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63" w:history="1">
            <w:r w:rsidR="00FB7689">
              <w:rPr>
                <w:rStyle w:val="Lienhypertexte"/>
                <w:rFonts w:ascii="Times New Roman" w:hAnsi="Times New Roman" w:cs="Times New Roman"/>
                <w:sz w:val="24"/>
                <w:lang w:val="fr-FR"/>
              </w:rPr>
              <w:t>B.</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Modification de la cible ribosomale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29</w:t>
            </w:r>
            <w:r w:rsidR="00FB7689">
              <w:rPr>
                <w:rFonts w:ascii="Times New Roman" w:hAnsi="Times New Roman" w:cs="Times New Roman"/>
                <w:sz w:val="24"/>
              </w:rPr>
              <w:fldChar w:fldCharType="end"/>
            </w:r>
          </w:hyperlink>
        </w:p>
        <w:p w14:paraId="71FCD5B8"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64" w:history="1">
            <w:r w:rsidR="00FB7689">
              <w:rPr>
                <w:rStyle w:val="Lienhypertexte"/>
                <w:rFonts w:ascii="Times New Roman" w:hAnsi="Times New Roman" w:cs="Times New Roman"/>
                <w:sz w:val="24"/>
                <w:lang w:val="fr-FR"/>
              </w:rPr>
              <w:t>C.</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Altération de la synthèse des acides nucléiques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29</w:t>
            </w:r>
            <w:r w:rsidR="00FB7689">
              <w:rPr>
                <w:rFonts w:ascii="Times New Roman" w:hAnsi="Times New Roman" w:cs="Times New Roman"/>
                <w:sz w:val="24"/>
              </w:rPr>
              <w:fldChar w:fldCharType="end"/>
            </w:r>
          </w:hyperlink>
        </w:p>
        <w:p w14:paraId="0B9FEE5B"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65" w:history="1">
            <w:r w:rsidR="00FB7689">
              <w:rPr>
                <w:rStyle w:val="Lienhypertexte"/>
                <w:rFonts w:ascii="Times New Roman" w:hAnsi="Times New Roman" w:cs="Times New Roman"/>
                <w:sz w:val="24"/>
                <w:lang w:val="fr-FR"/>
              </w:rPr>
              <w:t>D.</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Altération de l'enzyme ARN polymérase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29</w:t>
            </w:r>
            <w:r w:rsidR="00FB7689">
              <w:rPr>
                <w:rFonts w:ascii="Times New Roman" w:hAnsi="Times New Roman" w:cs="Times New Roman"/>
                <w:sz w:val="24"/>
              </w:rPr>
              <w:fldChar w:fldCharType="end"/>
            </w:r>
          </w:hyperlink>
        </w:p>
        <w:p w14:paraId="1187CBF0"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66" w:history="1">
            <w:r w:rsidR="00FB7689">
              <w:rPr>
                <w:rStyle w:val="Lienhypertexte"/>
                <w:rFonts w:ascii="Times New Roman" w:eastAsia="Calibri" w:hAnsi="Times New Roman" w:cs="Times New Roman"/>
                <w:sz w:val="24"/>
                <w:lang w:val="fr-FR" w:eastAsia="zh-CN"/>
              </w:rPr>
              <w:t>1.3.4.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Calibri" w:hAnsi="Times New Roman" w:cs="Times New Roman"/>
                <w:sz w:val="24"/>
                <w:lang w:val="fr-FR" w:eastAsia="zh-CN"/>
              </w:rPr>
              <w:t>Lutte contre la résistance bactérienne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29</w:t>
            </w:r>
            <w:r w:rsidR="00FB7689">
              <w:rPr>
                <w:rFonts w:ascii="Times New Roman" w:hAnsi="Times New Roman" w:cs="Times New Roman"/>
                <w:sz w:val="24"/>
              </w:rPr>
              <w:fldChar w:fldCharType="end"/>
            </w:r>
          </w:hyperlink>
        </w:p>
        <w:p w14:paraId="21A7767A"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67" w:history="1">
            <w:r w:rsidR="00FB7689">
              <w:rPr>
                <w:rStyle w:val="Lienhypertexte"/>
                <w:rFonts w:ascii="Times New Roman" w:hAnsi="Times New Roman" w:cs="Times New Roman"/>
                <w:sz w:val="24"/>
                <w:lang w:val="fr-FR" w:eastAsia="zh-CN"/>
              </w:rPr>
              <w:t>1.3.4.1.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rPr>
              <w:t>Utilisation judicieuse des antibiotiques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29</w:t>
            </w:r>
            <w:r w:rsidR="00FB7689">
              <w:rPr>
                <w:rFonts w:ascii="Times New Roman" w:hAnsi="Times New Roman" w:cs="Times New Roman"/>
                <w:sz w:val="24"/>
              </w:rPr>
              <w:fldChar w:fldCharType="end"/>
            </w:r>
          </w:hyperlink>
        </w:p>
        <w:p w14:paraId="3078FA51"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68" w:history="1">
            <w:r w:rsidR="00FB7689">
              <w:rPr>
                <w:rStyle w:val="Lienhypertexte"/>
                <w:rFonts w:ascii="Times New Roman" w:hAnsi="Times New Roman" w:cs="Times New Roman"/>
                <w:sz w:val="24"/>
                <w:lang w:val="fr-FR" w:eastAsia="zh-CN"/>
              </w:rPr>
              <w:t>1.3.4.2.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rPr>
              <w:t>Formation du personnel de santé</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29</w:t>
            </w:r>
            <w:r w:rsidR="00FB7689">
              <w:rPr>
                <w:rFonts w:ascii="Times New Roman" w:hAnsi="Times New Roman" w:cs="Times New Roman"/>
                <w:sz w:val="24"/>
              </w:rPr>
              <w:fldChar w:fldCharType="end"/>
            </w:r>
          </w:hyperlink>
        </w:p>
        <w:p w14:paraId="2C27C0A8"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69" w:history="1">
            <w:r w:rsidR="00FB7689">
              <w:rPr>
                <w:rStyle w:val="Lienhypertexte"/>
                <w:rFonts w:ascii="Times New Roman" w:hAnsi="Times New Roman" w:cs="Times New Roman"/>
                <w:sz w:val="24"/>
                <w:lang w:val="fr-FR" w:eastAsia="zh-CN" w:bidi="ar"/>
              </w:rPr>
              <w:t>1.3.4.3.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bidi="ar"/>
              </w:rPr>
              <w:t>Surveillance et Détection</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_Toc201260169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30</w:t>
            </w:r>
            <w:r w:rsidR="00FB7689">
              <w:rPr>
                <w:rFonts w:ascii="Times New Roman" w:hAnsi="Times New Roman" w:cs="Times New Roman"/>
                <w:sz w:val="24"/>
              </w:rPr>
              <w:fldChar w:fldCharType="end"/>
            </w:r>
          </w:hyperlink>
        </w:p>
        <w:p w14:paraId="0C16AE99"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70" w:history="1">
            <w:r w:rsidR="00FB7689">
              <w:rPr>
                <w:rStyle w:val="Lienhypertexte"/>
                <w:rFonts w:ascii="Times New Roman" w:hAnsi="Times New Roman" w:cs="Times New Roman"/>
                <w:sz w:val="24"/>
                <w:lang w:val="fr-FR" w:eastAsia="zh-CN"/>
              </w:rPr>
              <w:t>1.3.4.4.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eastAsia="zh-CN"/>
              </w:rPr>
              <w:t>Renforcement de l’hygiène hospitalière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_Toc201260170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30</w:t>
            </w:r>
            <w:r w:rsidR="00FB7689">
              <w:rPr>
                <w:rFonts w:ascii="Times New Roman" w:hAnsi="Times New Roman" w:cs="Times New Roman"/>
                <w:sz w:val="24"/>
              </w:rPr>
              <w:fldChar w:fldCharType="end"/>
            </w:r>
          </w:hyperlink>
        </w:p>
        <w:p w14:paraId="5D34D495"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71" w:history="1">
            <w:r w:rsidR="00FB7689">
              <w:rPr>
                <w:rStyle w:val="Lienhypertexte"/>
                <w:rFonts w:ascii="Times New Roman" w:hAnsi="Times New Roman" w:cs="Times New Roman"/>
                <w:sz w:val="24"/>
                <w:lang w:val="fr-FR"/>
              </w:rPr>
              <w:t>A.</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Le lavage régulier des mains</w:t>
            </w:r>
            <w:r w:rsidR="00FB7689">
              <w:rPr>
                <w:rStyle w:val="Lienhypertexte"/>
                <w:rFonts w:ascii="Times New Roman" w:eastAsia="Calibri" w:hAnsi="Times New Roman" w:cs="Times New Roman"/>
                <w:sz w:val="24"/>
                <w:lang w:val="fr" w:bidi="ar"/>
              </w:rPr>
              <w: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_Toc201260171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30</w:t>
            </w:r>
            <w:r w:rsidR="00FB7689">
              <w:rPr>
                <w:rFonts w:ascii="Times New Roman" w:hAnsi="Times New Roman" w:cs="Times New Roman"/>
                <w:sz w:val="24"/>
              </w:rPr>
              <w:fldChar w:fldCharType="end"/>
            </w:r>
          </w:hyperlink>
        </w:p>
        <w:p w14:paraId="4ECC5063"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72" w:history="1">
            <w:r w:rsidR="00FB7689">
              <w:rPr>
                <w:rStyle w:val="Lienhypertexte"/>
                <w:rFonts w:ascii="Times New Roman" w:hAnsi="Times New Roman" w:cs="Times New Roman"/>
                <w:sz w:val="24"/>
                <w:lang w:val="fr-FR"/>
              </w:rPr>
              <w:t>B.</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La désinfection fréquente des surfaces et du matériel médical</w:t>
            </w:r>
            <w:r w:rsidR="00FB7689">
              <w:rPr>
                <w:rStyle w:val="Lienhypertexte"/>
                <w:rFonts w:ascii="Times New Roman" w:eastAsia="Calibri" w:hAnsi="Times New Roman" w:cs="Times New Roman"/>
                <w:sz w:val="24"/>
                <w:lang w:val="fr-FR" w:bidi="ar"/>
              </w:rPr>
              <w: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_Toc201260172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30</w:t>
            </w:r>
            <w:r w:rsidR="00FB7689">
              <w:rPr>
                <w:rFonts w:ascii="Times New Roman" w:hAnsi="Times New Roman" w:cs="Times New Roman"/>
                <w:sz w:val="24"/>
              </w:rPr>
              <w:fldChar w:fldCharType="end"/>
            </w:r>
          </w:hyperlink>
        </w:p>
        <w:p w14:paraId="0F34D443" w14:textId="77777777" w:rsidR="00B611D1" w:rsidRDefault="00CD2B93">
          <w:pPr>
            <w:pStyle w:val="TM5"/>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73" w:history="1">
            <w:r w:rsidR="00FB7689">
              <w:rPr>
                <w:rStyle w:val="Lienhypertexte"/>
                <w:rFonts w:ascii="Times New Roman" w:hAnsi="Times New Roman" w:cs="Times New Roman"/>
                <w:sz w:val="24"/>
                <w:lang w:val="fr-FR"/>
              </w:rPr>
              <w:t>C.</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L’isolement des patients infectés</w:t>
            </w:r>
            <w:r w:rsidR="00FB7689">
              <w:rPr>
                <w:rStyle w:val="Lienhypertexte"/>
                <w:rFonts w:ascii="Times New Roman" w:eastAsia="Calibri" w:hAnsi="Times New Roman" w:cs="Times New Roman"/>
                <w:sz w:val="24"/>
                <w:lang w:val="fr-FR" w:bidi="ar"/>
              </w:rPr>
              <w: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_Toc201260173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30</w:t>
            </w:r>
            <w:r w:rsidR="00FB7689">
              <w:rPr>
                <w:rFonts w:ascii="Times New Roman" w:hAnsi="Times New Roman" w:cs="Times New Roman"/>
                <w:sz w:val="24"/>
              </w:rPr>
              <w:fldChar w:fldCharType="end"/>
            </w:r>
          </w:hyperlink>
        </w:p>
        <w:p w14:paraId="78BFD033" w14:textId="77777777" w:rsidR="00B611D1" w:rsidRDefault="00CD2B93">
          <w:pPr>
            <w:pStyle w:val="TM2"/>
            <w:tabs>
              <w:tab w:val="right" w:leader="dot" w:pos="9810"/>
            </w:tabs>
            <w:rPr>
              <w:rFonts w:ascii="Times New Roman" w:eastAsiaTheme="minorEastAsia" w:hAnsi="Times New Roman" w:cs="Times New Roman"/>
              <w:b w:val="0"/>
              <w:bCs w:val="0"/>
              <w:i/>
              <w:iCs/>
              <w:kern w:val="2"/>
              <w:szCs w:val="24"/>
              <w:lang w:val="fr-FR" w:eastAsia="zh-CN"/>
              <w14:ligatures w14:val="standardContextual"/>
            </w:rPr>
          </w:pPr>
          <w:hyperlink w:anchor="_Toc201260174" w:history="1">
            <w:r w:rsidR="00FB7689">
              <w:rPr>
                <w:rStyle w:val="Lienhypertexte"/>
                <w:rFonts w:ascii="Times New Roman" w:hAnsi="Times New Roman" w:cs="Times New Roman"/>
                <w:b w:val="0"/>
                <w:bCs w:val="0"/>
                <w:sz w:val="24"/>
                <w:szCs w:val="24"/>
                <w:lang w:val="fr-FR"/>
              </w:rPr>
              <w:t>Partie</w:t>
            </w:r>
            <w:r w:rsidR="00FB7689">
              <w:rPr>
                <w:rStyle w:val="Lienhypertexte"/>
                <w:rFonts w:ascii="Times New Roman" w:hAnsi="Times New Roman" w:cs="Times New Roman"/>
                <w:b w:val="0"/>
                <w:bCs w:val="0"/>
                <w:spacing w:val="-1"/>
                <w:sz w:val="24"/>
                <w:szCs w:val="24"/>
                <w:lang w:val="fr-FR"/>
              </w:rPr>
              <w:t xml:space="preserve"> </w:t>
            </w:r>
            <w:r w:rsidR="00FB7689">
              <w:rPr>
                <w:rStyle w:val="Lienhypertexte"/>
                <w:rFonts w:ascii="Times New Roman" w:hAnsi="Times New Roman" w:cs="Times New Roman"/>
                <w:b w:val="0"/>
                <w:bCs w:val="0"/>
                <w:sz w:val="24"/>
                <w:szCs w:val="24"/>
                <w:lang w:val="fr-FR"/>
              </w:rPr>
              <w:t>2.</w:t>
            </w:r>
            <w:r w:rsidR="00FB7689">
              <w:rPr>
                <w:rStyle w:val="Lienhypertexte"/>
                <w:rFonts w:ascii="Times New Roman" w:hAnsi="Times New Roman" w:cs="Times New Roman"/>
                <w:b w:val="0"/>
                <w:bCs w:val="0"/>
                <w:spacing w:val="-1"/>
                <w:sz w:val="24"/>
                <w:szCs w:val="24"/>
                <w:lang w:val="fr-FR"/>
              </w:rPr>
              <w:t xml:space="preserve"> </w:t>
            </w:r>
            <w:r w:rsidR="00FB7689">
              <w:rPr>
                <w:rStyle w:val="Lienhypertexte"/>
                <w:rFonts w:ascii="Times New Roman" w:hAnsi="Times New Roman" w:cs="Times New Roman"/>
                <w:b w:val="0"/>
                <w:bCs w:val="0"/>
                <w:sz w:val="24"/>
                <w:szCs w:val="24"/>
                <w:lang w:val="fr-FR"/>
              </w:rPr>
              <w:t>Étude</w:t>
            </w:r>
            <w:r w:rsidR="00FB7689">
              <w:rPr>
                <w:rStyle w:val="Lienhypertexte"/>
                <w:rFonts w:ascii="Times New Roman" w:hAnsi="Times New Roman" w:cs="Times New Roman"/>
                <w:b w:val="0"/>
                <w:bCs w:val="0"/>
                <w:spacing w:val="-4"/>
                <w:sz w:val="24"/>
                <w:szCs w:val="24"/>
                <w:lang w:val="fr-FR"/>
              </w:rPr>
              <w:t xml:space="preserve"> </w:t>
            </w:r>
            <w:r w:rsidR="00FB7689">
              <w:rPr>
                <w:rStyle w:val="Lienhypertexte"/>
                <w:rFonts w:ascii="Times New Roman" w:hAnsi="Times New Roman" w:cs="Times New Roman"/>
                <w:b w:val="0"/>
                <w:bCs w:val="0"/>
                <w:sz w:val="24"/>
                <w:szCs w:val="24"/>
                <w:lang w:val="fr-FR"/>
              </w:rPr>
              <w:t>expérimentale</w:t>
            </w:r>
            <w:r w:rsidR="00FB7689">
              <w:rPr>
                <w:rFonts w:ascii="Times New Roman" w:hAnsi="Times New Roman" w:cs="Times New Roman"/>
                <w:b w:val="0"/>
                <w:bCs w:val="0"/>
                <w:sz w:val="24"/>
                <w:szCs w:val="24"/>
              </w:rPr>
              <w:tab/>
            </w:r>
            <w:r w:rsidR="00FB7689">
              <w:rPr>
                <w:rFonts w:ascii="Times New Roman" w:hAnsi="Times New Roman" w:cs="Times New Roman"/>
                <w:b w:val="0"/>
                <w:bCs w:val="0"/>
                <w:sz w:val="24"/>
                <w:szCs w:val="24"/>
              </w:rPr>
              <w:fldChar w:fldCharType="begin"/>
            </w:r>
            <w:r w:rsidR="00FB7689">
              <w:rPr>
                <w:rFonts w:ascii="Times New Roman" w:hAnsi="Times New Roman" w:cs="Times New Roman"/>
                <w:b w:val="0"/>
                <w:bCs w:val="0"/>
                <w:sz w:val="24"/>
                <w:szCs w:val="24"/>
              </w:rPr>
              <w:instrText xml:space="preserve"> PAGEREF _Toc201260174 \h </w:instrText>
            </w:r>
            <w:r w:rsidR="00FB7689">
              <w:rPr>
                <w:rFonts w:ascii="Times New Roman" w:hAnsi="Times New Roman" w:cs="Times New Roman"/>
                <w:b w:val="0"/>
                <w:bCs w:val="0"/>
                <w:sz w:val="24"/>
                <w:szCs w:val="24"/>
              </w:rPr>
            </w:r>
            <w:r w:rsidR="00FB7689">
              <w:rPr>
                <w:rFonts w:ascii="Times New Roman" w:hAnsi="Times New Roman" w:cs="Times New Roman"/>
                <w:b w:val="0"/>
                <w:bCs w:val="0"/>
                <w:sz w:val="24"/>
                <w:szCs w:val="24"/>
              </w:rPr>
              <w:fldChar w:fldCharType="separate"/>
            </w:r>
            <w:r w:rsidR="00FB7689">
              <w:rPr>
                <w:rFonts w:ascii="Times New Roman" w:hAnsi="Times New Roman" w:cs="Times New Roman"/>
                <w:sz w:val="24"/>
                <w:szCs w:val="24"/>
                <w:lang w:val="en-US"/>
              </w:rPr>
              <w:t>Error! Bookmark not defined.</w:t>
            </w:r>
            <w:r w:rsidR="00FB7689">
              <w:rPr>
                <w:rFonts w:ascii="Times New Roman" w:hAnsi="Times New Roman" w:cs="Times New Roman"/>
                <w:b w:val="0"/>
                <w:bCs w:val="0"/>
                <w:sz w:val="24"/>
                <w:szCs w:val="24"/>
              </w:rPr>
              <w:fldChar w:fldCharType="end"/>
            </w:r>
          </w:hyperlink>
        </w:p>
        <w:p w14:paraId="71A327C4" w14:textId="77777777" w:rsidR="00B611D1" w:rsidRDefault="00CD2B93">
          <w:pPr>
            <w:pStyle w:val="TM2"/>
            <w:tabs>
              <w:tab w:val="right" w:leader="dot" w:pos="9810"/>
            </w:tabs>
            <w:rPr>
              <w:rFonts w:ascii="Times New Roman" w:eastAsiaTheme="minorEastAsia" w:hAnsi="Times New Roman" w:cs="Times New Roman"/>
              <w:b w:val="0"/>
              <w:bCs w:val="0"/>
              <w:kern w:val="2"/>
              <w:sz w:val="24"/>
              <w:szCs w:val="24"/>
              <w:lang w:val="fr-FR" w:eastAsia="zh-CN"/>
              <w14:ligatures w14:val="standardContextual"/>
            </w:rPr>
          </w:pPr>
          <w:hyperlink w:anchor="_Toc201260179" w:history="1">
            <w:r w:rsidR="00FB7689">
              <w:rPr>
                <w:rStyle w:val="Lienhypertexte"/>
                <w:rFonts w:ascii="Times New Roman" w:hAnsi="Times New Roman" w:cs="Times New Roman"/>
                <w:b w:val="0"/>
                <w:bCs w:val="0"/>
                <w:sz w:val="24"/>
                <w:szCs w:val="24"/>
              </w:rPr>
              <w:t>2.1.</w:t>
            </w:r>
            <w:r w:rsidR="00FB7689">
              <w:rPr>
                <w:rStyle w:val="Lienhypertexte"/>
                <w:rFonts w:ascii="Times New Roman" w:hAnsi="Times New Roman" w:cs="Times New Roman"/>
                <w:b w:val="0"/>
                <w:bCs w:val="0"/>
                <w:sz w:val="24"/>
                <w:szCs w:val="24"/>
                <w:lang w:val="fr-FR"/>
              </w:rPr>
              <w:t xml:space="preserve"> </w:t>
            </w:r>
            <w:r w:rsidR="00FB7689">
              <w:rPr>
                <w:rStyle w:val="Lienhypertexte"/>
                <w:rFonts w:ascii="Times New Roman" w:hAnsi="Times New Roman" w:cs="Times New Roman"/>
                <w:b w:val="0"/>
                <w:bCs w:val="0"/>
                <w:sz w:val="24"/>
                <w:szCs w:val="24"/>
              </w:rPr>
              <w:t>Matériels et méthode</w:t>
            </w:r>
            <w:r w:rsidR="00FB7689">
              <w:rPr>
                <w:rFonts w:ascii="Times New Roman" w:hAnsi="Times New Roman" w:cs="Times New Roman"/>
                <w:b w:val="0"/>
                <w:bCs w:val="0"/>
                <w:sz w:val="24"/>
                <w:szCs w:val="24"/>
              </w:rPr>
              <w:tab/>
            </w:r>
            <w:r w:rsidR="00FB7689">
              <w:rPr>
                <w:rFonts w:ascii="Times New Roman" w:hAnsi="Times New Roman" w:cs="Times New Roman"/>
                <w:b w:val="0"/>
                <w:bCs w:val="0"/>
                <w:sz w:val="24"/>
                <w:szCs w:val="24"/>
              </w:rPr>
              <w:fldChar w:fldCharType="begin"/>
            </w:r>
            <w:r w:rsidR="00FB7689">
              <w:rPr>
                <w:rFonts w:ascii="Times New Roman" w:hAnsi="Times New Roman" w:cs="Times New Roman"/>
                <w:b w:val="0"/>
                <w:bCs w:val="0"/>
                <w:sz w:val="24"/>
                <w:szCs w:val="24"/>
              </w:rPr>
              <w:instrText xml:space="preserve"> PAGEREF _Toc201260179 \h </w:instrText>
            </w:r>
            <w:r w:rsidR="00FB7689">
              <w:rPr>
                <w:rFonts w:ascii="Times New Roman" w:hAnsi="Times New Roman" w:cs="Times New Roman"/>
                <w:b w:val="0"/>
                <w:bCs w:val="0"/>
                <w:sz w:val="24"/>
                <w:szCs w:val="24"/>
              </w:rPr>
            </w:r>
            <w:r w:rsidR="00FB7689">
              <w:rPr>
                <w:rFonts w:ascii="Times New Roman" w:hAnsi="Times New Roman" w:cs="Times New Roman"/>
                <w:b w:val="0"/>
                <w:bCs w:val="0"/>
                <w:sz w:val="24"/>
                <w:szCs w:val="24"/>
              </w:rPr>
              <w:fldChar w:fldCharType="separate"/>
            </w:r>
            <w:r w:rsidR="00FB7689">
              <w:rPr>
                <w:rFonts w:ascii="Times New Roman" w:hAnsi="Times New Roman" w:cs="Times New Roman"/>
                <w:b w:val="0"/>
                <w:bCs w:val="0"/>
                <w:sz w:val="24"/>
                <w:szCs w:val="24"/>
              </w:rPr>
              <w:t>31</w:t>
            </w:r>
            <w:r w:rsidR="00FB7689">
              <w:rPr>
                <w:rFonts w:ascii="Times New Roman" w:hAnsi="Times New Roman" w:cs="Times New Roman"/>
                <w:b w:val="0"/>
                <w:bCs w:val="0"/>
                <w:sz w:val="24"/>
                <w:szCs w:val="24"/>
              </w:rPr>
              <w:fldChar w:fldCharType="end"/>
            </w:r>
          </w:hyperlink>
        </w:p>
        <w:p w14:paraId="1B397222"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82" w:history="1">
            <w:r w:rsidR="00FB7689">
              <w:rPr>
                <w:rStyle w:val="Lienhypertexte"/>
                <w:rFonts w:ascii="Times New Roman" w:hAnsi="Times New Roman" w:cs="Times New Roman"/>
                <w:sz w:val="24"/>
                <w:lang w:val="fr-FR"/>
              </w:rPr>
              <w:t>2.1.1.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Matériel</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_Toc201260182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31</w:t>
            </w:r>
            <w:r w:rsidR="00FB7689">
              <w:rPr>
                <w:rFonts w:ascii="Times New Roman" w:hAnsi="Times New Roman" w:cs="Times New Roman"/>
                <w:sz w:val="24"/>
              </w:rPr>
              <w:fldChar w:fldCharType="end"/>
            </w:r>
          </w:hyperlink>
        </w:p>
        <w:p w14:paraId="05DC336F"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183" w:history="1">
            <w:r w:rsidR="00FB7689">
              <w:rPr>
                <w:rStyle w:val="Lienhypertexte"/>
                <w:rFonts w:ascii="Times New Roman" w:hAnsi="Times New Roman" w:cs="Times New Roman"/>
                <w:sz w:val="24"/>
                <w:lang w:val="fr-FR"/>
              </w:rPr>
              <w:t>2.1.2.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Méthodes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_Toc201260183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31</w:t>
            </w:r>
            <w:r w:rsidR="00FB7689">
              <w:rPr>
                <w:rFonts w:ascii="Times New Roman" w:hAnsi="Times New Roman" w:cs="Times New Roman"/>
                <w:sz w:val="24"/>
              </w:rPr>
              <w:fldChar w:fldCharType="end"/>
            </w:r>
          </w:hyperlink>
        </w:p>
        <w:p w14:paraId="6BADDBD3"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84" w:history="1">
            <w:r w:rsidR="00FB7689">
              <w:rPr>
                <w:rStyle w:val="Lienhypertexte"/>
                <w:rFonts w:ascii="Times New Roman" w:hAnsi="Times New Roman" w:cs="Times New Roman"/>
                <w:sz w:val="24"/>
                <w:lang w:val="fr-FR"/>
              </w:rPr>
              <w:t>2.1.2.1.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Prélèvement des échantillons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_Toc201260184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31</w:t>
            </w:r>
            <w:r w:rsidR="00FB7689">
              <w:rPr>
                <w:rFonts w:ascii="Times New Roman" w:hAnsi="Times New Roman" w:cs="Times New Roman"/>
                <w:sz w:val="24"/>
              </w:rPr>
              <w:fldChar w:fldCharType="end"/>
            </w:r>
          </w:hyperlink>
        </w:p>
        <w:p w14:paraId="07D717D4"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91" w:history="1">
            <w:r w:rsidR="00FB7689">
              <w:rPr>
                <w:rStyle w:val="Lienhypertexte"/>
                <w:rFonts w:ascii="Times New Roman" w:hAnsi="Times New Roman" w:cs="Times New Roman"/>
                <w:sz w:val="24"/>
                <w:lang w:val="fr-FR" w:eastAsia="zh-CN"/>
              </w:rPr>
              <w:t>2.1.2.2.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Enrichissement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_Toc201260191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31</w:t>
            </w:r>
            <w:r w:rsidR="00FB7689">
              <w:rPr>
                <w:rFonts w:ascii="Times New Roman" w:hAnsi="Times New Roman" w:cs="Times New Roman"/>
                <w:sz w:val="24"/>
              </w:rPr>
              <w:fldChar w:fldCharType="end"/>
            </w:r>
          </w:hyperlink>
        </w:p>
        <w:p w14:paraId="61B9E253" w14:textId="77777777" w:rsidR="00B611D1" w:rsidRDefault="00CD2B93">
          <w:pPr>
            <w:pStyle w:val="TM4"/>
            <w:tabs>
              <w:tab w:val="left" w:pos="1680"/>
              <w:tab w:val="right" w:leader="dot" w:pos="9810"/>
            </w:tabs>
            <w:rPr>
              <w:rFonts w:ascii="Times New Roman" w:eastAsiaTheme="minorEastAsia" w:hAnsi="Times New Roman" w:cs="Times New Roman"/>
              <w:kern w:val="2"/>
              <w:sz w:val="24"/>
              <w:lang w:val="fr-FR" w:eastAsia="zh-CN"/>
              <w14:ligatures w14:val="standardContextual"/>
            </w:rPr>
          </w:pPr>
          <w:hyperlink w:anchor="_Toc201260192" w:history="1">
            <w:r w:rsidR="00FB7689">
              <w:rPr>
                <w:rStyle w:val="Lienhypertexte"/>
                <w:rFonts w:ascii="Times New Roman" w:hAnsi="Times New Roman" w:cs="Times New Roman"/>
                <w:sz w:val="24"/>
                <w:lang w:val="fr-FR"/>
              </w:rPr>
              <w:t>2.1.2.3.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Isolement et purification</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_Toc201260192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32</w:t>
            </w:r>
            <w:r w:rsidR="00FB7689">
              <w:rPr>
                <w:rFonts w:ascii="Times New Roman" w:hAnsi="Times New Roman" w:cs="Times New Roman"/>
                <w:sz w:val="24"/>
              </w:rPr>
              <w:fldChar w:fldCharType="end"/>
            </w:r>
          </w:hyperlink>
        </w:p>
        <w:p w14:paraId="332C80D7"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93" w:history="1">
            <w:r w:rsidR="00FB7689">
              <w:rPr>
                <w:rStyle w:val="Lienhypertexte"/>
                <w:rFonts w:ascii="Times New Roman" w:hAnsi="Times New Roman" w:cs="Times New Roman"/>
                <w:sz w:val="24"/>
                <w:lang w:val="fr-FR"/>
              </w:rPr>
              <w:t>2.1.2.3.1.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Coloration de Gram</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_Toc201260193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32</w:t>
            </w:r>
            <w:r w:rsidR="00FB7689">
              <w:rPr>
                <w:rFonts w:ascii="Times New Roman" w:hAnsi="Times New Roman" w:cs="Times New Roman"/>
                <w:sz w:val="24"/>
              </w:rPr>
              <w:fldChar w:fldCharType="end"/>
            </w:r>
          </w:hyperlink>
        </w:p>
        <w:p w14:paraId="4D578728"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95" w:history="1">
            <w:r w:rsidR="00FB7689">
              <w:rPr>
                <w:rStyle w:val="Lienhypertexte"/>
                <w:rFonts w:ascii="Times New Roman" w:hAnsi="Times New Roman" w:cs="Times New Roman"/>
                <w:sz w:val="24"/>
                <w:lang w:val="fr-FR"/>
              </w:rPr>
              <w:t>2.1.2.3.2.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Test de la catalase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_Toc201260195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33</w:t>
            </w:r>
            <w:r w:rsidR="00FB7689">
              <w:rPr>
                <w:rFonts w:ascii="Times New Roman" w:hAnsi="Times New Roman" w:cs="Times New Roman"/>
                <w:sz w:val="24"/>
              </w:rPr>
              <w:fldChar w:fldCharType="end"/>
            </w:r>
          </w:hyperlink>
        </w:p>
        <w:p w14:paraId="31E8D536"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96" w:history="1">
            <w:r w:rsidR="00FB7689">
              <w:rPr>
                <w:rStyle w:val="Lienhypertexte"/>
                <w:rFonts w:ascii="Times New Roman" w:hAnsi="Times New Roman" w:cs="Times New Roman"/>
                <w:sz w:val="24"/>
                <w:lang w:val="fr-FR"/>
              </w:rPr>
              <w:t>2.1.2.3.3.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Test de l’oxydase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_Toc201260196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33</w:t>
            </w:r>
            <w:r w:rsidR="00FB7689">
              <w:rPr>
                <w:rFonts w:ascii="Times New Roman" w:hAnsi="Times New Roman" w:cs="Times New Roman"/>
                <w:sz w:val="24"/>
              </w:rPr>
              <w:fldChar w:fldCharType="end"/>
            </w:r>
          </w:hyperlink>
        </w:p>
        <w:p w14:paraId="4C483DA0"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97" w:history="1">
            <w:r w:rsidR="00FB7689">
              <w:rPr>
                <w:rStyle w:val="Lienhypertexte"/>
                <w:rFonts w:ascii="Times New Roman" w:hAnsi="Times New Roman" w:cs="Times New Roman"/>
                <w:sz w:val="24"/>
                <w:lang w:val="fr-FR"/>
              </w:rPr>
              <w:t>2.1.2.3.4.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Test de la coagulase</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_Toc201260197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33</w:t>
            </w:r>
            <w:r w:rsidR="00FB7689">
              <w:rPr>
                <w:rFonts w:ascii="Times New Roman" w:hAnsi="Times New Roman" w:cs="Times New Roman"/>
                <w:sz w:val="24"/>
              </w:rPr>
              <w:fldChar w:fldCharType="end"/>
            </w:r>
          </w:hyperlink>
        </w:p>
        <w:p w14:paraId="0A710822"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98" w:history="1">
            <w:r w:rsidR="00FB7689">
              <w:rPr>
                <w:rStyle w:val="Lienhypertexte"/>
                <w:rFonts w:ascii="Times New Roman" w:hAnsi="Times New Roman" w:cs="Times New Roman"/>
                <w:sz w:val="24"/>
                <w:lang w:val="fr-FR"/>
              </w:rPr>
              <w:t>2.1.2.3.5.</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Identification biochimique par galeries API</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_Toc201260198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34</w:t>
            </w:r>
            <w:r w:rsidR="00FB7689">
              <w:rPr>
                <w:rFonts w:ascii="Times New Roman" w:hAnsi="Times New Roman" w:cs="Times New Roman"/>
                <w:sz w:val="24"/>
              </w:rPr>
              <w:fldChar w:fldCharType="end"/>
            </w:r>
          </w:hyperlink>
        </w:p>
        <w:p w14:paraId="2D51AE22" w14:textId="77777777" w:rsidR="00B611D1" w:rsidRDefault="00CD2B93">
          <w:pPr>
            <w:pStyle w:val="TM5"/>
            <w:tabs>
              <w:tab w:val="left" w:pos="1950"/>
              <w:tab w:val="right" w:leader="dot" w:pos="9810"/>
            </w:tabs>
            <w:rPr>
              <w:rFonts w:ascii="Times New Roman" w:eastAsiaTheme="minorEastAsia" w:hAnsi="Times New Roman" w:cs="Times New Roman"/>
              <w:kern w:val="2"/>
              <w:sz w:val="24"/>
              <w:lang w:val="fr-FR" w:eastAsia="zh-CN"/>
              <w14:ligatures w14:val="standardContextual"/>
            </w:rPr>
          </w:pPr>
          <w:hyperlink w:anchor="_Toc201260199" w:history="1">
            <w:r w:rsidR="00FB7689">
              <w:rPr>
                <w:rStyle w:val="Lienhypertexte"/>
                <w:rFonts w:ascii="Times New Roman" w:hAnsi="Times New Roman" w:cs="Times New Roman"/>
                <w:sz w:val="24"/>
                <w:lang w:val="fr-FR"/>
              </w:rPr>
              <w:t>2.1.2.3.6.</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Étude de la sensibilité aux Antibiotiques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_Toc201260199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34</w:t>
            </w:r>
            <w:r w:rsidR="00FB7689">
              <w:rPr>
                <w:rFonts w:ascii="Times New Roman" w:hAnsi="Times New Roman" w:cs="Times New Roman"/>
                <w:sz w:val="24"/>
              </w:rPr>
              <w:fldChar w:fldCharType="end"/>
            </w:r>
          </w:hyperlink>
        </w:p>
        <w:p w14:paraId="31922784" w14:textId="77777777" w:rsidR="00B611D1" w:rsidRDefault="00CD2B93">
          <w:pPr>
            <w:pStyle w:val="TM2"/>
            <w:tabs>
              <w:tab w:val="left" w:pos="960"/>
              <w:tab w:val="right" w:leader="dot" w:pos="9810"/>
            </w:tabs>
            <w:rPr>
              <w:rFonts w:ascii="Times New Roman" w:eastAsiaTheme="minorEastAsia" w:hAnsi="Times New Roman" w:cs="Times New Roman"/>
              <w:b w:val="0"/>
              <w:bCs w:val="0"/>
              <w:kern w:val="2"/>
              <w:sz w:val="24"/>
              <w:szCs w:val="24"/>
              <w:lang w:val="fr-FR" w:eastAsia="zh-CN"/>
              <w14:ligatures w14:val="standardContextual"/>
            </w:rPr>
          </w:pPr>
          <w:hyperlink w:anchor="_Toc201260200" w:history="1">
            <w:r w:rsidR="00FB7689">
              <w:rPr>
                <w:rStyle w:val="Lienhypertexte"/>
                <w:rFonts w:ascii="Times New Roman" w:eastAsia="TimesNewRomanPS-BoldMT" w:hAnsi="Times New Roman" w:cs="Times New Roman"/>
                <w:b w:val="0"/>
                <w:bCs w:val="0"/>
                <w:sz w:val="24"/>
                <w:szCs w:val="24"/>
                <w:lang w:val="fr-FR" w:eastAsia="zh-CN" w:bidi="ar"/>
              </w:rPr>
              <w:t>2.2.</w:t>
            </w:r>
            <w:r w:rsidR="00FB7689">
              <w:rPr>
                <w:rFonts w:ascii="Times New Roman" w:eastAsiaTheme="minorEastAsia" w:hAnsi="Times New Roman" w:cs="Times New Roman"/>
                <w:b w:val="0"/>
                <w:bCs w:val="0"/>
                <w:kern w:val="2"/>
                <w:sz w:val="24"/>
                <w:szCs w:val="24"/>
                <w:lang w:val="fr-FR" w:eastAsia="zh-CN"/>
                <w14:ligatures w14:val="standardContextual"/>
              </w:rPr>
              <w:tab/>
            </w:r>
            <w:r w:rsidR="00FB7689">
              <w:rPr>
                <w:rStyle w:val="Lienhypertexte"/>
                <w:rFonts w:ascii="Times New Roman" w:eastAsia="TimesNewRomanPS-BoldMT" w:hAnsi="Times New Roman" w:cs="Times New Roman"/>
                <w:b w:val="0"/>
                <w:bCs w:val="0"/>
                <w:sz w:val="24"/>
                <w:szCs w:val="24"/>
                <w:lang w:val="fr-FR" w:eastAsia="zh-CN" w:bidi="ar"/>
              </w:rPr>
              <w:t>Résultats</w:t>
            </w:r>
            <w:r w:rsidR="00FB7689">
              <w:rPr>
                <w:rFonts w:ascii="Times New Roman" w:hAnsi="Times New Roman" w:cs="Times New Roman"/>
                <w:b w:val="0"/>
                <w:bCs w:val="0"/>
                <w:sz w:val="24"/>
                <w:szCs w:val="24"/>
              </w:rPr>
              <w:tab/>
            </w:r>
            <w:r w:rsidR="00FB7689">
              <w:rPr>
                <w:rFonts w:ascii="Times New Roman" w:hAnsi="Times New Roman" w:cs="Times New Roman"/>
                <w:b w:val="0"/>
                <w:bCs w:val="0"/>
                <w:sz w:val="24"/>
                <w:szCs w:val="24"/>
              </w:rPr>
              <w:fldChar w:fldCharType="begin"/>
            </w:r>
            <w:r w:rsidR="00FB7689">
              <w:rPr>
                <w:rFonts w:ascii="Times New Roman" w:hAnsi="Times New Roman" w:cs="Times New Roman"/>
                <w:b w:val="0"/>
                <w:bCs w:val="0"/>
                <w:sz w:val="24"/>
                <w:szCs w:val="24"/>
              </w:rPr>
              <w:instrText xml:space="preserve"> PAGEREF _Toc201260200 \h </w:instrText>
            </w:r>
            <w:r w:rsidR="00FB7689">
              <w:rPr>
                <w:rFonts w:ascii="Times New Roman" w:hAnsi="Times New Roman" w:cs="Times New Roman"/>
                <w:b w:val="0"/>
                <w:bCs w:val="0"/>
                <w:sz w:val="24"/>
                <w:szCs w:val="24"/>
              </w:rPr>
            </w:r>
            <w:r w:rsidR="00FB7689">
              <w:rPr>
                <w:rFonts w:ascii="Times New Roman" w:hAnsi="Times New Roman" w:cs="Times New Roman"/>
                <w:b w:val="0"/>
                <w:bCs w:val="0"/>
                <w:sz w:val="24"/>
                <w:szCs w:val="24"/>
              </w:rPr>
              <w:fldChar w:fldCharType="separate"/>
            </w:r>
            <w:r w:rsidR="00FB7689">
              <w:rPr>
                <w:rFonts w:ascii="Times New Roman" w:hAnsi="Times New Roman" w:cs="Times New Roman"/>
                <w:b w:val="0"/>
                <w:bCs w:val="0"/>
                <w:sz w:val="24"/>
                <w:szCs w:val="24"/>
              </w:rPr>
              <w:t>36</w:t>
            </w:r>
            <w:r w:rsidR="00FB7689">
              <w:rPr>
                <w:rFonts w:ascii="Times New Roman" w:hAnsi="Times New Roman" w:cs="Times New Roman"/>
                <w:b w:val="0"/>
                <w:bCs w:val="0"/>
                <w:sz w:val="24"/>
                <w:szCs w:val="24"/>
              </w:rPr>
              <w:fldChar w:fldCharType="end"/>
            </w:r>
          </w:hyperlink>
        </w:p>
        <w:p w14:paraId="4F02D2A3"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201" w:history="1">
            <w:r w:rsidR="00FB7689">
              <w:rPr>
                <w:rStyle w:val="Lienhypertexte"/>
                <w:rFonts w:ascii="Times New Roman" w:eastAsia="TimesNewRomanPS-BoldMT" w:hAnsi="Times New Roman" w:cs="Times New Roman"/>
                <w:sz w:val="24"/>
                <w:lang w:val="fr-FR" w:eastAsia="zh-CN" w:bidi="ar"/>
              </w:rPr>
              <w:t>2.2.1.</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TimesNewRomanPS-BoldMT" w:hAnsi="Times New Roman" w:cs="Times New Roman"/>
                <w:sz w:val="24"/>
                <w:lang w:val="fr-FR" w:eastAsia="zh-CN"/>
              </w:rPr>
              <w:t>Résultats de l’enrichissement</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_Toc201260201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36</w:t>
            </w:r>
            <w:r w:rsidR="00FB7689">
              <w:rPr>
                <w:rFonts w:ascii="Times New Roman" w:hAnsi="Times New Roman" w:cs="Times New Roman"/>
                <w:sz w:val="24"/>
              </w:rPr>
              <w:fldChar w:fldCharType="end"/>
            </w:r>
          </w:hyperlink>
        </w:p>
        <w:p w14:paraId="3A578F55"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207" w:history="1">
            <w:r w:rsidR="00FB7689">
              <w:rPr>
                <w:rStyle w:val="Lienhypertexte"/>
                <w:rFonts w:ascii="Times New Roman" w:hAnsi="Times New Roman" w:cs="Times New Roman"/>
                <w:sz w:val="24"/>
                <w:lang w:val="fr-FR"/>
              </w:rPr>
              <w:t>2.2.2.</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hAnsi="Times New Roman" w:cs="Times New Roman"/>
                <w:sz w:val="24"/>
                <w:lang w:val="fr-FR"/>
              </w:rPr>
              <w:t>Isolement et identification macroscopique et microscopique des souches bactériennes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_Toc201260207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36</w:t>
            </w:r>
            <w:r w:rsidR="00FB7689">
              <w:rPr>
                <w:rFonts w:ascii="Times New Roman" w:hAnsi="Times New Roman" w:cs="Times New Roman"/>
                <w:sz w:val="24"/>
              </w:rPr>
              <w:fldChar w:fldCharType="end"/>
            </w:r>
          </w:hyperlink>
        </w:p>
        <w:p w14:paraId="4C227ABB"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208" w:history="1">
            <w:r w:rsidR="00FB7689">
              <w:rPr>
                <w:rStyle w:val="Lienhypertexte"/>
                <w:rFonts w:ascii="Times New Roman" w:eastAsia="SimSun" w:hAnsi="Times New Roman" w:cs="Times New Roman"/>
                <w:sz w:val="24"/>
                <w:lang w:val="fr-FR"/>
              </w:rPr>
              <w:t>2.2.3.</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SimSun" w:hAnsi="Times New Roman" w:cs="Times New Roman"/>
                <w:sz w:val="24"/>
                <w:lang w:val="fr-FR"/>
              </w:rPr>
              <w:t>Identification biochimique par galerie API</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_Toc201260208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38</w:t>
            </w:r>
            <w:r w:rsidR="00FB7689">
              <w:rPr>
                <w:rFonts w:ascii="Times New Roman" w:hAnsi="Times New Roman" w:cs="Times New Roman"/>
                <w:sz w:val="24"/>
              </w:rPr>
              <w:fldChar w:fldCharType="end"/>
            </w:r>
          </w:hyperlink>
        </w:p>
        <w:p w14:paraId="61CB4361"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209" w:history="1">
            <w:r w:rsidR="00FB7689">
              <w:rPr>
                <w:rStyle w:val="Lienhypertexte"/>
                <w:rFonts w:ascii="Times New Roman" w:eastAsia="TimesNewRomanPS-BoldMT" w:hAnsi="Times New Roman" w:cs="Times New Roman"/>
                <w:sz w:val="24"/>
                <w:lang w:val="fr-FR" w:eastAsia="zh-CN" w:bidi="ar"/>
              </w:rPr>
              <w:t>2.2.4.</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TimesNewRomanPS-BoldMT" w:hAnsi="Times New Roman" w:cs="Times New Roman"/>
                <w:sz w:val="24"/>
                <w:lang w:val="fr-FR" w:eastAsia="zh-CN" w:bidi="ar"/>
              </w:rPr>
              <w:t>Tests complémentaires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_Toc201260209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39</w:t>
            </w:r>
            <w:r w:rsidR="00FB7689">
              <w:rPr>
                <w:rFonts w:ascii="Times New Roman" w:hAnsi="Times New Roman" w:cs="Times New Roman"/>
                <w:sz w:val="24"/>
              </w:rPr>
              <w:fldChar w:fldCharType="end"/>
            </w:r>
          </w:hyperlink>
        </w:p>
        <w:p w14:paraId="4DE4CC36" w14:textId="77777777" w:rsidR="00B611D1" w:rsidRDefault="00CD2B93">
          <w:pPr>
            <w:pStyle w:val="TM3"/>
            <w:tabs>
              <w:tab w:val="left" w:pos="1440"/>
              <w:tab w:val="right" w:leader="dot" w:pos="9810"/>
            </w:tabs>
            <w:rPr>
              <w:rFonts w:ascii="Times New Roman" w:eastAsiaTheme="minorEastAsia" w:hAnsi="Times New Roman" w:cs="Times New Roman"/>
              <w:kern w:val="2"/>
              <w:sz w:val="24"/>
              <w:lang w:val="fr-FR" w:eastAsia="zh-CN"/>
              <w14:ligatures w14:val="standardContextual"/>
            </w:rPr>
          </w:pPr>
          <w:hyperlink w:anchor="_Toc201260210" w:history="1">
            <w:r w:rsidR="00FB7689">
              <w:rPr>
                <w:rStyle w:val="Lienhypertexte"/>
                <w:rFonts w:ascii="Times New Roman" w:eastAsia="TimesNewRomanPS-BoldMT" w:hAnsi="Times New Roman" w:cs="Times New Roman"/>
                <w:sz w:val="24"/>
                <w:lang w:val="fr-FR" w:eastAsia="zh-CN" w:bidi="ar"/>
              </w:rPr>
              <w:t>2.2.5.</w:t>
            </w:r>
            <w:r w:rsidR="00FB7689">
              <w:rPr>
                <w:rFonts w:ascii="Times New Roman" w:eastAsiaTheme="minorEastAsia" w:hAnsi="Times New Roman" w:cs="Times New Roman"/>
                <w:kern w:val="2"/>
                <w:sz w:val="24"/>
                <w:lang w:val="fr-FR" w:eastAsia="zh-CN"/>
                <w14:ligatures w14:val="standardContextual"/>
              </w:rPr>
              <w:tab/>
            </w:r>
            <w:r w:rsidR="00FB7689">
              <w:rPr>
                <w:rStyle w:val="Lienhypertexte"/>
                <w:rFonts w:ascii="Times New Roman" w:eastAsia="TimesNewRomanPS-BoldMT" w:hAnsi="Times New Roman" w:cs="Times New Roman"/>
                <w:sz w:val="24"/>
                <w:lang w:val="fr-FR" w:eastAsia="zh-CN" w:bidi="ar"/>
              </w:rPr>
              <w:t>Étude de la sensibilité aux Antibiotiques</w:t>
            </w:r>
            <w:r w:rsidR="00FB7689">
              <w:rPr>
                <w:rFonts w:ascii="Times New Roman" w:hAnsi="Times New Roman" w:cs="Times New Roman"/>
                <w:sz w:val="24"/>
              </w:rPr>
              <w:tab/>
            </w:r>
            <w:r w:rsidR="00FB7689">
              <w:rPr>
                <w:rFonts w:ascii="Times New Roman" w:hAnsi="Times New Roman" w:cs="Times New Roman"/>
                <w:sz w:val="24"/>
              </w:rPr>
              <w:fldChar w:fldCharType="begin"/>
            </w:r>
            <w:r w:rsidR="00FB7689">
              <w:rPr>
                <w:rFonts w:ascii="Times New Roman" w:hAnsi="Times New Roman" w:cs="Times New Roman"/>
                <w:sz w:val="24"/>
              </w:rPr>
              <w:instrText xml:space="preserve"> PAGEREF _Toc201260210 \h </w:instrText>
            </w:r>
            <w:r w:rsidR="00FB7689">
              <w:rPr>
                <w:rFonts w:ascii="Times New Roman" w:hAnsi="Times New Roman" w:cs="Times New Roman"/>
                <w:sz w:val="24"/>
              </w:rPr>
            </w:r>
            <w:r w:rsidR="00FB7689">
              <w:rPr>
                <w:rFonts w:ascii="Times New Roman" w:hAnsi="Times New Roman" w:cs="Times New Roman"/>
                <w:sz w:val="24"/>
              </w:rPr>
              <w:fldChar w:fldCharType="separate"/>
            </w:r>
            <w:r w:rsidR="00FB7689">
              <w:rPr>
                <w:rFonts w:ascii="Times New Roman" w:hAnsi="Times New Roman" w:cs="Times New Roman"/>
                <w:sz w:val="24"/>
              </w:rPr>
              <w:t>41</w:t>
            </w:r>
            <w:r w:rsidR="00FB7689">
              <w:rPr>
                <w:rFonts w:ascii="Times New Roman" w:hAnsi="Times New Roman" w:cs="Times New Roman"/>
                <w:sz w:val="24"/>
              </w:rPr>
              <w:fldChar w:fldCharType="end"/>
            </w:r>
          </w:hyperlink>
        </w:p>
        <w:p w14:paraId="5D7B03A4" w14:textId="77777777" w:rsidR="00B611D1" w:rsidRDefault="00CD2B93">
          <w:pPr>
            <w:pStyle w:val="TM2"/>
            <w:tabs>
              <w:tab w:val="left" w:pos="960"/>
              <w:tab w:val="right" w:leader="dot" w:pos="9810"/>
            </w:tabs>
            <w:rPr>
              <w:rFonts w:ascii="Times New Roman" w:eastAsiaTheme="minorEastAsia" w:hAnsi="Times New Roman" w:cs="Times New Roman"/>
              <w:b w:val="0"/>
              <w:bCs w:val="0"/>
              <w:kern w:val="2"/>
              <w:sz w:val="24"/>
              <w:szCs w:val="24"/>
              <w:lang w:val="fr-FR" w:eastAsia="zh-CN"/>
              <w14:ligatures w14:val="standardContextual"/>
            </w:rPr>
          </w:pPr>
          <w:hyperlink w:anchor="_Toc201260211" w:history="1">
            <w:r w:rsidR="00FB7689">
              <w:rPr>
                <w:rStyle w:val="Lienhypertexte"/>
                <w:rFonts w:ascii="Times New Roman" w:hAnsi="Times New Roman" w:cs="Times New Roman"/>
                <w:b w:val="0"/>
                <w:bCs w:val="0"/>
                <w:sz w:val="24"/>
                <w:szCs w:val="24"/>
              </w:rPr>
              <w:t>2.3.</w:t>
            </w:r>
            <w:r w:rsidR="00FB7689">
              <w:rPr>
                <w:rFonts w:ascii="Times New Roman" w:eastAsiaTheme="minorEastAsia" w:hAnsi="Times New Roman" w:cs="Times New Roman"/>
                <w:b w:val="0"/>
                <w:bCs w:val="0"/>
                <w:kern w:val="2"/>
                <w:sz w:val="24"/>
                <w:szCs w:val="24"/>
                <w:lang w:val="fr-FR" w:eastAsia="zh-CN"/>
                <w14:ligatures w14:val="standardContextual"/>
              </w:rPr>
              <w:tab/>
            </w:r>
            <w:r w:rsidR="00FB7689">
              <w:rPr>
                <w:rStyle w:val="Lienhypertexte"/>
                <w:rFonts w:ascii="Times New Roman" w:hAnsi="Times New Roman" w:cs="Times New Roman"/>
                <w:b w:val="0"/>
                <w:bCs w:val="0"/>
                <w:sz w:val="24"/>
                <w:szCs w:val="24"/>
              </w:rPr>
              <w:t>Discussion</w:t>
            </w:r>
            <w:r w:rsidR="00FB7689">
              <w:rPr>
                <w:rFonts w:ascii="Times New Roman" w:hAnsi="Times New Roman" w:cs="Times New Roman"/>
                <w:b w:val="0"/>
                <w:bCs w:val="0"/>
                <w:sz w:val="24"/>
                <w:szCs w:val="24"/>
              </w:rPr>
              <w:tab/>
            </w:r>
            <w:r w:rsidR="00FB7689">
              <w:rPr>
                <w:rFonts w:ascii="Times New Roman" w:hAnsi="Times New Roman" w:cs="Times New Roman"/>
                <w:b w:val="0"/>
                <w:bCs w:val="0"/>
                <w:sz w:val="24"/>
                <w:szCs w:val="24"/>
              </w:rPr>
              <w:fldChar w:fldCharType="begin"/>
            </w:r>
            <w:r w:rsidR="00FB7689">
              <w:rPr>
                <w:rFonts w:ascii="Times New Roman" w:hAnsi="Times New Roman" w:cs="Times New Roman"/>
                <w:b w:val="0"/>
                <w:bCs w:val="0"/>
                <w:sz w:val="24"/>
                <w:szCs w:val="24"/>
              </w:rPr>
              <w:instrText xml:space="preserve"> PAGEREF _Toc201260211 \h </w:instrText>
            </w:r>
            <w:r w:rsidR="00FB7689">
              <w:rPr>
                <w:rFonts w:ascii="Times New Roman" w:hAnsi="Times New Roman" w:cs="Times New Roman"/>
                <w:b w:val="0"/>
                <w:bCs w:val="0"/>
                <w:sz w:val="24"/>
                <w:szCs w:val="24"/>
              </w:rPr>
            </w:r>
            <w:r w:rsidR="00FB7689">
              <w:rPr>
                <w:rFonts w:ascii="Times New Roman" w:hAnsi="Times New Roman" w:cs="Times New Roman"/>
                <w:b w:val="0"/>
                <w:bCs w:val="0"/>
                <w:sz w:val="24"/>
                <w:szCs w:val="24"/>
              </w:rPr>
              <w:fldChar w:fldCharType="separate"/>
            </w:r>
            <w:r w:rsidR="00FB7689">
              <w:rPr>
                <w:rFonts w:ascii="Times New Roman" w:hAnsi="Times New Roman" w:cs="Times New Roman"/>
                <w:b w:val="0"/>
                <w:bCs w:val="0"/>
                <w:sz w:val="24"/>
                <w:szCs w:val="24"/>
              </w:rPr>
              <w:t>43</w:t>
            </w:r>
            <w:r w:rsidR="00FB7689">
              <w:rPr>
                <w:rFonts w:ascii="Times New Roman" w:hAnsi="Times New Roman" w:cs="Times New Roman"/>
                <w:b w:val="0"/>
                <w:bCs w:val="0"/>
                <w:sz w:val="24"/>
                <w:szCs w:val="24"/>
              </w:rPr>
              <w:fldChar w:fldCharType="end"/>
            </w:r>
          </w:hyperlink>
        </w:p>
        <w:p w14:paraId="5347841E" w14:textId="77777777" w:rsidR="00B611D1" w:rsidRDefault="00CD2B93">
          <w:pPr>
            <w:pStyle w:val="TM1"/>
            <w:tabs>
              <w:tab w:val="right" w:leader="dot" w:pos="9810"/>
            </w:tabs>
            <w:rPr>
              <w:rFonts w:ascii="Times New Roman" w:eastAsiaTheme="minorEastAsia" w:hAnsi="Times New Roman" w:cs="Times New Roman"/>
              <w:b w:val="0"/>
              <w:bCs w:val="0"/>
              <w:i w:val="0"/>
              <w:iCs w:val="0"/>
              <w:kern w:val="2"/>
              <w:szCs w:val="24"/>
              <w:lang w:val="fr-FR" w:eastAsia="zh-CN"/>
              <w14:ligatures w14:val="standardContextual"/>
            </w:rPr>
          </w:pPr>
          <w:hyperlink w:anchor="_Toc201260212" w:history="1">
            <w:r w:rsidR="00FB7689">
              <w:rPr>
                <w:rStyle w:val="Lienhypertexte"/>
                <w:rFonts w:ascii="Times New Roman" w:hAnsi="Times New Roman" w:cs="Times New Roman"/>
                <w:b w:val="0"/>
                <w:bCs w:val="0"/>
                <w:szCs w:val="24"/>
                <w:lang w:val="fr-FR"/>
              </w:rPr>
              <w:t>Conclusion</w:t>
            </w:r>
            <w:r w:rsidR="00FB7689">
              <w:rPr>
                <w:rFonts w:ascii="Times New Roman" w:hAnsi="Times New Roman" w:cs="Times New Roman"/>
                <w:b w:val="0"/>
                <w:bCs w:val="0"/>
                <w:szCs w:val="24"/>
              </w:rPr>
              <w:tab/>
            </w:r>
            <w:r w:rsidR="00FB7689">
              <w:rPr>
                <w:rFonts w:ascii="Times New Roman" w:hAnsi="Times New Roman" w:cs="Times New Roman"/>
                <w:b w:val="0"/>
                <w:bCs w:val="0"/>
                <w:szCs w:val="24"/>
              </w:rPr>
              <w:fldChar w:fldCharType="begin"/>
            </w:r>
            <w:r w:rsidR="00FB7689">
              <w:rPr>
                <w:rFonts w:ascii="Times New Roman" w:hAnsi="Times New Roman" w:cs="Times New Roman"/>
                <w:b w:val="0"/>
                <w:bCs w:val="0"/>
                <w:szCs w:val="24"/>
              </w:rPr>
              <w:instrText xml:space="preserve"> PAGEREF _Toc201260212 \h </w:instrText>
            </w:r>
            <w:r w:rsidR="00FB7689">
              <w:rPr>
                <w:rFonts w:ascii="Times New Roman" w:hAnsi="Times New Roman" w:cs="Times New Roman"/>
                <w:b w:val="0"/>
                <w:bCs w:val="0"/>
                <w:szCs w:val="24"/>
              </w:rPr>
            </w:r>
            <w:r w:rsidR="00FB7689">
              <w:rPr>
                <w:rFonts w:ascii="Times New Roman" w:hAnsi="Times New Roman" w:cs="Times New Roman"/>
                <w:b w:val="0"/>
                <w:bCs w:val="0"/>
                <w:szCs w:val="24"/>
              </w:rPr>
              <w:fldChar w:fldCharType="separate"/>
            </w:r>
            <w:r w:rsidR="00FB7689">
              <w:rPr>
                <w:rFonts w:ascii="Times New Roman" w:hAnsi="Times New Roman" w:cs="Times New Roman"/>
                <w:b w:val="0"/>
                <w:bCs w:val="0"/>
                <w:szCs w:val="24"/>
              </w:rPr>
              <w:t>46</w:t>
            </w:r>
            <w:r w:rsidR="00FB7689">
              <w:rPr>
                <w:rFonts w:ascii="Times New Roman" w:hAnsi="Times New Roman" w:cs="Times New Roman"/>
                <w:b w:val="0"/>
                <w:bCs w:val="0"/>
                <w:szCs w:val="24"/>
              </w:rPr>
              <w:fldChar w:fldCharType="end"/>
            </w:r>
          </w:hyperlink>
        </w:p>
        <w:p w14:paraId="79A44F0F" w14:textId="77777777" w:rsidR="00B611D1" w:rsidRDefault="00CD2B93">
          <w:pPr>
            <w:pStyle w:val="TM1"/>
            <w:tabs>
              <w:tab w:val="right" w:leader="dot" w:pos="9810"/>
            </w:tabs>
            <w:rPr>
              <w:rFonts w:ascii="Times New Roman" w:eastAsiaTheme="minorEastAsia" w:hAnsi="Times New Roman" w:cs="Times New Roman"/>
              <w:b w:val="0"/>
              <w:bCs w:val="0"/>
              <w:i w:val="0"/>
              <w:iCs w:val="0"/>
              <w:kern w:val="2"/>
              <w:szCs w:val="24"/>
              <w:lang w:val="fr-FR" w:eastAsia="zh-CN"/>
              <w14:ligatures w14:val="standardContextual"/>
            </w:rPr>
          </w:pPr>
          <w:hyperlink w:anchor="_Toc201260213" w:history="1">
            <w:r w:rsidR="00FB7689">
              <w:rPr>
                <w:rStyle w:val="Lienhypertexte"/>
                <w:rFonts w:ascii="Times New Roman" w:hAnsi="Times New Roman" w:cs="Times New Roman"/>
                <w:b w:val="0"/>
                <w:bCs w:val="0"/>
                <w:szCs w:val="24"/>
                <w:lang w:val="fr-FR"/>
              </w:rPr>
              <w:t>Références</w:t>
            </w:r>
            <w:r w:rsidR="00FB7689">
              <w:rPr>
                <w:rStyle w:val="Lienhypertexte"/>
                <w:rFonts w:ascii="Times New Roman" w:hAnsi="Times New Roman" w:cs="Times New Roman"/>
                <w:b w:val="0"/>
                <w:bCs w:val="0"/>
                <w:spacing w:val="-6"/>
                <w:szCs w:val="24"/>
                <w:lang w:val="fr-FR"/>
              </w:rPr>
              <w:t xml:space="preserve"> </w:t>
            </w:r>
            <w:r w:rsidR="00FB7689">
              <w:rPr>
                <w:rStyle w:val="Lienhypertexte"/>
                <w:rFonts w:ascii="Times New Roman" w:hAnsi="Times New Roman" w:cs="Times New Roman"/>
                <w:b w:val="0"/>
                <w:bCs w:val="0"/>
                <w:szCs w:val="24"/>
                <w:lang w:val="fr-FR"/>
              </w:rPr>
              <w:t>Bibliographiques</w:t>
            </w:r>
            <w:r w:rsidR="00FB7689">
              <w:rPr>
                <w:rFonts w:ascii="Times New Roman" w:hAnsi="Times New Roman" w:cs="Times New Roman"/>
                <w:b w:val="0"/>
                <w:bCs w:val="0"/>
                <w:szCs w:val="24"/>
              </w:rPr>
              <w:tab/>
            </w:r>
            <w:r w:rsidR="00FB7689">
              <w:rPr>
                <w:rFonts w:ascii="Times New Roman" w:hAnsi="Times New Roman" w:cs="Times New Roman"/>
                <w:b w:val="0"/>
                <w:bCs w:val="0"/>
                <w:szCs w:val="24"/>
              </w:rPr>
              <w:fldChar w:fldCharType="begin"/>
            </w:r>
            <w:r w:rsidR="00FB7689">
              <w:rPr>
                <w:rFonts w:ascii="Times New Roman" w:hAnsi="Times New Roman" w:cs="Times New Roman"/>
                <w:b w:val="0"/>
                <w:bCs w:val="0"/>
                <w:szCs w:val="24"/>
              </w:rPr>
              <w:instrText xml:space="preserve"> PAGEREF _Toc201260213 \h </w:instrText>
            </w:r>
            <w:r w:rsidR="00FB7689">
              <w:rPr>
                <w:rFonts w:ascii="Times New Roman" w:hAnsi="Times New Roman" w:cs="Times New Roman"/>
                <w:b w:val="0"/>
                <w:bCs w:val="0"/>
                <w:szCs w:val="24"/>
              </w:rPr>
            </w:r>
            <w:r w:rsidR="00FB7689">
              <w:rPr>
                <w:rFonts w:ascii="Times New Roman" w:hAnsi="Times New Roman" w:cs="Times New Roman"/>
                <w:b w:val="0"/>
                <w:bCs w:val="0"/>
                <w:szCs w:val="24"/>
              </w:rPr>
              <w:fldChar w:fldCharType="separate"/>
            </w:r>
            <w:r w:rsidR="00FB7689">
              <w:rPr>
                <w:rFonts w:ascii="Times New Roman" w:hAnsi="Times New Roman" w:cs="Times New Roman"/>
                <w:b w:val="0"/>
                <w:bCs w:val="0"/>
                <w:szCs w:val="24"/>
              </w:rPr>
              <w:t>48</w:t>
            </w:r>
            <w:r w:rsidR="00FB7689">
              <w:rPr>
                <w:rFonts w:ascii="Times New Roman" w:hAnsi="Times New Roman" w:cs="Times New Roman"/>
                <w:b w:val="0"/>
                <w:bCs w:val="0"/>
                <w:szCs w:val="24"/>
              </w:rPr>
              <w:fldChar w:fldCharType="end"/>
            </w:r>
          </w:hyperlink>
        </w:p>
        <w:p w14:paraId="2F79DC53" w14:textId="77777777" w:rsidR="00B611D1" w:rsidRDefault="00CD2B93">
          <w:pPr>
            <w:pStyle w:val="TM1"/>
            <w:tabs>
              <w:tab w:val="right" w:leader="dot" w:pos="9810"/>
            </w:tabs>
            <w:rPr>
              <w:rFonts w:eastAsiaTheme="minorEastAsia" w:cstheme="minorBidi"/>
              <w:b w:val="0"/>
              <w:bCs w:val="0"/>
              <w:i w:val="0"/>
              <w:iCs w:val="0"/>
              <w:kern w:val="2"/>
              <w:szCs w:val="24"/>
              <w:lang w:val="fr-FR" w:eastAsia="zh-CN"/>
              <w14:ligatures w14:val="standardContextual"/>
            </w:rPr>
          </w:pPr>
          <w:hyperlink w:anchor="_Toc201260214" w:history="1">
            <w:r w:rsidR="00FB7689">
              <w:rPr>
                <w:rStyle w:val="Lienhypertexte"/>
                <w:rFonts w:ascii="Times New Roman" w:eastAsia="TimesNewRomanPS-BoldMT" w:hAnsi="Times New Roman" w:cs="Times New Roman"/>
                <w:b w:val="0"/>
                <w:bCs w:val="0"/>
                <w:szCs w:val="24"/>
                <w:lang w:val="fr-FR" w:eastAsia="zh-CN" w:bidi="ar"/>
              </w:rPr>
              <w:t>Annexe</w:t>
            </w:r>
            <w:r w:rsidR="00FB7689">
              <w:rPr>
                <w:rFonts w:ascii="Times New Roman" w:hAnsi="Times New Roman" w:cs="Times New Roman"/>
                <w:b w:val="0"/>
                <w:bCs w:val="0"/>
                <w:szCs w:val="24"/>
              </w:rPr>
              <w:tab/>
            </w:r>
            <w:r w:rsidR="00FB7689">
              <w:rPr>
                <w:rFonts w:ascii="Times New Roman" w:hAnsi="Times New Roman" w:cs="Times New Roman"/>
                <w:b w:val="0"/>
                <w:bCs w:val="0"/>
                <w:szCs w:val="24"/>
              </w:rPr>
              <w:fldChar w:fldCharType="begin"/>
            </w:r>
            <w:r w:rsidR="00FB7689">
              <w:rPr>
                <w:rFonts w:ascii="Times New Roman" w:hAnsi="Times New Roman" w:cs="Times New Roman"/>
                <w:b w:val="0"/>
                <w:bCs w:val="0"/>
                <w:szCs w:val="24"/>
              </w:rPr>
              <w:instrText xml:space="preserve"> PAGEREF _Toc201260214 \h </w:instrText>
            </w:r>
            <w:r w:rsidR="00FB7689">
              <w:rPr>
                <w:rFonts w:ascii="Times New Roman" w:hAnsi="Times New Roman" w:cs="Times New Roman"/>
                <w:b w:val="0"/>
                <w:bCs w:val="0"/>
                <w:szCs w:val="24"/>
              </w:rPr>
            </w:r>
            <w:r w:rsidR="00FB7689">
              <w:rPr>
                <w:rFonts w:ascii="Times New Roman" w:hAnsi="Times New Roman" w:cs="Times New Roman"/>
                <w:b w:val="0"/>
                <w:bCs w:val="0"/>
                <w:szCs w:val="24"/>
              </w:rPr>
              <w:fldChar w:fldCharType="separate"/>
            </w:r>
            <w:r w:rsidR="00FB7689">
              <w:rPr>
                <w:rFonts w:ascii="Times New Roman" w:hAnsi="Times New Roman" w:cs="Times New Roman"/>
                <w:b w:val="0"/>
                <w:bCs w:val="0"/>
                <w:szCs w:val="24"/>
              </w:rPr>
              <w:t>62</w:t>
            </w:r>
            <w:r w:rsidR="00FB7689">
              <w:rPr>
                <w:rFonts w:ascii="Times New Roman" w:hAnsi="Times New Roman" w:cs="Times New Roman"/>
                <w:b w:val="0"/>
                <w:bCs w:val="0"/>
                <w:szCs w:val="24"/>
              </w:rPr>
              <w:fldChar w:fldCharType="end"/>
            </w:r>
          </w:hyperlink>
        </w:p>
        <w:p w14:paraId="710628F4" w14:textId="77777777" w:rsidR="00B611D1" w:rsidRDefault="00FB7689">
          <w:r>
            <w:rPr>
              <w:rFonts w:asciiTheme="minorHAnsi" w:hAnsiTheme="minorHAnsi" w:cstheme="minorHAnsi"/>
              <w:i/>
              <w:iCs/>
              <w:szCs w:val="28"/>
            </w:rPr>
            <w:fldChar w:fldCharType="end"/>
          </w:r>
        </w:p>
      </w:sdtContent>
    </w:sdt>
    <w:p w14:paraId="145DF973" w14:textId="77777777" w:rsidR="00B611D1" w:rsidRDefault="00B611D1">
      <w:pPr>
        <w:spacing w:line="362" w:lineRule="auto"/>
        <w:ind w:left="241" w:right="7443"/>
        <w:rPr>
          <w:i/>
          <w:lang w:eastAsia="zh-CN"/>
        </w:rPr>
      </w:pPr>
    </w:p>
    <w:p w14:paraId="74377E53" w14:textId="77777777" w:rsidR="00B611D1" w:rsidRDefault="00B611D1">
      <w:pPr>
        <w:spacing w:line="362" w:lineRule="auto"/>
        <w:rPr>
          <w:lang w:eastAsia="zh-CN"/>
        </w:rPr>
      </w:pPr>
    </w:p>
    <w:p w14:paraId="0FF63648" w14:textId="77777777" w:rsidR="00B611D1" w:rsidRDefault="00B611D1">
      <w:pPr>
        <w:spacing w:line="362" w:lineRule="auto"/>
        <w:rPr>
          <w:lang w:eastAsia="zh-CN"/>
        </w:rPr>
        <w:sectPr w:rsidR="00B611D1">
          <w:headerReference w:type="default" r:id="rId30"/>
          <w:footerReference w:type="default" r:id="rId31"/>
          <w:pgSz w:w="11900" w:h="16840"/>
          <w:pgMar w:top="1520" w:right="900" w:bottom="1649" w:left="1180" w:header="0" w:footer="0" w:gutter="0"/>
          <w:cols w:space="720"/>
        </w:sectPr>
      </w:pPr>
    </w:p>
    <w:p w14:paraId="738D3302" w14:textId="77777777" w:rsidR="00B611D1" w:rsidRDefault="00B611D1">
      <w:pPr>
        <w:rPr>
          <w:lang w:eastAsia="zh-CN"/>
        </w:rPr>
        <w:sectPr w:rsidR="00B611D1">
          <w:type w:val="continuous"/>
          <w:pgSz w:w="11900" w:h="16840"/>
          <w:pgMar w:top="1059" w:right="900" w:bottom="1649" w:left="1180" w:header="720" w:footer="720" w:gutter="0"/>
          <w:cols w:space="720"/>
        </w:sectPr>
      </w:pPr>
    </w:p>
    <w:p w14:paraId="0AEABF2D" w14:textId="77777777" w:rsidR="00B611D1" w:rsidRDefault="00B611D1">
      <w:pPr>
        <w:pStyle w:val="Corpsdetexte"/>
        <w:rPr>
          <w:sz w:val="30"/>
          <w:lang w:val="fr-FR" w:eastAsia="zh-CN"/>
        </w:rPr>
      </w:pPr>
    </w:p>
    <w:p w14:paraId="6AB4E71B" w14:textId="77777777" w:rsidR="00B611D1" w:rsidRDefault="00B611D1">
      <w:pPr>
        <w:pStyle w:val="Corpsdetexte"/>
        <w:rPr>
          <w:sz w:val="30"/>
          <w:lang w:val="fr-FR" w:eastAsia="zh-CN"/>
        </w:rPr>
      </w:pPr>
    </w:p>
    <w:p w14:paraId="3912D4C5" w14:textId="77777777" w:rsidR="00B611D1" w:rsidRDefault="00B611D1">
      <w:pPr>
        <w:pStyle w:val="Corpsdetexte"/>
        <w:rPr>
          <w:sz w:val="30"/>
          <w:lang w:eastAsia="zh-CN"/>
        </w:rPr>
      </w:pPr>
    </w:p>
    <w:p w14:paraId="22795ADE" w14:textId="77777777" w:rsidR="00B611D1" w:rsidRDefault="00B611D1">
      <w:pPr>
        <w:pStyle w:val="Corpsdetexte"/>
        <w:rPr>
          <w:sz w:val="30"/>
          <w:lang w:eastAsia="zh-CN"/>
        </w:rPr>
      </w:pPr>
    </w:p>
    <w:p w14:paraId="249FAD33" w14:textId="77777777" w:rsidR="00B611D1" w:rsidRDefault="00B611D1">
      <w:pPr>
        <w:pStyle w:val="Corpsdetexte"/>
        <w:rPr>
          <w:sz w:val="30"/>
          <w:lang w:eastAsia="zh-CN"/>
        </w:rPr>
      </w:pPr>
    </w:p>
    <w:p w14:paraId="1CC439FF" w14:textId="77777777" w:rsidR="00B611D1" w:rsidRDefault="00B611D1">
      <w:pPr>
        <w:pStyle w:val="Corpsdetexte"/>
        <w:rPr>
          <w:sz w:val="30"/>
          <w:lang w:eastAsia="zh-CN"/>
        </w:rPr>
      </w:pPr>
    </w:p>
    <w:p w14:paraId="2EF1B584" w14:textId="77777777" w:rsidR="00B611D1" w:rsidRDefault="00B611D1">
      <w:pPr>
        <w:pStyle w:val="Corpsdetexte"/>
        <w:rPr>
          <w:sz w:val="30"/>
          <w:lang w:eastAsia="zh-CN"/>
        </w:rPr>
      </w:pPr>
    </w:p>
    <w:p w14:paraId="09CD668B" w14:textId="77777777" w:rsidR="00B611D1" w:rsidRDefault="00B611D1">
      <w:pPr>
        <w:pStyle w:val="Corpsdetexte"/>
        <w:rPr>
          <w:sz w:val="30"/>
          <w:lang w:eastAsia="zh-CN"/>
        </w:rPr>
      </w:pPr>
    </w:p>
    <w:p w14:paraId="27E390F4" w14:textId="77777777" w:rsidR="00B611D1" w:rsidRDefault="00B611D1">
      <w:pPr>
        <w:pStyle w:val="Corpsdetexte"/>
        <w:rPr>
          <w:sz w:val="30"/>
          <w:lang w:eastAsia="zh-CN"/>
        </w:rPr>
      </w:pPr>
    </w:p>
    <w:p w14:paraId="603CABCB" w14:textId="77777777" w:rsidR="00B611D1" w:rsidRDefault="00B611D1">
      <w:pPr>
        <w:pStyle w:val="Corpsdetexte"/>
        <w:rPr>
          <w:sz w:val="30"/>
          <w:lang w:eastAsia="zh-CN"/>
        </w:rPr>
      </w:pPr>
    </w:p>
    <w:p w14:paraId="12976BB5" w14:textId="77777777" w:rsidR="00B611D1" w:rsidRDefault="00B611D1">
      <w:pPr>
        <w:pStyle w:val="Corpsdetexte"/>
        <w:rPr>
          <w:sz w:val="30"/>
          <w:lang w:eastAsia="zh-CN"/>
        </w:rPr>
      </w:pPr>
    </w:p>
    <w:p w14:paraId="560BB3E1" w14:textId="77777777" w:rsidR="00B611D1" w:rsidRDefault="00B611D1">
      <w:pPr>
        <w:pStyle w:val="Corpsdetexte"/>
        <w:rPr>
          <w:sz w:val="30"/>
          <w:lang w:eastAsia="zh-CN"/>
        </w:rPr>
      </w:pPr>
    </w:p>
    <w:p w14:paraId="1A009043" w14:textId="77777777" w:rsidR="00B611D1" w:rsidRDefault="00B611D1">
      <w:pPr>
        <w:pStyle w:val="Corpsdetexte"/>
        <w:rPr>
          <w:sz w:val="30"/>
          <w:lang w:eastAsia="zh-CN"/>
        </w:rPr>
      </w:pPr>
    </w:p>
    <w:p w14:paraId="22AB25CB" w14:textId="77777777" w:rsidR="00B611D1" w:rsidRDefault="00B611D1">
      <w:pPr>
        <w:pStyle w:val="Corpsdetexte"/>
        <w:rPr>
          <w:sz w:val="30"/>
          <w:lang w:eastAsia="zh-CN"/>
        </w:rPr>
      </w:pPr>
    </w:p>
    <w:p w14:paraId="1AD5B337" w14:textId="77777777" w:rsidR="00B611D1" w:rsidRDefault="00B611D1">
      <w:pPr>
        <w:jc w:val="center"/>
        <w:rPr>
          <w:rFonts w:eastAsia="TimesNewRomanPS-BoldMT"/>
          <w:b/>
          <w:sz w:val="56"/>
          <w:szCs w:val="56"/>
          <w:lang w:val="fr-FR" w:eastAsia="zh-CN" w:bidi="ar"/>
          <w14:shadow w14:blurRad="38100" w14:dist="19050" w14:dir="2700000" w14:sx="100000" w14:sy="100000" w14:kx="0" w14:ky="0" w14:algn="tl">
            <w14:schemeClr w14:val="dk1">
              <w14:alpha w14:val="60000"/>
            </w14:schemeClr>
          </w14:shadow>
        </w:rPr>
      </w:pPr>
    </w:p>
    <w:p w14:paraId="13490FFD" w14:textId="77777777" w:rsidR="00B611D1" w:rsidRDefault="00FB7689">
      <w:pPr>
        <w:jc w:val="center"/>
        <w:rPr>
          <w:b/>
          <w:color w:val="000000" w:themeColor="text1"/>
          <w:sz w:val="56"/>
          <w:szCs w:val="56"/>
          <w:lang w:val="fr-FR" w:eastAsia="zh-CN"/>
          <w14:shadow w14:blurRad="38100" w14:dist="19050" w14:dir="2700000" w14:sx="100000" w14:sy="100000" w14:kx="0" w14:ky="0" w14:algn="tl">
            <w14:schemeClr w14:val="dk1">
              <w14:alpha w14:val="60000"/>
            </w14:schemeClr>
          </w14:shadow>
        </w:rPr>
      </w:pPr>
      <w:r>
        <w:rPr>
          <w:rFonts w:eastAsia="TimesNewRomanPS-BoldMT"/>
          <w:b/>
          <w:sz w:val="56"/>
          <w:szCs w:val="56"/>
          <w:lang w:val="fr-FR" w:eastAsia="zh-CN" w:bidi="ar"/>
          <w14:shadow w14:blurRad="38100" w14:dist="19050" w14:dir="2700000" w14:sx="100000" w14:sy="100000" w14:kx="0" w14:ky="0" w14:algn="tl">
            <w14:schemeClr w14:val="dk1">
              <w14:alpha w14:val="60000"/>
            </w14:schemeClr>
          </w14:shadow>
        </w:rPr>
        <w:t>INTRODUCTION</w:t>
      </w:r>
    </w:p>
    <w:p w14:paraId="74F70991" w14:textId="77777777" w:rsidR="00B611D1" w:rsidRDefault="00B611D1">
      <w:pPr>
        <w:pStyle w:val="Corpsdetexte"/>
        <w:rPr>
          <w:sz w:val="30"/>
          <w:lang w:val="fr-FR" w:eastAsia="zh-CN"/>
        </w:rPr>
      </w:pPr>
    </w:p>
    <w:p w14:paraId="4436E368" w14:textId="77777777" w:rsidR="00B611D1" w:rsidRDefault="00B611D1">
      <w:pPr>
        <w:pStyle w:val="Titre2"/>
        <w:spacing w:before="0"/>
        <w:ind w:left="0"/>
        <w:rPr>
          <w:lang w:val="fr-FR" w:eastAsia="zh-CN"/>
        </w:rPr>
      </w:pPr>
    </w:p>
    <w:p w14:paraId="08BEDDA2" w14:textId="77777777" w:rsidR="00B611D1" w:rsidRDefault="00B611D1">
      <w:pPr>
        <w:pStyle w:val="Titre2"/>
        <w:spacing w:before="0"/>
        <w:ind w:left="0"/>
        <w:rPr>
          <w:color w:val="000000" w:themeColor="text1"/>
          <w:lang w:val="fr-FR" w:eastAsia="zh-CN"/>
        </w:rPr>
      </w:pPr>
    </w:p>
    <w:p w14:paraId="1D4942F5" w14:textId="77777777" w:rsidR="00B611D1" w:rsidRDefault="00B611D1">
      <w:pPr>
        <w:pStyle w:val="Titre2"/>
        <w:spacing w:before="0"/>
        <w:ind w:left="0"/>
        <w:rPr>
          <w:color w:val="000000" w:themeColor="text1"/>
          <w:lang w:val="fr-FR" w:eastAsia="zh-CN"/>
        </w:rPr>
      </w:pPr>
    </w:p>
    <w:p w14:paraId="1E9A5FD6" w14:textId="77777777" w:rsidR="00B611D1" w:rsidRDefault="00B611D1">
      <w:pPr>
        <w:pStyle w:val="Titre2"/>
        <w:spacing w:before="0"/>
        <w:ind w:left="0"/>
        <w:rPr>
          <w:color w:val="000000" w:themeColor="text1"/>
          <w:lang w:val="fr-FR" w:eastAsia="zh-CN"/>
        </w:rPr>
      </w:pPr>
    </w:p>
    <w:p w14:paraId="235B5C60" w14:textId="77777777" w:rsidR="00B611D1" w:rsidRDefault="00B611D1">
      <w:pPr>
        <w:pStyle w:val="Titre2"/>
        <w:spacing w:before="0"/>
        <w:ind w:left="0"/>
        <w:rPr>
          <w:color w:val="000000" w:themeColor="text1"/>
          <w:lang w:val="fr-FR" w:eastAsia="zh-CN"/>
        </w:rPr>
      </w:pPr>
    </w:p>
    <w:p w14:paraId="02F39B3B" w14:textId="77777777" w:rsidR="00B611D1" w:rsidRDefault="00B611D1">
      <w:pPr>
        <w:pStyle w:val="Titre2"/>
        <w:spacing w:before="0"/>
        <w:ind w:left="0"/>
        <w:rPr>
          <w:color w:val="000000" w:themeColor="text1"/>
          <w:lang w:val="fr-FR" w:eastAsia="zh-CN"/>
        </w:rPr>
      </w:pPr>
    </w:p>
    <w:p w14:paraId="5696DD6E" w14:textId="77777777" w:rsidR="00B611D1" w:rsidRDefault="00B611D1">
      <w:pPr>
        <w:pStyle w:val="Titre2"/>
        <w:spacing w:before="0"/>
        <w:ind w:left="0"/>
        <w:rPr>
          <w:color w:val="000000" w:themeColor="text1"/>
          <w:lang w:val="fr-FR" w:eastAsia="zh-CN"/>
        </w:rPr>
      </w:pPr>
    </w:p>
    <w:p w14:paraId="74B9AB3D" w14:textId="77777777" w:rsidR="00B611D1" w:rsidRDefault="00B611D1">
      <w:pPr>
        <w:pStyle w:val="Titre2"/>
        <w:spacing w:before="0"/>
        <w:ind w:left="0"/>
        <w:rPr>
          <w:color w:val="000000" w:themeColor="text1"/>
          <w:lang w:val="fr-FR" w:eastAsia="zh-CN"/>
        </w:rPr>
      </w:pPr>
    </w:p>
    <w:p w14:paraId="11EB31AF" w14:textId="77777777" w:rsidR="00B611D1" w:rsidRDefault="00B611D1">
      <w:pPr>
        <w:pStyle w:val="Titre2"/>
        <w:spacing w:before="0"/>
        <w:ind w:left="0"/>
        <w:rPr>
          <w:color w:val="000000" w:themeColor="text1"/>
          <w:lang w:val="fr-FR" w:eastAsia="zh-CN"/>
        </w:rPr>
      </w:pPr>
    </w:p>
    <w:p w14:paraId="06DDB70F" w14:textId="77777777" w:rsidR="00B611D1" w:rsidRDefault="00B611D1">
      <w:pPr>
        <w:pStyle w:val="Titre2"/>
        <w:spacing w:before="0"/>
        <w:ind w:left="0"/>
        <w:rPr>
          <w:color w:val="000000" w:themeColor="text1"/>
          <w:lang w:val="fr-FR" w:eastAsia="zh-CN"/>
        </w:rPr>
      </w:pPr>
    </w:p>
    <w:p w14:paraId="02C45B92" w14:textId="77777777" w:rsidR="00B611D1" w:rsidRDefault="00B611D1">
      <w:pPr>
        <w:pStyle w:val="Titre2"/>
        <w:spacing w:before="0"/>
        <w:ind w:left="0"/>
        <w:rPr>
          <w:color w:val="000000" w:themeColor="text1"/>
          <w:lang w:val="fr-FR" w:eastAsia="zh-CN"/>
        </w:rPr>
      </w:pPr>
    </w:p>
    <w:p w14:paraId="41F9AE74" w14:textId="77777777" w:rsidR="00B611D1" w:rsidRDefault="00B611D1">
      <w:pPr>
        <w:pStyle w:val="Titre2"/>
        <w:spacing w:before="0"/>
        <w:ind w:left="0"/>
        <w:rPr>
          <w:color w:val="000000" w:themeColor="text1"/>
          <w:lang w:val="fr-FR" w:eastAsia="zh-CN"/>
        </w:rPr>
      </w:pPr>
    </w:p>
    <w:p w14:paraId="22A67DBF" w14:textId="77777777" w:rsidR="00B611D1" w:rsidRDefault="00B611D1">
      <w:pPr>
        <w:pStyle w:val="Titre2"/>
        <w:spacing w:before="0"/>
        <w:ind w:left="0"/>
        <w:rPr>
          <w:color w:val="000000" w:themeColor="text1"/>
          <w:lang w:val="fr-FR" w:eastAsia="zh-CN"/>
        </w:rPr>
      </w:pPr>
    </w:p>
    <w:p w14:paraId="6832DE8D" w14:textId="77777777" w:rsidR="00B611D1" w:rsidRDefault="00B611D1">
      <w:pPr>
        <w:pStyle w:val="Titre2"/>
        <w:spacing w:before="0"/>
        <w:ind w:left="0"/>
        <w:rPr>
          <w:color w:val="000000" w:themeColor="text1"/>
          <w:lang w:val="fr-FR" w:eastAsia="zh-CN"/>
        </w:rPr>
      </w:pPr>
    </w:p>
    <w:p w14:paraId="0290C315" w14:textId="77777777" w:rsidR="00B611D1" w:rsidRDefault="00B611D1">
      <w:pPr>
        <w:pStyle w:val="Titre2"/>
        <w:spacing w:before="0"/>
        <w:ind w:left="0"/>
        <w:rPr>
          <w:color w:val="000000" w:themeColor="text1"/>
          <w:lang w:val="fr-FR" w:eastAsia="zh-CN"/>
        </w:rPr>
      </w:pPr>
    </w:p>
    <w:p w14:paraId="0698B9C6" w14:textId="77777777" w:rsidR="00B611D1" w:rsidRDefault="00B611D1">
      <w:pPr>
        <w:pStyle w:val="Titre2"/>
        <w:spacing w:before="0"/>
        <w:ind w:left="0"/>
        <w:rPr>
          <w:color w:val="000000" w:themeColor="text1"/>
          <w:lang w:val="fr-FR" w:eastAsia="zh-CN"/>
        </w:rPr>
      </w:pPr>
    </w:p>
    <w:p w14:paraId="2C1B9CCD" w14:textId="77777777" w:rsidR="00B611D1" w:rsidRDefault="00B611D1">
      <w:pPr>
        <w:pStyle w:val="Titre2"/>
        <w:spacing w:before="0"/>
        <w:ind w:left="0"/>
        <w:rPr>
          <w:color w:val="000000" w:themeColor="text1"/>
          <w:lang w:val="fr-FR" w:eastAsia="zh-CN"/>
        </w:rPr>
      </w:pPr>
    </w:p>
    <w:p w14:paraId="3A5B33F6" w14:textId="77777777" w:rsidR="00B611D1" w:rsidRDefault="00B611D1">
      <w:pPr>
        <w:pStyle w:val="Titre2"/>
        <w:spacing w:before="0"/>
        <w:ind w:left="0"/>
        <w:rPr>
          <w:color w:val="000000" w:themeColor="text1"/>
          <w:lang w:val="fr-FR" w:eastAsia="zh-CN"/>
        </w:rPr>
      </w:pPr>
    </w:p>
    <w:p w14:paraId="57E54A9B" w14:textId="77777777" w:rsidR="00B611D1" w:rsidRDefault="00B611D1">
      <w:pPr>
        <w:pStyle w:val="Titre2"/>
        <w:spacing w:before="0"/>
        <w:ind w:left="0"/>
        <w:rPr>
          <w:color w:val="000000" w:themeColor="text1"/>
          <w:lang w:val="fr-FR" w:eastAsia="zh-CN"/>
        </w:rPr>
      </w:pPr>
    </w:p>
    <w:p w14:paraId="126C0390" w14:textId="77777777" w:rsidR="00B611D1" w:rsidRDefault="00B611D1">
      <w:pPr>
        <w:pStyle w:val="Titre2"/>
        <w:spacing w:before="0"/>
        <w:ind w:left="0"/>
        <w:rPr>
          <w:color w:val="000000" w:themeColor="text1"/>
          <w:lang w:val="fr-FR" w:eastAsia="zh-CN"/>
        </w:rPr>
      </w:pPr>
    </w:p>
    <w:p w14:paraId="54D16A54" w14:textId="77777777" w:rsidR="00B611D1" w:rsidRDefault="00B611D1">
      <w:pPr>
        <w:pStyle w:val="Titre2"/>
        <w:spacing w:before="0"/>
        <w:ind w:left="0"/>
        <w:rPr>
          <w:color w:val="000000" w:themeColor="text1"/>
          <w:lang w:val="fr-FR" w:eastAsia="zh-CN"/>
        </w:rPr>
      </w:pPr>
    </w:p>
    <w:p w14:paraId="00E8E925" w14:textId="77777777" w:rsidR="00B611D1" w:rsidRDefault="00B611D1">
      <w:pPr>
        <w:pStyle w:val="Titre2"/>
        <w:spacing w:before="0"/>
        <w:ind w:left="0"/>
        <w:rPr>
          <w:color w:val="000000" w:themeColor="text1"/>
          <w:lang w:val="fr-FR" w:eastAsia="zh-CN"/>
        </w:rPr>
      </w:pPr>
    </w:p>
    <w:p w14:paraId="0244CEA4" w14:textId="77777777" w:rsidR="00B611D1" w:rsidRDefault="00B611D1">
      <w:pPr>
        <w:pStyle w:val="Titre2"/>
        <w:spacing w:before="0"/>
        <w:ind w:left="0"/>
        <w:rPr>
          <w:color w:val="000000" w:themeColor="text1"/>
          <w:lang w:val="fr-FR" w:eastAsia="zh-CN"/>
        </w:rPr>
      </w:pPr>
    </w:p>
    <w:p w14:paraId="24B824C6" w14:textId="77777777" w:rsidR="00B611D1" w:rsidRDefault="00B611D1">
      <w:pPr>
        <w:pStyle w:val="Titre2"/>
        <w:spacing w:before="0"/>
        <w:ind w:left="0"/>
        <w:rPr>
          <w:color w:val="000000" w:themeColor="text1"/>
          <w:lang w:val="fr-FR" w:eastAsia="zh-CN"/>
        </w:rPr>
      </w:pPr>
    </w:p>
    <w:p w14:paraId="476791F0" w14:textId="77777777" w:rsidR="00B611D1" w:rsidRDefault="00B611D1">
      <w:pPr>
        <w:pStyle w:val="Titre1"/>
        <w:ind w:left="0"/>
        <w:rPr>
          <w:sz w:val="28"/>
          <w:szCs w:val="28"/>
          <w:lang w:val="fr-FR" w:eastAsia="zh-CN"/>
        </w:rPr>
        <w:sectPr w:rsidR="00B611D1">
          <w:headerReference w:type="default" r:id="rId32"/>
          <w:footerReference w:type="default" r:id="rId33"/>
          <w:pgSz w:w="11900" w:h="16840"/>
          <w:pgMar w:top="1080" w:right="900" w:bottom="1220" w:left="1180" w:header="715" w:footer="1025" w:gutter="0"/>
          <w:cols w:space="720"/>
          <w:titlePg/>
          <w:docGrid w:linePitch="326"/>
        </w:sectPr>
      </w:pPr>
      <w:bookmarkStart w:id="5" w:name="_Toc201260001"/>
    </w:p>
    <w:p w14:paraId="6B5672BF" w14:textId="77777777" w:rsidR="00B611D1" w:rsidRDefault="00FB7689">
      <w:pPr>
        <w:pStyle w:val="Titre1"/>
        <w:ind w:left="0"/>
        <w:rPr>
          <w:sz w:val="28"/>
          <w:szCs w:val="28"/>
          <w:lang w:val="fr-FR" w:eastAsia="zh-CN"/>
        </w:rPr>
      </w:pPr>
      <w:r>
        <w:rPr>
          <w:sz w:val="28"/>
          <w:szCs w:val="28"/>
          <w:lang w:val="fr-FR" w:eastAsia="zh-CN"/>
        </w:rPr>
        <w:t>Introduction</w:t>
      </w:r>
      <w:bookmarkEnd w:id="5"/>
    </w:p>
    <w:p w14:paraId="6E7D07B7" w14:textId="77777777" w:rsidR="00B611D1" w:rsidRDefault="00B611D1">
      <w:pPr>
        <w:pStyle w:val="Titre2"/>
        <w:spacing w:before="0"/>
        <w:ind w:left="0"/>
        <w:rPr>
          <w:lang w:val="fr-FR" w:eastAsia="zh-CN"/>
        </w:rPr>
      </w:pPr>
    </w:p>
    <w:p w14:paraId="4D9DDAE9" w14:textId="77777777" w:rsidR="00B611D1" w:rsidRDefault="00FB7689">
      <w:pPr>
        <w:spacing w:after="200" w:line="360" w:lineRule="auto"/>
        <w:jc w:val="both"/>
        <w:rPr>
          <w:rFonts w:asciiTheme="majorBidi" w:eastAsia="Calibri" w:hAnsiTheme="majorBidi" w:cstheme="majorBidi"/>
          <w:kern w:val="2"/>
          <w:lang w:val="fr" w:eastAsia="zh-CN" w:bidi="ar"/>
        </w:rPr>
      </w:pPr>
      <w:r>
        <w:rPr>
          <w:rFonts w:asciiTheme="majorBidi" w:hAnsiTheme="majorBidi" w:cstheme="majorBidi"/>
          <w:lang w:val="fr-FR" w:eastAsia="zh-CN"/>
        </w:rPr>
        <w:t xml:space="preserve">Les établissements hospitaliers, bien qu’étant des lieux dédiés aux soins et à la guérison, peuvent paradoxalement devenir des foyers de transmission d’infections </w:t>
      </w:r>
      <w:r>
        <w:rPr>
          <w:rFonts w:asciiTheme="majorBidi" w:eastAsia="Calibri" w:hAnsiTheme="majorBidi" w:cstheme="majorBidi" w:hint="eastAsia"/>
          <w:b/>
          <w:bCs/>
          <w:color w:val="F79646"/>
          <w:lang w:val="fr" w:bidi="ar"/>
        </w:rPr>
        <w:fldChar w:fldCharType="begin"/>
      </w:r>
      <w:r>
        <w:rPr>
          <w:rFonts w:asciiTheme="majorBidi" w:eastAsia="Calibri" w:hAnsiTheme="majorBidi" w:cstheme="majorBidi"/>
          <w:b/>
          <w:bCs/>
          <w:color w:val="F79646"/>
          <w:lang w:val="fr" w:eastAsia="zh-CN" w:bidi="ar"/>
        </w:rPr>
        <w:instrText xml:space="preserve"> ADDIN ZOTERO_ITEM CSL_CITATION {"citationID":"EoGoNouQ","properties":{"formattedCitation":"(Gadiaga, 2022)","plainCitation":"(Gadiaga, 2022)","noteIndex":0},"citationItems":[{"id":42,"uris":["http://zotero.org/users/16279382/items/9SHRY6UU"],"itemData":{"id":42,"type":"thesis","abstract":"Les établissements de santé sont des lieux destinés à réaliser des activités de diagnostic, de prévention et de soins. Et lors de ces activités, les usagers peuvent être victimes d'autres maladies différentes de celle qui les a fait transiter par ces établissements, c'est-à-dire des infections nosocomiales ou nosocomiales.Mais, il est important de savoir que toutes les infections contractées à l'hôpital ne sont pas nosocomiales, c'est pourquoi il est important de faire la différence entre une infection communautaire présente chez le patient avant son passage à l'hôpital et celle contractée en son sein. Ainsi, il existe deux types, à savoir, les infections nosocomiales endogènes et exogènes. la première est celle qui est considérée comme une auto-infection du patient, c'est-à-dire lorsque le patient s'infecte par sa propre flore et la seconde est celle provoquée par l'environnement hospitalier, par exemple : eau, matériel mal désinfecté ou les mains du médecin par la manipulation de bactéries. Ainsi, pour prouver le caractère nosocomial de l'infection, une période d'incubation de 48 heures a été fixée par les tribunaux, cette période pouvant s'étendre à 1 mois dans le cadre d'une infection du site opératoire et à 1 an lorsque du matériel prothétique a été mis. En France et au Mali, des efforts ont été initiés contre ces infections très coûteuses pour les établissements, ce qui a également conduit à la mise en place de comités de lutte contre les infections avec la mise à disposition de portails de signalement permettant aux usagers de contacter les autorités sanitaires en cas de doute. Contrairement à la France, le Mali peine à mener une véritable lutte contre ces maladies qui touchent environ la moitié des patients hospitalisés dans les grands hôpitaux publics du pays. Face à la recrudescence du nombre de victimes, la justice a décidé de se présenter en énonçant le droit permettant aux victimes de demander réparation des préjudices liés aux infections nosocomiales. Pour cette réparation, l'Etat français par la loi du 30 décembre 2002, donne la possibilité aux victimes d'infections nosocomiales d'être indemnisées par l'ONIAM lorsqu'une faute n'a pas été commise par les établissements de santé. Mais en revanche, en cas de faute, une expertise médicale serait nécessaire pour prouver le lien de causalité entre l'infection et l'hospitalisation.","genre":"PhD Thesis","language":"fr","publisher":"Normandie Université","source":"theses.hal.science","title":"Etude relative aux infections nosocomiales et à la </w:instrText>
      </w:r>
      <w:r>
        <w:rPr>
          <w:rFonts w:asciiTheme="majorBidi" w:eastAsia="Calibri" w:hAnsiTheme="majorBidi" w:cstheme="majorBidi"/>
          <w:b/>
          <w:bCs/>
          <w:color w:val="F79646"/>
          <w:lang w:val="fr" w:bidi="ar"/>
        </w:rPr>
        <w:instrText xml:space="preserve">responsabilité des établissements de santé : les cas de la France et du Mali","title-short":"Etude relative aux infections nosocomiales et à la responsabilité des établissements de santé","URL":"https://theses.hal.science/tel-03885826","author":[{"family":"Gadiaga","given":"Fousseyni"}],"accessed":{"date-parts":[["2025",2,17]]},"issued":{"date-parts":[["2022",9,16]]}}}],"schema":"https://github.com/citation-style-language/schema/raw/master/csl-citation.json"} </w:instrText>
      </w:r>
      <w:r>
        <w:rPr>
          <w:rFonts w:asciiTheme="majorBidi" w:eastAsia="Calibri" w:hAnsiTheme="majorBidi" w:cstheme="majorBidi" w:hint="eastAsia"/>
          <w:b/>
          <w:bCs/>
          <w:color w:val="F79646"/>
          <w:lang w:val="fr" w:bidi="ar"/>
        </w:rPr>
        <w:fldChar w:fldCharType="separate"/>
      </w:r>
      <w:r>
        <w:rPr>
          <w:rFonts w:asciiTheme="majorBidi" w:eastAsia="Calibri" w:hAnsiTheme="majorBidi" w:cstheme="majorBidi"/>
          <w:b/>
          <w:bCs/>
          <w:lang w:val="fr" w:bidi="ar"/>
        </w:rPr>
        <w:t>(Gadiaga, 2022)</w:t>
      </w:r>
      <w:r>
        <w:rPr>
          <w:rFonts w:asciiTheme="majorBidi" w:eastAsia="Calibri" w:hAnsiTheme="majorBidi" w:cstheme="majorBidi" w:hint="eastAsia"/>
          <w:b/>
          <w:bCs/>
          <w:color w:val="F79646"/>
          <w:lang w:val="fr" w:bidi="ar"/>
        </w:rPr>
        <w:fldChar w:fldCharType="end"/>
      </w:r>
      <w:r>
        <w:rPr>
          <w:rFonts w:asciiTheme="majorBidi" w:hAnsiTheme="majorBidi" w:cstheme="majorBidi"/>
          <w:b/>
          <w:bCs/>
          <w:lang w:val="fr-FR"/>
        </w:rPr>
        <w:t>.</w:t>
      </w:r>
      <w:r>
        <w:rPr>
          <w:rFonts w:asciiTheme="majorBidi" w:hAnsiTheme="majorBidi" w:cstheme="majorBidi"/>
          <w:lang w:val="fr-FR"/>
        </w:rPr>
        <w:t xml:space="preserve"> Cette réalité préoccupante s’explique par plusieurs facteurs, notamment l’utilisation fréquente de procédures invasives, le contact prolongé des patients avec des dispositifs médicaux et, dans certains cas, des déficiences en matière d’hygiène et d’organisation </w:t>
      </w:r>
      <w:r>
        <w:rPr>
          <w:rFonts w:asciiTheme="majorBidi" w:eastAsia="Calibri" w:hAnsiTheme="majorBidi" w:cstheme="majorBidi"/>
          <w:b/>
          <w:bCs/>
          <w:kern w:val="2"/>
          <w:lang w:val="fr" w:eastAsia="zh-CN" w:bidi="ar"/>
        </w:rPr>
        <w:fldChar w:fldCharType="begin"/>
      </w:r>
      <w:r>
        <w:rPr>
          <w:rFonts w:asciiTheme="majorBidi" w:eastAsia="Calibri" w:hAnsiTheme="majorBidi" w:cstheme="majorBidi"/>
          <w:b/>
          <w:bCs/>
          <w:kern w:val="2"/>
          <w:lang w:val="fr" w:eastAsia="zh-CN" w:bidi="ar"/>
        </w:rPr>
        <w:instrText xml:space="preserve"> ADDIN ZOTERO_ITEM CSL_CITATION {"citationID":"Tu84xv7S","properties":{"formattedCitation":"(Ghernaout-Benchouk, 2013)","plainCitation":"(Ghernaout-Benchouk, 2013)","noteIndex":0},"citationItems":[{"id":28,"uris":["http://zotero.org/users/16279382/items/LMJXWYBY"],"itemData":{"id":28,"type":"article-journal","container-title":"Faculty of Medecine of B. Benzerdjeb, Aboubekr Benlkaid University, Tlemcen, Algeria","source":"Google Scholar","title":"Prevalence du portage nasal de Staphylococcus Aureus: son role dans L’infection du site operatoire","title-short":"Prevalence du portage nasal de Staphylococcus Aureus","author":[{"family":"Ghernaout-Benchouk","given":"Samia"}],"issued":{"date-parts":[["2013"]]}}}],"schema":"https://github.com/citation-style-language/schema/raw/master/csl-citation.json"} </w:instrText>
      </w:r>
      <w:r>
        <w:rPr>
          <w:rFonts w:asciiTheme="majorBidi" w:eastAsia="Calibri" w:hAnsiTheme="majorBidi" w:cstheme="majorBidi"/>
          <w:b/>
          <w:bCs/>
          <w:kern w:val="2"/>
          <w:lang w:val="fr" w:eastAsia="zh-CN" w:bidi="ar"/>
        </w:rPr>
        <w:fldChar w:fldCharType="separate"/>
      </w:r>
      <w:r>
        <w:rPr>
          <w:rFonts w:asciiTheme="majorBidi" w:eastAsia="Calibri" w:hAnsiTheme="majorBidi" w:cstheme="majorBidi"/>
          <w:b/>
          <w:bCs/>
          <w:kern w:val="2"/>
          <w:lang w:val="fr" w:eastAsia="zh-CN" w:bidi="ar"/>
        </w:rPr>
        <w:t>(Ghernaout-Benchouk, 2013)</w:t>
      </w:r>
      <w:r>
        <w:rPr>
          <w:rFonts w:asciiTheme="majorBidi" w:eastAsia="Calibri" w:hAnsiTheme="majorBidi" w:cstheme="majorBidi"/>
          <w:b/>
          <w:bCs/>
          <w:kern w:val="2"/>
          <w:lang w:val="fr" w:eastAsia="zh-CN" w:bidi="ar"/>
        </w:rPr>
        <w:fldChar w:fldCharType="end"/>
      </w:r>
      <w:r>
        <w:rPr>
          <w:rFonts w:asciiTheme="majorBidi" w:eastAsia="Calibri" w:hAnsiTheme="majorBidi" w:cstheme="majorBidi"/>
          <w:b/>
          <w:bCs/>
          <w:kern w:val="2"/>
          <w:lang w:val="fr" w:eastAsia="zh-CN" w:bidi="ar"/>
        </w:rPr>
        <w:t xml:space="preserve">. </w:t>
      </w:r>
    </w:p>
    <w:p w14:paraId="3BE3F7FC" w14:textId="77777777" w:rsidR="00B611D1" w:rsidRDefault="00FB7689">
      <w:pPr>
        <w:spacing w:after="200" w:line="360" w:lineRule="auto"/>
        <w:jc w:val="both"/>
        <w:rPr>
          <w:rFonts w:asciiTheme="majorBidi" w:eastAsia="Calibri" w:hAnsiTheme="majorBidi" w:cstheme="majorBidi"/>
          <w:kern w:val="2"/>
          <w:lang w:val="fr" w:eastAsia="zh-CN" w:bidi="ar"/>
        </w:rPr>
      </w:pPr>
      <w:r>
        <w:rPr>
          <w:rFonts w:asciiTheme="majorBidi" w:hAnsiTheme="majorBidi" w:cstheme="majorBidi"/>
          <w:lang w:val="fr-FR"/>
        </w:rPr>
        <w:t xml:space="preserve">À l’échelle mondiale, les infections associées aux soins de santé représentent un enjeu majeur de santé publique. Il est estimé que 7 à 10 % des patients hospitalisés développent au moins une infection nosocomiale au cours de leur séjour </w:t>
      </w:r>
      <w:r>
        <w:rPr>
          <w:rFonts w:asciiTheme="majorBidi" w:eastAsia="Calibri" w:hAnsiTheme="majorBidi" w:cstheme="majorBidi"/>
          <w:b/>
          <w:bCs/>
          <w:kern w:val="2"/>
          <w:lang w:val="fr" w:eastAsia="zh-CN" w:bidi="ar"/>
        </w:rPr>
        <w:fldChar w:fldCharType="begin"/>
      </w:r>
      <w:r>
        <w:rPr>
          <w:rFonts w:asciiTheme="majorBidi" w:eastAsia="Calibri" w:hAnsiTheme="majorBidi" w:cstheme="majorBidi"/>
          <w:b/>
          <w:bCs/>
          <w:kern w:val="2"/>
          <w:lang w:val="fr" w:eastAsia="zh-CN" w:bidi="ar"/>
        </w:rPr>
        <w:instrText xml:space="preserve"> ADDIN ZOTERO_ITEM CSL_CITATION {"citationID":"QWHtsoKA","properties":{"formattedCitation":"(Pereira et al., 2019)","plainCitation":"(Pereira et al., 2019)","noteIndex":0},"citationItems":[{"id":36,"uris":["http://zotero.org/users/16279382/items/KJN2PQPF"],"itemData":{"id":36,"type":"article-journal","abstract":"Nontuberculous mycobacteria (NTM) are ubiquitous in nature and recognized agents of opportunistic infection, which is often aggravated by their intrinsic resistance to antimicrobials, poorly defined therapeutic strategies and by the lack of new drugs. However, evaluation of their prevalence in anthropogenic environments and the associated antimicrobial resistance profiles have been neglected. In this work, we sought to determine minimal inhibitory concentrations of 25 antimicrobials against 5 NTM isolates recovered from a tertiary-care hospital surfaces. Antimicrobial susceptibilities of 5 other Corynebacterineae isolated from the same hospital were also determined for their potential clinical relevance.","container-title":"BMC Microbiology","DOI":"10.1186/s12866-019-1428-4","ISSN":"1471-2180","issue":"1","journalAbbreviation":"BMC Microbiol","language":"en","page":"62","source":"Springer Link","title":"Studies of antimicrobial resistance in rare mycobacteria from a nosocomial environment","volume":"19","author":[{"family":"Pereira","given":"Sónia Gonçalves"},{"family":"Alarico","given":"Susana"},{"family":"Tiago","given":"Igor"},{"family":"Reis","given":"Diogo"},{"family":"Nunes-Costa","given":"Daniela"},{"family":"Cardoso","given":"Olga"},{"family":"Maranha","given":"Ana"},{"family":"Empadinhas","given":"Nuno"}],"issued":{"date-parts":[["2019",3,19]]}}}],"schema":"https://github.com/citation-style-language/schema/raw/master/csl-citation.json"} </w:instrText>
      </w:r>
      <w:r>
        <w:rPr>
          <w:rFonts w:asciiTheme="majorBidi" w:eastAsia="Calibri" w:hAnsiTheme="majorBidi" w:cstheme="majorBidi"/>
          <w:b/>
          <w:bCs/>
          <w:kern w:val="2"/>
          <w:lang w:val="fr" w:eastAsia="zh-CN" w:bidi="ar"/>
        </w:rPr>
        <w:fldChar w:fldCharType="separate"/>
      </w:r>
      <w:r>
        <w:rPr>
          <w:rFonts w:asciiTheme="majorBidi" w:eastAsia="Calibri" w:hAnsiTheme="majorBidi" w:cstheme="majorBidi"/>
          <w:b/>
          <w:bCs/>
          <w:kern w:val="2"/>
          <w:lang w:val="fr" w:eastAsia="zh-CN" w:bidi="ar"/>
        </w:rPr>
        <w:t xml:space="preserve">(Pereira </w:t>
      </w:r>
      <w:r>
        <w:rPr>
          <w:rFonts w:asciiTheme="majorBidi" w:eastAsia="Calibri" w:hAnsiTheme="majorBidi" w:cstheme="majorBidi"/>
          <w:b/>
          <w:bCs/>
          <w:i/>
          <w:iCs/>
          <w:kern w:val="2"/>
          <w:lang w:val="fr" w:eastAsia="zh-CN" w:bidi="ar"/>
        </w:rPr>
        <w:t>et al</w:t>
      </w:r>
      <w:r>
        <w:rPr>
          <w:rFonts w:asciiTheme="majorBidi" w:eastAsia="Calibri" w:hAnsiTheme="majorBidi" w:cstheme="majorBidi"/>
          <w:b/>
          <w:bCs/>
          <w:kern w:val="2"/>
          <w:lang w:val="fr" w:eastAsia="zh-CN" w:bidi="ar"/>
        </w:rPr>
        <w:t>., 2019)</w:t>
      </w:r>
      <w:r>
        <w:rPr>
          <w:rFonts w:asciiTheme="majorBidi" w:eastAsia="Calibri" w:hAnsiTheme="majorBidi" w:cstheme="majorBidi"/>
          <w:b/>
          <w:bCs/>
          <w:kern w:val="2"/>
          <w:lang w:val="fr" w:eastAsia="zh-CN" w:bidi="ar"/>
        </w:rPr>
        <w:fldChar w:fldCharType="end"/>
      </w:r>
      <w:r>
        <w:rPr>
          <w:rFonts w:asciiTheme="majorBidi" w:eastAsia="Calibri" w:hAnsiTheme="majorBidi" w:cstheme="majorBidi"/>
          <w:b/>
          <w:bCs/>
          <w:kern w:val="2"/>
          <w:lang w:val="fr" w:eastAsia="zh-CN" w:bidi="ar"/>
        </w:rPr>
        <w:t>.</w:t>
      </w:r>
      <w:r>
        <w:rPr>
          <w:rFonts w:asciiTheme="majorBidi" w:eastAsia="Calibri" w:hAnsiTheme="majorBidi" w:cstheme="majorBidi"/>
          <w:kern w:val="2"/>
          <w:lang w:val="fr" w:eastAsia="zh-CN" w:bidi="ar"/>
        </w:rPr>
        <w:t xml:space="preserve"> </w:t>
      </w:r>
    </w:p>
    <w:p w14:paraId="33AD4222" w14:textId="77777777" w:rsidR="00B611D1" w:rsidRDefault="00FB7689">
      <w:pPr>
        <w:spacing w:after="200" w:line="360" w:lineRule="auto"/>
        <w:jc w:val="both"/>
        <w:rPr>
          <w:b/>
          <w:bCs/>
          <w:lang w:val="fr-FR"/>
        </w:rPr>
      </w:pPr>
      <w:r>
        <w:rPr>
          <w:lang w:val="fr-FR"/>
        </w:rPr>
        <w:t xml:space="preserve">Les </w:t>
      </w:r>
      <w:r>
        <w:rPr>
          <w:rStyle w:val="lev"/>
          <w:b w:val="0"/>
          <w:bCs w:val="0"/>
          <w:lang w:val="fr-FR"/>
        </w:rPr>
        <w:t>services d’urgence (SU)</w:t>
      </w:r>
      <w:r>
        <w:rPr>
          <w:lang w:val="fr-FR"/>
        </w:rPr>
        <w:t xml:space="preserve"> occupent une place stratégique dans le système hospitalier. Toutefois, ils présentent des défis uniques en matière de prévention des infections. En effet, la forte affluence des patients, leur proximité, le rythme soutenu des soins et la diversité des situations cliniques compliquent les protocoles d’hygiène et de désinfection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{"citationID":"pN6717Jw","properties":{"formattedCitation":"(Huslage et al., 2010)","plainCitation":"(Huslage et al., 2010)","noteIndex":0},"citationItems":[{"id":307,"uris":["http://zotero.org/users/16279382/items/NKKWL4QB"],"itemData":{"id":307,"type":"article-journal","abstract":"Fifty interactions between healthcare workers and patients were observed to obtain a quantifiable definition of “high-touch” (ie, frequently touched) surfaces based on frequency of contact. Five surfaces were defined as high-touch surfaces: the bed rails, the bed surface, the supply cart, the over-bed table, and the intravenous pump.","container-title":"Infection Control &amp; Hospital Epidemiology","DOI":"10.1086/655016","ISSN":"0899-823X, 1559-6834","issue":"8","language":"en","page":"850-853","source":"Cambridge University Press","title":"A Quantitative Approach to Defining “High-Touch” Surfaces in Hospitals","volume":"31","author":[{"family":"Huslage","given":"Kirk"},{"family":"Rutala","given":"William A."},{"family":"Sickbert-Bennett","given":"Emily"},{"family":"Weber","given":"David J."}],"issued":{"date-parts":[["2010",8]]}}}],"schema":"https://github.com/citation-style-language/schema/raw/master/csl-citation.json"}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(Huslage et al., 2010</w:t>
      </w:r>
      <w:r>
        <w:rPr>
          <w:rFonts w:eastAsia="Calibri"/>
          <w:b/>
          <w:bCs/>
          <w:kern w:val="2"/>
          <w:szCs w:val="22"/>
          <w:lang w:val="fr-FR" w:eastAsia="zh-CN" w:bidi="ar"/>
        </w:rPr>
        <w:t>;</w:t>
      </w:r>
      <w:r>
        <w:rPr>
          <w:rFonts w:eastAsia="Calibri"/>
          <w:b/>
          <w:bCs/>
          <w:kern w:val="2"/>
          <w:lang w:val="fr" w:eastAsia="zh-CN" w:bidi="ar"/>
        </w:rPr>
        <w:fldChar w:fldCharType="end"/>
      </w:r>
      <w:r>
        <w:rPr>
          <w:rFonts w:eastAsia="Calibri"/>
          <w:b/>
          <w:bCs/>
          <w:kern w:val="2"/>
          <w:lang w:val="fr" w:eastAsia="zh-CN" w:bidi="ar"/>
        </w:rPr>
        <w:t xml:space="preserve"> </w:t>
      </w:r>
      <w:r>
        <w:rPr>
          <w:rFonts w:eastAsia="Calibri"/>
          <w:b/>
          <w:bCs/>
          <w:kern w:val="2"/>
          <w:lang w:val="en-US" w:eastAsia="zh-CN" w:bidi="ar"/>
        </w:rPr>
        <w:fldChar w:fldCharType="begin"/>
      </w:r>
      <w:r>
        <w:rPr>
          <w:rFonts w:eastAsia="Calibri"/>
          <w:b/>
          <w:bCs/>
          <w:kern w:val="2"/>
          <w:lang w:val="fr" w:eastAsia="zh-CN" w:bidi="ar"/>
        </w:rPr>
        <w:instrText xml:space="preserve"> ADDIN ZOTERO_ITEM CSL_CITATION {"citationID":"A7WuKozl","properties":{"formattedCitation":"(Murtaza Sara et al., 2024)","plainCitation":"(Murtaza Sara et al., 2024)","noteIndex":0},"citationItems":[{"id":437,"uris":["http://zotero.org/users/16279382/items/YNF2DRJQ"],"itemData":{"id":437,"type":"article-journal","abstract":"Healthcare-associated infections (HAIs), or nosocomial infections, refer to patients getting new infections while getting treatment for an existing condition in a healthcare facility. HAI poses a significant challenge in healthcare delivery that results in higher rates of mortality and morbidity as well as a longer duration of hospital stay. While the real cause of HAI in a hospital varies widely and in most cases untraceable, it is popularly believed that patient flow in a hospital—which hospital units patients visit and where they spend the most time since their admission into the hospital—can trace back to HAI incidence in the hospital. Based on this observation, we, in this paper, model and simulate patient flow in an emergency department of a hospital and then utilize the developed model to study HAI incidence therein. We obtain (a) a flowchart of patient movement (admission to discharge) and (b) anonymous patient data from University Health Medical Center for a duration of 11 months (Aug 2022–June 2023). Based on these data, we develop and validate the patient flow model. Our model captures patient movement in different areas of a typical emergency department, such as triage, waiting room, and minor procedure rooms. We employ the discrete-event simulation (DES) technique to model patient flow and associated HAI infections using the simulation software, Anylogic. Our simulation results show that the rates of HAI incidence are proportional to both the specific areas patients occupy and the duration of their stay. By utilizing our model, hospital administrators and infection control teams can implement targeted strategies to reduce the incidence of HAI and enhance patient safety, ultimately leading to improved healthcare outcomes and more efficient resource allocation.","container-title":"Smart Health","DOI":"10.1016/j.smhl.2024.100467","ISSN":"2352-6483","journalAbbreviation":"Smart Health","page":"100467","source":"ScienceDirect","title":"Patient flow modeling and simulation to study HAI incidence in an Emergency Department","volume":"32","author":[{"family":"Murtaza Sara","given":"Sarawat"},{"family":"Thota","given":"Ravi Chandra"},{"family":"Uddin","given":"Md Yusuf Sarwar"},{"family":"Bani-Yaghoub","given":"Majid"},{"family":"Sutkin","given":"Gary"},{"family":"Abourraja","given":"Mohamed Nezar"}],"issued":{"date-parts":[["2024",6,1]]}}}],"schema":"https://github.com/citation-style-language/schema/raw/master/csl-citation.json"} </w:instrText>
      </w:r>
      <w:r>
        <w:rPr>
          <w:rFonts w:eastAsia="Calibri"/>
          <w:b/>
          <w:bCs/>
          <w:kern w:val="2"/>
          <w:lang w:val="en-US" w:eastAsia="zh-CN" w:bidi="ar"/>
        </w:rPr>
        <w:fldChar w:fldCharType="separate"/>
      </w:r>
      <w:r>
        <w:rPr>
          <w:rFonts w:eastAsia="Calibri"/>
          <w:b/>
          <w:bCs/>
          <w:kern w:val="2"/>
          <w:szCs w:val="22"/>
          <w:lang w:val="fr" w:eastAsia="zh-CN" w:bidi="ar"/>
        </w:rPr>
        <w:t xml:space="preserve">Murtaza Sara </w:t>
      </w:r>
      <w:r>
        <w:rPr>
          <w:rFonts w:eastAsia="Calibri"/>
          <w:b/>
          <w:bCs/>
          <w:i/>
          <w:iCs/>
          <w:kern w:val="2"/>
          <w:szCs w:val="22"/>
          <w:lang w:val="fr" w:eastAsia="zh-CN" w:bidi="ar"/>
        </w:rPr>
        <w:t>et al</w:t>
      </w:r>
      <w:r>
        <w:rPr>
          <w:rFonts w:eastAsia="Calibri"/>
          <w:b/>
          <w:bCs/>
          <w:kern w:val="2"/>
          <w:szCs w:val="22"/>
          <w:lang w:val="fr" w:eastAsia="zh-CN" w:bidi="ar"/>
        </w:rPr>
        <w:t>., 2024)</w:t>
      </w:r>
      <w:r>
        <w:rPr>
          <w:rFonts w:eastAsia="Calibri"/>
          <w:b/>
          <w:bCs/>
          <w:kern w:val="2"/>
          <w:lang w:val="en-US" w:eastAsia="zh-CN" w:bidi="ar"/>
        </w:rPr>
        <w:fldChar w:fldCharType="end"/>
      </w:r>
      <w:r>
        <w:rPr>
          <w:rFonts w:eastAsia="Calibri"/>
          <w:b/>
          <w:bCs/>
          <w:kern w:val="2"/>
          <w:lang w:val="fr-FR" w:eastAsia="zh-CN" w:bidi="ar"/>
        </w:rPr>
        <w:t>.</w:t>
      </w:r>
    </w:p>
    <w:p w14:paraId="18CEE60D" w14:textId="77777777" w:rsidR="00B611D1" w:rsidRDefault="00FB7689">
      <w:pPr>
        <w:spacing w:after="200" w:line="360" w:lineRule="auto"/>
        <w:jc w:val="both"/>
        <w:rPr>
          <w:rFonts w:asciiTheme="majorBidi" w:eastAsia="Calibri" w:hAnsiTheme="majorBidi" w:cstheme="majorBidi"/>
          <w:kern w:val="2"/>
          <w:lang w:val="fr" w:eastAsia="zh-CN" w:bidi="ar"/>
        </w:rPr>
      </w:pPr>
      <w:r>
        <w:rPr>
          <w:rFonts w:asciiTheme="majorBidi" w:eastAsia="Calibri" w:hAnsiTheme="majorBidi" w:cstheme="majorBidi"/>
          <w:kern w:val="2"/>
          <w:lang w:val="fr-FR" w:eastAsia="zh-CN" w:bidi="ar"/>
        </w:rPr>
        <w:t xml:space="preserve">Au cœur de cette problématique, les surfaces hospitalières se révèlent être des réservoirs insoupçonnés de germes pathogènes. </w:t>
      </w:r>
      <w:r>
        <w:rPr>
          <w:rFonts w:asciiTheme="majorBidi" w:eastAsia="Calibri" w:hAnsiTheme="majorBidi" w:cstheme="majorBidi"/>
          <w:kern w:val="2"/>
          <w:lang w:val="fr" w:eastAsia="zh-CN" w:bidi="ar"/>
        </w:rPr>
        <w:t xml:space="preserve">Poignées de porte, équipements médicaux, lits, respirateurs… autant de supports contaminés qui facilitent la dissémination de bactéries potentiellement dangereuses. Parmi elles, on retrouve des agents pathogènes redoutables tels que </w:t>
      </w:r>
      <w:r>
        <w:rPr>
          <w:rFonts w:asciiTheme="majorBidi" w:eastAsia="Calibri" w:hAnsiTheme="majorBidi" w:cstheme="majorBidi"/>
          <w:i/>
          <w:iCs/>
          <w:kern w:val="2"/>
          <w:lang w:val="fr" w:eastAsia="zh-CN" w:bidi="ar"/>
        </w:rPr>
        <w:t>Staphylococcus aureus</w:t>
      </w:r>
      <w:r>
        <w:rPr>
          <w:rFonts w:asciiTheme="majorBidi" w:eastAsia="Calibri" w:hAnsiTheme="majorBidi" w:cstheme="majorBidi"/>
          <w:kern w:val="2"/>
          <w:lang w:val="fr" w:eastAsia="zh-CN" w:bidi="ar"/>
        </w:rPr>
        <w:t>,</w:t>
      </w:r>
      <w:r>
        <w:rPr>
          <w:rFonts w:asciiTheme="majorBidi" w:eastAsia="Calibri" w:hAnsiTheme="majorBidi" w:cstheme="majorBidi"/>
          <w:i/>
          <w:iCs/>
          <w:kern w:val="2"/>
          <w:lang w:val="fr" w:eastAsia="zh-CN" w:bidi="ar"/>
        </w:rPr>
        <w:t xml:space="preserve"> Escherichia coli</w:t>
      </w:r>
      <w:r>
        <w:rPr>
          <w:rFonts w:asciiTheme="majorBidi" w:eastAsia="Calibri" w:hAnsiTheme="majorBidi" w:cstheme="majorBidi"/>
          <w:kern w:val="2"/>
          <w:lang w:val="fr" w:eastAsia="zh-CN" w:bidi="ar"/>
        </w:rPr>
        <w:t xml:space="preserve">, </w:t>
      </w:r>
      <w:r>
        <w:rPr>
          <w:rFonts w:asciiTheme="majorBidi" w:eastAsia="Calibri" w:hAnsiTheme="majorBidi" w:cstheme="majorBidi"/>
          <w:i/>
          <w:iCs/>
          <w:kern w:val="2"/>
          <w:lang w:val="fr" w:eastAsia="zh-CN" w:bidi="ar"/>
        </w:rPr>
        <w:t>Enterococcus spp</w:t>
      </w:r>
      <w:r>
        <w:rPr>
          <w:rFonts w:asciiTheme="majorBidi" w:eastAsia="Calibri" w:hAnsiTheme="majorBidi" w:cstheme="majorBidi"/>
          <w:kern w:val="2"/>
          <w:lang w:val="fr" w:eastAsia="zh-CN" w:bidi="ar"/>
        </w:rPr>
        <w:t xml:space="preserve">., </w:t>
      </w:r>
      <w:r>
        <w:rPr>
          <w:rFonts w:asciiTheme="majorBidi" w:eastAsia="Calibri" w:hAnsiTheme="majorBidi" w:cstheme="majorBidi"/>
          <w:i/>
          <w:iCs/>
          <w:kern w:val="2"/>
          <w:lang w:val="fr" w:eastAsia="zh-CN" w:bidi="ar"/>
        </w:rPr>
        <w:t>Acinetobacter spp</w:t>
      </w:r>
      <w:r>
        <w:rPr>
          <w:rFonts w:asciiTheme="majorBidi" w:eastAsia="Calibri" w:hAnsiTheme="majorBidi" w:cstheme="majorBidi"/>
          <w:kern w:val="2"/>
          <w:lang w:val="fr" w:eastAsia="zh-CN" w:bidi="ar"/>
        </w:rPr>
        <w:t xml:space="preserve">., </w:t>
      </w:r>
      <w:r>
        <w:rPr>
          <w:rFonts w:asciiTheme="majorBidi" w:eastAsia="Calibri" w:hAnsiTheme="majorBidi" w:cstheme="majorBidi"/>
          <w:i/>
          <w:iCs/>
          <w:kern w:val="2"/>
          <w:lang w:val="fr" w:eastAsia="zh-CN" w:bidi="ar"/>
        </w:rPr>
        <w:t>Klebsiella spp</w:t>
      </w:r>
      <w:r>
        <w:rPr>
          <w:rFonts w:asciiTheme="majorBidi" w:eastAsia="Calibri" w:hAnsiTheme="majorBidi" w:cstheme="majorBidi"/>
          <w:kern w:val="2"/>
          <w:lang w:val="fr" w:eastAsia="zh-CN" w:bidi="ar"/>
        </w:rPr>
        <w:t xml:space="preserve">. et </w:t>
      </w:r>
      <w:r>
        <w:rPr>
          <w:rFonts w:asciiTheme="majorBidi" w:eastAsia="Calibri" w:hAnsiTheme="majorBidi" w:cstheme="majorBidi"/>
          <w:i/>
          <w:iCs/>
          <w:kern w:val="2"/>
          <w:lang w:val="fr" w:eastAsia="zh-CN" w:bidi="ar"/>
        </w:rPr>
        <w:t>Pseudomonas spp</w:t>
      </w:r>
      <w:r>
        <w:rPr>
          <w:rFonts w:asciiTheme="majorBidi" w:eastAsia="Calibri" w:hAnsiTheme="majorBidi" w:cstheme="majorBidi"/>
          <w:kern w:val="2"/>
          <w:lang w:val="fr" w:eastAsia="zh-CN" w:bidi="ar"/>
        </w:rPr>
        <w:t xml:space="preserve">. </w:t>
      </w:r>
      <w:r>
        <w:rPr>
          <w:rFonts w:asciiTheme="majorBidi" w:eastAsia="Calibri" w:hAnsiTheme="majorBidi" w:cstheme="majorBidi"/>
          <w:b/>
          <w:bCs/>
          <w:kern w:val="2"/>
          <w:lang w:val="fr" w:eastAsia="zh-CN" w:bidi="ar"/>
        </w:rPr>
        <w:fldChar w:fldCharType="begin"/>
      </w:r>
      <w:r>
        <w:rPr>
          <w:rFonts w:asciiTheme="majorBidi" w:eastAsia="Calibri" w:hAnsiTheme="majorBidi" w:cstheme="majorBidi"/>
          <w:b/>
          <w:bCs/>
          <w:kern w:val="2"/>
          <w:lang w:val="fr" w:eastAsia="zh-CN" w:bidi="ar"/>
        </w:rPr>
        <w:instrText xml:space="preserve"> ADDIN ZOTERO_ITEM CSL_CITATION {"citationID":"vdLF9vx1","properties":{"formattedCitation":"(Firesbhat et al., 2021)","plainCitation":"(Firesbhat et al., 2021)","noteIndex":0},"citationItems":[{"id":34,"uris":["http://zotero.org/users/16279382/items/QH4Y5YYI"],"itemData":{"id":34,"type":"article-journal","abstract":"The hospital environment serves as a source of nosocomial infections, which pose a major therapeutic challenge. Although many bacteria species are common in hospital environments, their distribution, frequency, and antimicrobial susceptibility pattern from high-touch surfaces, leftover drugs, and antiseptics in different wards remain largely unknown. Hence, the aim of this study was to assess the magnitude and frequency of bacterial contaminants and their antimicrobial susceptibility patterns.","container-title":"BMC Microbiology","DOI":"10.1186/s12866-021-02378-w","ISSN":"1471-2180","issue":"1","journalAbbreviation":"BMC Microbiol","language":"en","page":"309","source":"Springer Link","title":"Bacterial profile of high-touch surfaces, leftover drugs and antiseptics together with their antimicrobial susceptibility patterns at University of Gondar Comprehensive Specialized Hospital, Northwest Ethiopia","volume":"21","author":[{"family":"Firesbhat","given":"Atsedewoyn"},{"family":"Tigabu","given":"Abiye"},{"family":"Tegene","given":"Birhanemeskel"},{"family":"Gelaw","given":"Baye"}],"issued":{"date-parts":[["2021",11,8]]}}}],"schema":"https://github.com/citation-style-language/schema/raw/master/csl-citation.json"} </w:instrText>
      </w:r>
      <w:r>
        <w:rPr>
          <w:rFonts w:asciiTheme="majorBidi" w:eastAsia="Calibri" w:hAnsiTheme="majorBidi" w:cstheme="majorBidi"/>
          <w:b/>
          <w:bCs/>
          <w:kern w:val="2"/>
          <w:lang w:val="fr" w:eastAsia="zh-CN" w:bidi="ar"/>
        </w:rPr>
        <w:fldChar w:fldCharType="separate"/>
      </w:r>
      <w:r>
        <w:rPr>
          <w:rFonts w:asciiTheme="majorBidi" w:eastAsia="Calibri" w:hAnsiTheme="majorBidi" w:cstheme="majorBidi"/>
          <w:b/>
          <w:bCs/>
          <w:kern w:val="2"/>
          <w:lang w:val="fr" w:eastAsia="zh-CN" w:bidi="ar"/>
        </w:rPr>
        <w:t xml:space="preserve">(Firesbhat </w:t>
      </w:r>
      <w:r>
        <w:rPr>
          <w:rFonts w:asciiTheme="majorBidi" w:eastAsia="Calibri" w:hAnsiTheme="majorBidi" w:cstheme="majorBidi"/>
          <w:b/>
          <w:bCs/>
          <w:i/>
          <w:iCs/>
          <w:kern w:val="2"/>
          <w:lang w:val="fr" w:eastAsia="zh-CN" w:bidi="ar"/>
        </w:rPr>
        <w:t>et al</w:t>
      </w:r>
      <w:r>
        <w:rPr>
          <w:rFonts w:asciiTheme="majorBidi" w:eastAsia="Calibri" w:hAnsiTheme="majorBidi" w:cstheme="majorBidi"/>
          <w:b/>
          <w:bCs/>
          <w:kern w:val="2"/>
          <w:lang w:val="fr" w:eastAsia="zh-CN" w:bidi="ar"/>
        </w:rPr>
        <w:t>., 2021)</w:t>
      </w:r>
      <w:r>
        <w:rPr>
          <w:rFonts w:asciiTheme="majorBidi" w:eastAsia="Calibri" w:hAnsiTheme="majorBidi" w:cstheme="majorBidi"/>
          <w:b/>
          <w:bCs/>
          <w:kern w:val="2"/>
          <w:lang w:val="fr" w:eastAsia="zh-CN" w:bidi="ar"/>
        </w:rPr>
        <w:fldChar w:fldCharType="end"/>
      </w:r>
      <w:r>
        <w:rPr>
          <w:rFonts w:asciiTheme="majorBidi" w:eastAsia="Calibri" w:hAnsiTheme="majorBidi" w:cstheme="majorBidi"/>
          <w:b/>
          <w:bCs/>
          <w:kern w:val="2"/>
          <w:lang w:val="fr" w:eastAsia="zh-CN" w:bidi="ar"/>
        </w:rPr>
        <w:t>.</w:t>
      </w:r>
      <w:r>
        <w:rPr>
          <w:rFonts w:asciiTheme="majorBidi" w:eastAsia="Calibri" w:hAnsiTheme="majorBidi" w:cstheme="majorBidi"/>
          <w:kern w:val="2"/>
          <w:lang w:val="fr" w:eastAsia="zh-CN" w:bidi="ar"/>
        </w:rPr>
        <w:t xml:space="preserve"> Plus inquiétant encore, de nombreuses souches développent des mécanismes de résistance aux antibiotiques, à l’instar de </w:t>
      </w:r>
      <w:r>
        <w:rPr>
          <w:rFonts w:asciiTheme="majorBidi" w:eastAsia="Calibri" w:hAnsiTheme="majorBidi" w:cstheme="majorBidi"/>
          <w:i/>
          <w:iCs/>
          <w:kern w:val="2"/>
          <w:lang w:val="fr" w:eastAsia="zh-CN" w:bidi="ar"/>
        </w:rPr>
        <w:t>Staphylococcus aureus</w:t>
      </w:r>
      <w:r>
        <w:rPr>
          <w:rFonts w:asciiTheme="majorBidi" w:eastAsia="Calibri" w:hAnsiTheme="majorBidi" w:cstheme="majorBidi"/>
          <w:kern w:val="2"/>
          <w:lang w:val="fr" w:eastAsia="zh-CN" w:bidi="ar"/>
        </w:rPr>
        <w:t xml:space="preserve"> résistant à la méthicilline (SARM) ou de certaines souches de </w:t>
      </w:r>
      <w:r>
        <w:rPr>
          <w:rFonts w:asciiTheme="majorBidi" w:eastAsia="Calibri" w:hAnsiTheme="majorBidi" w:cstheme="majorBidi"/>
          <w:i/>
          <w:iCs/>
          <w:kern w:val="2"/>
          <w:lang w:val="fr" w:eastAsia="zh-CN" w:bidi="ar"/>
        </w:rPr>
        <w:t>Pseudomonas spp</w:t>
      </w:r>
      <w:r>
        <w:rPr>
          <w:rFonts w:asciiTheme="majorBidi" w:eastAsia="Calibri" w:hAnsiTheme="majorBidi" w:cstheme="majorBidi"/>
          <w:kern w:val="2"/>
          <w:lang w:val="fr" w:eastAsia="zh-CN" w:bidi="ar"/>
        </w:rPr>
        <w:t xml:space="preserve">., compromettant ainsi l’efficacité des traitements et limitant les options thérapeutiques </w:t>
      </w:r>
      <w:r>
        <w:rPr>
          <w:rFonts w:asciiTheme="majorBidi" w:eastAsia="Calibri" w:hAnsiTheme="majorBidi" w:cstheme="majorBidi"/>
          <w:b/>
          <w:bCs/>
          <w:kern w:val="2"/>
          <w:lang w:val="fr" w:eastAsia="zh-CN" w:bidi="ar"/>
        </w:rPr>
        <w:fldChar w:fldCharType="begin"/>
      </w:r>
      <w:r>
        <w:rPr>
          <w:rFonts w:asciiTheme="majorBidi" w:eastAsia="Calibri" w:hAnsiTheme="majorBidi" w:cstheme="majorBidi"/>
          <w:b/>
          <w:bCs/>
          <w:kern w:val="2"/>
          <w:lang w:val="fr" w:eastAsia="zh-CN" w:bidi="ar"/>
        </w:rPr>
        <w:instrText xml:space="preserve"> ADDIN ZOTERO_ITEM CSL_CITATION {"citationID":"wlVKwxJb","properties":{"formattedCitation":"(Matinyi et al., 2018)","plainCitation":"(Matinyi et al., 2018)","noteIndex":0},"citationItems":[{"id":38,"uris":["http://zotero.org/users/16279382/items/EJ8MX9BS"],"itemData":{"id":38,"type":"article-journal","abstract":"Microbial contamination of hospital environment, especially in operating theatres (OT) and other specialized units has greatly contributed to continuous and multiple exposure to nosocomial infections by patients and the public.","container-title":"BMC Infectious Diseases","DOI":"10.1186/s12879-018-3374-4","ISSN":"1471-2334","issue":"1","journalAbbreviation":"BMC Infect Dis","language":"en","page":"460","source":"Springer Link","title":"Contamination of microbial pathogens and their antimicrobial pattern in operating theatres of peri-urban eastern Uganda: a cross-sectional study","title-short":"Contamination of microbial pathogens and their antimicrobial pattern in operating theatres of peri-urban eastern Uganda","volume":"18","author":[{"family":"Matinyi","given":"Sandra"},{"family":"Enoch","given":"Muwanguzi"},{"family":"Akia","given":"Deborah"},{"family":"Byaruhanga","given":"Valentine"},{"family":"Masereka","given":"Edson"},{"family":"Ekeu","given":"Isaac"},{"family":"Atuheire","given":"Collins"}],"issued":{"date-parts":[["2018",9,10]]}}}],"schema":"https://github.com/citation-style-language/schema/raw/master/csl-citation.json"} </w:instrText>
      </w:r>
      <w:r>
        <w:rPr>
          <w:rFonts w:asciiTheme="majorBidi" w:eastAsia="Calibri" w:hAnsiTheme="majorBidi" w:cstheme="majorBidi"/>
          <w:b/>
          <w:bCs/>
          <w:kern w:val="2"/>
          <w:lang w:val="fr" w:eastAsia="zh-CN" w:bidi="ar"/>
        </w:rPr>
        <w:fldChar w:fldCharType="separate"/>
      </w:r>
      <w:r>
        <w:rPr>
          <w:rFonts w:asciiTheme="majorBidi" w:eastAsia="Calibri" w:hAnsiTheme="majorBidi" w:cstheme="majorBidi"/>
          <w:b/>
          <w:bCs/>
          <w:kern w:val="2"/>
          <w:lang w:val="fr" w:eastAsia="zh-CN" w:bidi="ar"/>
        </w:rPr>
        <w:t xml:space="preserve">(Matinyi </w:t>
      </w:r>
      <w:r>
        <w:rPr>
          <w:rFonts w:asciiTheme="majorBidi" w:eastAsia="Calibri" w:hAnsiTheme="majorBidi" w:cstheme="majorBidi"/>
          <w:b/>
          <w:bCs/>
          <w:i/>
          <w:iCs/>
          <w:kern w:val="2"/>
          <w:lang w:val="fr" w:eastAsia="zh-CN" w:bidi="ar"/>
        </w:rPr>
        <w:t>et al</w:t>
      </w:r>
      <w:r>
        <w:rPr>
          <w:rFonts w:asciiTheme="majorBidi" w:eastAsia="Calibri" w:hAnsiTheme="majorBidi" w:cstheme="majorBidi"/>
          <w:b/>
          <w:bCs/>
          <w:kern w:val="2"/>
          <w:lang w:val="fr" w:eastAsia="zh-CN" w:bidi="ar"/>
        </w:rPr>
        <w:t>., 2018)</w:t>
      </w:r>
      <w:r>
        <w:rPr>
          <w:rFonts w:asciiTheme="majorBidi" w:eastAsia="Calibri" w:hAnsiTheme="majorBidi" w:cstheme="majorBidi"/>
          <w:b/>
          <w:bCs/>
          <w:kern w:val="2"/>
          <w:lang w:val="fr" w:eastAsia="zh-CN" w:bidi="ar"/>
        </w:rPr>
        <w:fldChar w:fldCharType="end"/>
      </w:r>
      <w:r>
        <w:rPr>
          <w:rFonts w:asciiTheme="majorBidi" w:eastAsia="Calibri" w:hAnsiTheme="majorBidi" w:cstheme="majorBidi"/>
          <w:b/>
          <w:bCs/>
          <w:kern w:val="2"/>
          <w:lang w:val="fr" w:eastAsia="zh-CN" w:bidi="ar"/>
        </w:rPr>
        <w:t>.</w:t>
      </w:r>
      <w:r>
        <w:rPr>
          <w:rFonts w:asciiTheme="majorBidi" w:hAnsiTheme="majorBidi" w:cstheme="majorBidi"/>
          <w:lang w:val="fr-FR"/>
        </w:rPr>
        <w:t xml:space="preserve"> Ces bactéries multirésistantes, présentes chez des patients infectés ou porteurs, peuvent rapidement contaminer l’environnement hospitalier, favorisant ainsi leur diffusion auprès des professionnels de santé et des autres patients.</w:t>
      </w:r>
    </w:p>
    <w:p w14:paraId="545C3014" w14:textId="77777777" w:rsidR="00B611D1" w:rsidRDefault="00FB7689">
      <w:pPr>
        <w:spacing w:after="200" w:line="360" w:lineRule="auto"/>
        <w:jc w:val="both"/>
        <w:rPr>
          <w:rFonts w:asciiTheme="majorBidi" w:hAnsiTheme="majorBidi" w:cstheme="majorBidi"/>
          <w:lang w:val="fr-FR"/>
        </w:rPr>
      </w:pPr>
      <w:r>
        <w:rPr>
          <w:rFonts w:asciiTheme="majorBidi" w:hAnsiTheme="majorBidi" w:cstheme="majorBidi"/>
          <w:lang w:val="fr-FR"/>
        </w:rPr>
        <w:t xml:space="preserve">Dans ce contexte, il devient impératif d’intensifier la surveillance microbiologique des environnements hospitaliers et d’identifier avec précision les souches bactériennes qui y prolifèrent. Ce travail de recherche vise à isoler et caractériser les micro-organismes présents sur les surfaces des </w:t>
      </w:r>
      <w:r>
        <w:rPr>
          <w:rStyle w:val="lev"/>
          <w:rFonts w:asciiTheme="majorBidi" w:hAnsiTheme="majorBidi" w:cstheme="majorBidi"/>
          <w:b w:val="0"/>
          <w:bCs w:val="0"/>
          <w:lang w:val="fr-FR"/>
        </w:rPr>
        <w:t>SU</w:t>
      </w:r>
      <w:r>
        <w:rPr>
          <w:rFonts w:asciiTheme="majorBidi" w:hAnsiTheme="majorBidi" w:cstheme="majorBidi"/>
          <w:lang w:val="fr-FR"/>
        </w:rPr>
        <w:t>, en évaluant leur diversité et leur résistance aux antibiotiques. En mettant en lumière les bactéries dominantes et leurs profils de sensibilité, cette étude ambitionne d’apporter des données essentielles pour améliorer les protocoles de désinfection, renforcer les stratégies de prévention et garantir un environnement hospitalier plus sûr pour les patients et les soignants.</w:t>
      </w:r>
    </w:p>
    <w:p w14:paraId="6FAD414F" w14:textId="77777777" w:rsidR="00B611D1" w:rsidRDefault="00FB7689">
      <w:pPr>
        <w:spacing w:after="200" w:line="360" w:lineRule="auto"/>
        <w:jc w:val="both"/>
        <w:rPr>
          <w:rFonts w:asciiTheme="majorBidi" w:eastAsia="Calibri" w:hAnsiTheme="majorBidi" w:cstheme="majorBidi"/>
          <w:kern w:val="2"/>
          <w:lang w:val="fr-FR" w:eastAsia="zh-CN" w:bidi="ar"/>
        </w:rPr>
      </w:pPr>
      <w:r>
        <w:rPr>
          <w:rFonts w:asciiTheme="majorBidi" w:eastAsia="Calibri" w:hAnsiTheme="majorBidi" w:cstheme="majorBidi"/>
          <w:kern w:val="2"/>
          <w:lang w:val="fr-FR" w:eastAsia="zh-CN" w:bidi="ar"/>
        </w:rPr>
        <w:t>Notre manuscrit est structuré en deux parties distinctes :</w:t>
      </w:r>
    </w:p>
    <w:p w14:paraId="64AF6FEE" w14:textId="77777777" w:rsidR="00B611D1" w:rsidRDefault="00FB7689">
      <w:pPr>
        <w:spacing w:after="200" w:line="360" w:lineRule="auto"/>
        <w:jc w:val="both"/>
        <w:rPr>
          <w:rFonts w:asciiTheme="majorBidi" w:eastAsia="Calibri" w:hAnsiTheme="majorBidi" w:cstheme="majorBidi"/>
          <w:kern w:val="2"/>
          <w:lang w:val="fr-FR" w:eastAsia="zh-CN" w:bidi="ar"/>
        </w:rPr>
      </w:pPr>
      <w:r>
        <w:rPr>
          <w:b/>
          <w:bCs/>
          <w:lang w:val="fr-FR"/>
        </w:rPr>
        <w:t xml:space="preserve">La première partie </w:t>
      </w:r>
      <w:r>
        <w:rPr>
          <w:lang w:val="fr-FR"/>
        </w:rPr>
        <w:t>présente une synthèse bibliographique structurée en trois sections principales. La première section introduit les infections nosocomiales, en mettant en évidence leur définition, leur épidémiologie et les facteurs de risque. La deuxième section examine le rôle des surfaces inertes dans la persistance et la transmission des micro-organismes responsables de ces infections. Enfin, la troisième section est consacrée à l’antibiorésistance en milieu hospitalier, en abordant les mécanismes de résistance, les bactéries multirésistantes et les principales stratégies de prévention.</w:t>
      </w:r>
    </w:p>
    <w:p w14:paraId="3965DD98" w14:textId="77777777" w:rsidR="00B611D1" w:rsidRDefault="00FB7689">
      <w:pPr>
        <w:spacing w:after="200" w:line="360" w:lineRule="auto"/>
        <w:jc w:val="both"/>
        <w:rPr>
          <w:rFonts w:asciiTheme="majorBidi" w:eastAsia="Calibri" w:hAnsiTheme="majorBidi" w:cstheme="majorBidi"/>
          <w:kern w:val="2"/>
          <w:lang w:val="fr-FR" w:eastAsia="zh-CN" w:bidi="ar"/>
        </w:rPr>
      </w:pPr>
      <w:r>
        <w:rPr>
          <w:rFonts w:asciiTheme="majorBidi" w:eastAsia="Calibri" w:hAnsiTheme="majorBidi" w:cstheme="majorBidi"/>
          <w:b/>
          <w:bCs/>
          <w:kern w:val="2"/>
          <w:lang w:val="fr-FR" w:eastAsia="zh-CN" w:bidi="ar"/>
        </w:rPr>
        <w:t>La deuxième partie</w:t>
      </w:r>
      <w:r>
        <w:rPr>
          <w:rFonts w:asciiTheme="majorBidi" w:eastAsia="Calibri" w:hAnsiTheme="majorBidi" w:cstheme="majorBidi"/>
          <w:kern w:val="2"/>
          <w:lang w:val="fr-FR" w:eastAsia="zh-CN" w:bidi="ar"/>
        </w:rPr>
        <w:t xml:space="preserve"> de notre étude est dédiée à l’aspect expérimental et se divise en trois sections. La première détaille le matériel et les méthodes utilisés. La deuxième se concentre sur la présentation et l’analyse des résultats obtenus. Enfin, la troisième consiste en une discussion approfondie des résultats afin d’en tirer des conclusions pertinentes.</w:t>
      </w:r>
    </w:p>
    <w:p w14:paraId="13F2EBC9" w14:textId="77777777" w:rsidR="00B611D1" w:rsidRDefault="00FB7689">
      <w:pPr>
        <w:spacing w:after="200" w:line="360" w:lineRule="auto"/>
        <w:jc w:val="both"/>
        <w:rPr>
          <w:rFonts w:asciiTheme="majorBidi" w:eastAsia="Calibri" w:hAnsiTheme="majorBidi" w:cstheme="majorBidi"/>
          <w:kern w:val="2"/>
          <w:rtl/>
          <w:lang w:eastAsia="zh-CN" w:bidi="ar"/>
        </w:rPr>
      </w:pPr>
      <w:r>
        <w:rPr>
          <w:rFonts w:asciiTheme="majorBidi" w:eastAsia="Calibri" w:hAnsiTheme="majorBidi" w:cstheme="majorBidi"/>
          <w:kern w:val="2"/>
          <w:lang w:val="fr-FR" w:eastAsia="zh-CN" w:bidi="ar"/>
        </w:rPr>
        <w:t>Enfin, une conclusion générale synthétise l’ensemble des résultats et propose des perspectives pour de futures recherches.</w:t>
      </w:r>
    </w:p>
    <w:p w14:paraId="694C3025" w14:textId="77777777" w:rsidR="00B611D1" w:rsidRDefault="00B611D1">
      <w:pPr>
        <w:spacing w:line="360" w:lineRule="auto"/>
        <w:jc w:val="both"/>
        <w:rPr>
          <w:rFonts w:asciiTheme="majorBidi" w:hAnsiTheme="majorBidi" w:cstheme="majorBidi"/>
          <w:lang w:val="fr-FR"/>
        </w:rPr>
      </w:pPr>
    </w:p>
    <w:p w14:paraId="2ADFE923" w14:textId="77777777" w:rsidR="00B611D1" w:rsidRDefault="00B611D1">
      <w:pPr>
        <w:spacing w:line="480" w:lineRule="auto"/>
        <w:jc w:val="both"/>
        <w:rPr>
          <w:lang w:val="fr-FR"/>
        </w:rPr>
        <w:sectPr w:rsidR="00B611D1">
          <w:pgSz w:w="11900" w:h="16840"/>
          <w:pgMar w:top="1080" w:right="900" w:bottom="1220" w:left="1180" w:header="715" w:footer="1025" w:gutter="0"/>
          <w:pgNumType w:start="1"/>
          <w:cols w:space="720"/>
        </w:sectPr>
      </w:pPr>
    </w:p>
    <w:p w14:paraId="6AFFBA8E" w14:textId="77777777" w:rsidR="00B611D1" w:rsidRDefault="00B611D1">
      <w:pPr>
        <w:pStyle w:val="Corpsdetexte"/>
        <w:jc w:val="both"/>
        <w:rPr>
          <w:sz w:val="20"/>
          <w:lang w:val="fr-FR"/>
        </w:rPr>
      </w:pPr>
    </w:p>
    <w:p w14:paraId="6FA4C76E" w14:textId="77777777" w:rsidR="00B611D1" w:rsidRDefault="00B611D1">
      <w:pPr>
        <w:pStyle w:val="Corpsdetexte"/>
        <w:rPr>
          <w:sz w:val="20"/>
          <w:lang w:val="fr-FR"/>
        </w:rPr>
      </w:pPr>
    </w:p>
    <w:p w14:paraId="1F83ABE4" w14:textId="77777777" w:rsidR="00B611D1" w:rsidRDefault="00B611D1">
      <w:pPr>
        <w:pStyle w:val="Corpsdetexte"/>
        <w:rPr>
          <w:sz w:val="20"/>
          <w:lang w:val="fr-FR"/>
        </w:rPr>
      </w:pPr>
    </w:p>
    <w:p w14:paraId="19661715" w14:textId="77777777" w:rsidR="00B611D1" w:rsidRDefault="00B611D1">
      <w:pPr>
        <w:pStyle w:val="Corpsdetexte"/>
        <w:rPr>
          <w:sz w:val="20"/>
          <w:lang w:val="fr-FR"/>
        </w:rPr>
      </w:pPr>
    </w:p>
    <w:p w14:paraId="7C903E84" w14:textId="77777777" w:rsidR="00B611D1" w:rsidRDefault="00B611D1">
      <w:pPr>
        <w:pStyle w:val="Corpsdetexte"/>
        <w:rPr>
          <w:sz w:val="20"/>
          <w:lang w:val="fr-FR"/>
        </w:rPr>
      </w:pPr>
    </w:p>
    <w:p w14:paraId="44BB4F81" w14:textId="77777777" w:rsidR="00B611D1" w:rsidRDefault="00B611D1">
      <w:pPr>
        <w:pStyle w:val="Corpsdetexte"/>
        <w:rPr>
          <w:sz w:val="20"/>
          <w:lang w:val="fr-FR"/>
        </w:rPr>
      </w:pPr>
    </w:p>
    <w:p w14:paraId="60E5E3F3" w14:textId="77777777" w:rsidR="00B611D1" w:rsidRDefault="00B611D1">
      <w:pPr>
        <w:pStyle w:val="Corpsdetexte"/>
        <w:rPr>
          <w:sz w:val="20"/>
          <w:lang w:val="fr-FR"/>
        </w:rPr>
      </w:pPr>
    </w:p>
    <w:p w14:paraId="6E66C42E" w14:textId="77777777" w:rsidR="00B611D1" w:rsidRDefault="00B611D1">
      <w:pPr>
        <w:pStyle w:val="Corpsdetexte"/>
        <w:rPr>
          <w:sz w:val="20"/>
          <w:lang w:val="fr-FR"/>
        </w:rPr>
      </w:pPr>
    </w:p>
    <w:p w14:paraId="77810FEB" w14:textId="77777777" w:rsidR="00B611D1" w:rsidRDefault="00B611D1">
      <w:pPr>
        <w:pStyle w:val="Corpsdetexte"/>
        <w:rPr>
          <w:sz w:val="20"/>
          <w:lang w:val="fr-FR"/>
        </w:rPr>
      </w:pPr>
    </w:p>
    <w:p w14:paraId="2D4CAA46" w14:textId="77777777" w:rsidR="00B611D1" w:rsidRDefault="00B611D1">
      <w:pPr>
        <w:pStyle w:val="Corpsdetexte"/>
        <w:rPr>
          <w:sz w:val="20"/>
          <w:lang w:val="fr-FR"/>
        </w:rPr>
      </w:pPr>
    </w:p>
    <w:p w14:paraId="712D1BAA" w14:textId="77777777" w:rsidR="00B611D1" w:rsidRDefault="00B611D1">
      <w:pPr>
        <w:pStyle w:val="Corpsdetexte"/>
        <w:rPr>
          <w:sz w:val="20"/>
          <w:lang w:val="fr-FR"/>
        </w:rPr>
      </w:pPr>
    </w:p>
    <w:p w14:paraId="6A8B3999" w14:textId="77777777" w:rsidR="00B611D1" w:rsidRDefault="00B611D1">
      <w:pPr>
        <w:pStyle w:val="Corpsdetexte"/>
        <w:rPr>
          <w:sz w:val="20"/>
          <w:lang w:val="fr-FR"/>
        </w:rPr>
      </w:pPr>
    </w:p>
    <w:p w14:paraId="7A2D91B3" w14:textId="77777777" w:rsidR="00B611D1" w:rsidRDefault="00B611D1">
      <w:pPr>
        <w:pStyle w:val="Corpsdetexte"/>
        <w:rPr>
          <w:sz w:val="20"/>
          <w:lang w:val="fr-FR"/>
        </w:rPr>
      </w:pPr>
    </w:p>
    <w:p w14:paraId="413B682E" w14:textId="77777777" w:rsidR="00B611D1" w:rsidRDefault="00B611D1">
      <w:pPr>
        <w:pStyle w:val="Corpsdetexte"/>
        <w:rPr>
          <w:sz w:val="20"/>
          <w:lang w:val="fr-FR"/>
        </w:rPr>
      </w:pPr>
    </w:p>
    <w:p w14:paraId="1F1872C5" w14:textId="77777777" w:rsidR="00B611D1" w:rsidRDefault="00B611D1">
      <w:pPr>
        <w:pStyle w:val="Corpsdetexte"/>
        <w:rPr>
          <w:sz w:val="20"/>
          <w:lang w:val="fr-FR"/>
        </w:rPr>
      </w:pPr>
    </w:p>
    <w:p w14:paraId="07F7C30A" w14:textId="77777777" w:rsidR="00B611D1" w:rsidRDefault="00B611D1">
      <w:pPr>
        <w:pStyle w:val="Corpsdetexte"/>
        <w:rPr>
          <w:sz w:val="20"/>
          <w:lang w:val="fr-FR"/>
        </w:rPr>
      </w:pPr>
    </w:p>
    <w:p w14:paraId="47021772" w14:textId="77777777" w:rsidR="00B611D1" w:rsidRDefault="00B611D1">
      <w:pPr>
        <w:pStyle w:val="Corpsdetexte"/>
        <w:rPr>
          <w:sz w:val="20"/>
          <w:lang w:val="fr-FR"/>
        </w:rPr>
      </w:pPr>
    </w:p>
    <w:p w14:paraId="364A4ED3" w14:textId="77777777" w:rsidR="00B611D1" w:rsidRDefault="00B611D1">
      <w:pPr>
        <w:pStyle w:val="Corpsdetexte"/>
        <w:rPr>
          <w:sz w:val="20"/>
          <w:lang w:val="fr-FR"/>
        </w:rPr>
      </w:pPr>
    </w:p>
    <w:p w14:paraId="5BBEC965" w14:textId="77777777" w:rsidR="00B611D1" w:rsidRDefault="00B611D1">
      <w:pPr>
        <w:jc w:val="center"/>
        <w:rPr>
          <w:rFonts w:eastAsia="TimesNewRomanPS-BoldMT"/>
          <w:b/>
          <w:color w:val="000000" w:themeColor="text1"/>
          <w:sz w:val="56"/>
          <w:szCs w:val="56"/>
          <w:lang w:val="fr-FR" w:eastAsia="zh-CN" w:bidi="ar"/>
          <w14:shadow w14:blurRad="38100" w14:dist="19050" w14:dir="2700000" w14:sx="100000" w14:sy="100000" w14:kx="0" w14:ky="0" w14:algn="tl">
            <w14:schemeClr w14:val="dk1">
              <w14:alpha w14:val="60000"/>
            </w14:schemeClr>
          </w14:shadow>
        </w:rPr>
      </w:pPr>
    </w:p>
    <w:p w14:paraId="4141123D" w14:textId="77777777" w:rsidR="00B611D1" w:rsidRDefault="00B611D1">
      <w:pPr>
        <w:jc w:val="center"/>
        <w:rPr>
          <w:rFonts w:eastAsia="TimesNewRomanPS-BoldMT"/>
          <w:b/>
          <w:color w:val="000000" w:themeColor="text1"/>
          <w:sz w:val="56"/>
          <w:szCs w:val="56"/>
          <w:lang w:val="fr-FR" w:eastAsia="zh-CN" w:bidi="ar"/>
          <w14:shadow w14:blurRad="38100" w14:dist="19050" w14:dir="2700000" w14:sx="100000" w14:sy="100000" w14:kx="0" w14:ky="0" w14:algn="tl">
            <w14:schemeClr w14:val="dk1">
              <w14:alpha w14:val="60000"/>
            </w14:schemeClr>
          </w14:shadow>
        </w:rPr>
      </w:pPr>
    </w:p>
    <w:p w14:paraId="7865933C" w14:textId="77777777" w:rsidR="00B611D1" w:rsidRDefault="00FB7689">
      <w:pPr>
        <w:jc w:val="center"/>
        <w:rPr>
          <w:b/>
          <w:color w:val="000000" w:themeColor="text1"/>
          <w:sz w:val="56"/>
          <w:szCs w:val="56"/>
          <w:lang w:val="fr-FR"/>
          <w14:shadow w14:blurRad="38100" w14:dist="19050" w14:dir="2700000" w14:sx="100000" w14:sy="100000" w14:kx="0" w14:ky="0" w14:algn="tl">
            <w14:schemeClr w14:val="dk1">
              <w14:alpha w14:val="60000"/>
            </w14:schemeClr>
          </w14:shadow>
        </w:rPr>
      </w:pPr>
      <w:r>
        <w:rPr>
          <w:rFonts w:eastAsia="TimesNewRomanPS-BoldMT"/>
          <w:b/>
          <w:color w:val="000000" w:themeColor="text1"/>
          <w:sz w:val="56"/>
          <w:szCs w:val="56"/>
          <w:lang w:val="fr-FR" w:eastAsia="zh-CN" w:bidi="ar"/>
          <w14:shadow w14:blurRad="38100" w14:dist="19050" w14:dir="2700000" w14:sx="100000" w14:sy="100000" w14:kx="0" w14:ky="0" w14:algn="tl">
            <w14:schemeClr w14:val="dk1">
              <w14:alpha w14:val="60000"/>
            </w14:schemeClr>
          </w14:shadow>
        </w:rPr>
        <w:t>Chapitre 01 :</w:t>
      </w:r>
    </w:p>
    <w:p w14:paraId="6BCE6645" w14:textId="77777777" w:rsidR="00B611D1" w:rsidRDefault="00FB7689">
      <w:pPr>
        <w:jc w:val="center"/>
        <w:rPr>
          <w:b/>
          <w:color w:val="000000" w:themeColor="text1"/>
          <w:sz w:val="56"/>
          <w:szCs w:val="56"/>
          <w:lang w:val="fr-FR" w:eastAsia="zh-CN"/>
          <w14:shadow w14:blurRad="38100" w14:dist="19050" w14:dir="2700000" w14:sx="100000" w14:sy="100000" w14:kx="0" w14:ky="0" w14:algn="tl">
            <w14:schemeClr w14:val="dk1">
              <w14:alpha w14:val="60000"/>
            </w14:schemeClr>
          </w14:shadow>
        </w:rPr>
      </w:pPr>
      <w:r>
        <w:rPr>
          <w:rFonts w:eastAsia="TimesNewRomanPS-BoldMT"/>
          <w:b/>
          <w:color w:val="000000" w:themeColor="text1"/>
          <w:sz w:val="56"/>
          <w:szCs w:val="56"/>
          <w:lang w:val="fr-FR" w:eastAsia="zh-CN" w:bidi="ar"/>
          <w14:shadow w14:blurRad="38100" w14:dist="19050" w14:dir="2700000" w14:sx="100000" w14:sy="100000" w14:kx="0" w14:ky="0" w14:algn="tl">
            <w14:schemeClr w14:val="dk1">
              <w14:alpha w14:val="60000"/>
            </w14:schemeClr>
          </w14:shadow>
        </w:rPr>
        <w:t>Introduction aux infections</w:t>
      </w:r>
    </w:p>
    <w:p w14:paraId="68366079" w14:textId="77777777" w:rsidR="00B611D1" w:rsidRDefault="00FB7689">
      <w:pPr>
        <w:jc w:val="center"/>
        <w:rPr>
          <w:b/>
          <w:color w:val="000000" w:themeColor="text1"/>
          <w:sz w:val="56"/>
          <w:szCs w:val="56"/>
          <w:lang w:val="fr-FR"/>
          <w14:shadow w14:blurRad="38100" w14:dist="19050" w14:dir="2700000" w14:sx="100000" w14:sy="100000" w14:kx="0" w14:ky="0" w14:algn="tl">
            <w14:schemeClr w14:val="dk1">
              <w14:alpha w14:val="60000"/>
            </w14:schemeClr>
          </w14:shadow>
        </w:rPr>
      </w:pPr>
      <w:r>
        <w:rPr>
          <w:rFonts w:eastAsia="TimesNewRomanPS-BoldMT"/>
          <w:b/>
          <w:color w:val="000000" w:themeColor="text1"/>
          <w:sz w:val="56"/>
          <w:szCs w:val="56"/>
          <w:lang w:val="fr-FR" w:eastAsia="zh-CN" w:bidi="ar"/>
          <w14:shadow w14:blurRad="38100" w14:dist="19050" w14:dir="2700000" w14:sx="100000" w14:sy="100000" w14:kx="0" w14:ky="0" w14:algn="tl">
            <w14:schemeClr w14:val="dk1">
              <w14:alpha w14:val="60000"/>
            </w14:schemeClr>
          </w14:shadow>
        </w:rPr>
        <w:t>nosocomiales</w:t>
      </w:r>
    </w:p>
    <w:p w14:paraId="091FE218" w14:textId="77777777" w:rsidR="00B611D1" w:rsidRDefault="00B611D1">
      <w:pPr>
        <w:pStyle w:val="Corpsdetexte"/>
        <w:rPr>
          <w:sz w:val="20"/>
          <w:lang w:val="fr-FR"/>
          <w14:shadow w14:blurRad="50800" w14:dist="38100" w14:dir="13500000" w14:sx="100000" w14:sy="100000" w14:kx="0" w14:ky="0" w14:algn="br">
            <w14:srgbClr w14:val="000000">
              <w14:alpha w14:val="60000"/>
            </w14:srgbClr>
          </w14:shadow>
        </w:rPr>
      </w:pPr>
    </w:p>
    <w:p w14:paraId="273167EB" w14:textId="77777777" w:rsidR="00B611D1" w:rsidRDefault="00B611D1">
      <w:pPr>
        <w:pStyle w:val="Titre2"/>
        <w:ind w:left="0"/>
        <w:rPr>
          <w:lang w:val="fr-FR"/>
        </w:rPr>
      </w:pPr>
      <w:bookmarkStart w:id="6" w:name="_bookmark1"/>
      <w:bookmarkEnd w:id="6"/>
    </w:p>
    <w:p w14:paraId="2D6C7ADD" w14:textId="77777777" w:rsidR="00B611D1" w:rsidRDefault="00B611D1">
      <w:pPr>
        <w:pStyle w:val="Titre2"/>
        <w:ind w:left="0"/>
        <w:rPr>
          <w:lang w:val="fr-FR"/>
        </w:rPr>
      </w:pPr>
    </w:p>
    <w:p w14:paraId="35B2379E" w14:textId="77777777" w:rsidR="00B611D1" w:rsidRDefault="00B611D1">
      <w:pPr>
        <w:pStyle w:val="Titre2"/>
        <w:ind w:left="0"/>
        <w:rPr>
          <w:lang w:val="fr-FR"/>
        </w:rPr>
      </w:pPr>
    </w:p>
    <w:p w14:paraId="110C7F3E" w14:textId="77777777" w:rsidR="00B611D1" w:rsidRDefault="00B611D1">
      <w:pPr>
        <w:pStyle w:val="Titre2"/>
        <w:ind w:left="0"/>
        <w:rPr>
          <w:lang w:val="fr-FR"/>
        </w:rPr>
      </w:pPr>
    </w:p>
    <w:p w14:paraId="277A3502" w14:textId="77777777" w:rsidR="00B611D1" w:rsidRDefault="00B611D1">
      <w:pPr>
        <w:pStyle w:val="Titre2"/>
        <w:ind w:left="0"/>
        <w:rPr>
          <w:lang w:val="fr-FR"/>
        </w:rPr>
      </w:pPr>
    </w:p>
    <w:p w14:paraId="16504C25" w14:textId="77777777" w:rsidR="00B611D1" w:rsidRDefault="00B611D1">
      <w:pPr>
        <w:pStyle w:val="Titre2"/>
        <w:ind w:left="0"/>
        <w:rPr>
          <w:lang w:val="fr-FR"/>
        </w:rPr>
      </w:pPr>
    </w:p>
    <w:p w14:paraId="2185E6AF" w14:textId="77777777" w:rsidR="00B611D1" w:rsidRDefault="00B611D1">
      <w:pPr>
        <w:pStyle w:val="Titre2"/>
        <w:ind w:left="0"/>
        <w:rPr>
          <w:lang w:val="fr-FR"/>
        </w:rPr>
      </w:pPr>
    </w:p>
    <w:p w14:paraId="28EF86BE" w14:textId="77777777" w:rsidR="00B611D1" w:rsidRDefault="00B611D1">
      <w:pPr>
        <w:pStyle w:val="Titre2"/>
        <w:ind w:left="0"/>
        <w:rPr>
          <w:lang w:val="fr-FR"/>
        </w:rPr>
      </w:pPr>
    </w:p>
    <w:p w14:paraId="0810DF39" w14:textId="77777777" w:rsidR="00B611D1" w:rsidRDefault="00B611D1">
      <w:pPr>
        <w:pStyle w:val="Titre2"/>
        <w:ind w:left="0"/>
        <w:rPr>
          <w:lang w:val="fr-FR"/>
        </w:rPr>
      </w:pPr>
    </w:p>
    <w:p w14:paraId="0A504A07" w14:textId="77777777" w:rsidR="00B611D1" w:rsidRDefault="00B611D1">
      <w:pPr>
        <w:pStyle w:val="Titre2"/>
        <w:ind w:left="0"/>
        <w:rPr>
          <w:lang w:val="fr-FR"/>
        </w:rPr>
      </w:pPr>
    </w:p>
    <w:p w14:paraId="4534AA7C" w14:textId="77777777" w:rsidR="00B611D1" w:rsidRDefault="00B611D1">
      <w:pPr>
        <w:pStyle w:val="Titre2"/>
        <w:ind w:left="0"/>
        <w:rPr>
          <w:lang w:val="fr-FR"/>
        </w:rPr>
      </w:pPr>
    </w:p>
    <w:p w14:paraId="107D3CE1" w14:textId="77777777" w:rsidR="00B611D1" w:rsidRDefault="00B611D1">
      <w:pPr>
        <w:pStyle w:val="Titre2"/>
        <w:ind w:left="0"/>
        <w:rPr>
          <w:lang w:val="fr-FR"/>
        </w:rPr>
      </w:pPr>
    </w:p>
    <w:p w14:paraId="2F953172" w14:textId="77777777" w:rsidR="00B611D1" w:rsidRDefault="00B611D1">
      <w:pPr>
        <w:pStyle w:val="Titre2"/>
        <w:ind w:left="0"/>
        <w:rPr>
          <w:lang w:val="fr-FR"/>
        </w:rPr>
      </w:pPr>
    </w:p>
    <w:p w14:paraId="0996B49D" w14:textId="77777777" w:rsidR="00B611D1" w:rsidRDefault="00B611D1">
      <w:pPr>
        <w:pStyle w:val="Titre2"/>
        <w:ind w:left="0"/>
        <w:rPr>
          <w:lang w:val="fr-FR"/>
        </w:rPr>
      </w:pPr>
    </w:p>
    <w:p w14:paraId="759BA879" w14:textId="77777777" w:rsidR="00B611D1" w:rsidRDefault="00B611D1">
      <w:pPr>
        <w:pStyle w:val="Titre2"/>
        <w:ind w:left="0"/>
        <w:rPr>
          <w:lang w:val="fr-FR"/>
        </w:rPr>
      </w:pPr>
    </w:p>
    <w:p w14:paraId="6F9B280F" w14:textId="77777777" w:rsidR="00B611D1" w:rsidRDefault="00B611D1">
      <w:pPr>
        <w:pStyle w:val="Titre2"/>
        <w:ind w:left="0"/>
        <w:rPr>
          <w:lang w:val="fr-FR"/>
        </w:rPr>
        <w:sectPr w:rsidR="00B611D1">
          <w:headerReference w:type="default" r:id="rId34"/>
          <w:footerReference w:type="default" r:id="rId35"/>
          <w:pgSz w:w="11910" w:h="16840"/>
          <w:pgMar w:top="1320" w:right="1180" w:bottom="1220" w:left="1100" w:header="713" w:footer="1025" w:gutter="0"/>
          <w:cols w:space="720"/>
        </w:sectPr>
      </w:pPr>
      <w:bookmarkStart w:id="7" w:name="_Toc201260002"/>
    </w:p>
    <w:p w14:paraId="2E5CBC44" w14:textId="77777777" w:rsidR="00B611D1" w:rsidRDefault="00FB7689">
      <w:pPr>
        <w:pStyle w:val="Titre2"/>
        <w:ind w:left="0"/>
      </w:pPr>
      <w:r>
        <w:rPr>
          <w:lang w:val="fr-FR"/>
        </w:rPr>
        <w:t>Partie</w:t>
      </w:r>
      <w:r>
        <w:rPr>
          <w:spacing w:val="-2"/>
          <w:lang w:val="fr-FR"/>
        </w:rPr>
        <w:t xml:space="preserve"> </w:t>
      </w:r>
      <w:r>
        <w:rPr>
          <w:lang w:val="fr-FR"/>
        </w:rPr>
        <w:t>1.</w:t>
      </w:r>
      <w:r>
        <w:rPr>
          <w:spacing w:val="-1"/>
          <w:lang w:val="fr-FR"/>
        </w:rPr>
        <w:t xml:space="preserve"> </w:t>
      </w:r>
      <w:r>
        <w:t>Revue</w:t>
      </w:r>
      <w:r>
        <w:rPr>
          <w:spacing w:val="-2"/>
        </w:rPr>
        <w:t xml:space="preserve"> </w:t>
      </w:r>
      <w:r>
        <w:t>de</w:t>
      </w:r>
      <w:r>
        <w:rPr>
          <w:spacing w:val="-2"/>
        </w:rPr>
        <w:t xml:space="preserve"> </w:t>
      </w:r>
      <w:r>
        <w:t>la</w:t>
      </w:r>
      <w:r>
        <w:rPr>
          <w:spacing w:val="-1"/>
        </w:rPr>
        <w:t xml:space="preserve"> </w:t>
      </w:r>
      <w:r>
        <w:t>littérature</w:t>
      </w:r>
      <w:bookmarkEnd w:id="7"/>
    </w:p>
    <w:p w14:paraId="36AF3713" w14:textId="77777777" w:rsidR="00B611D1" w:rsidRDefault="00B611D1"/>
    <w:p w14:paraId="7AE09A7B" w14:textId="77777777" w:rsidR="00B611D1" w:rsidRDefault="00FB7689">
      <w:pPr>
        <w:pStyle w:val="Titre2"/>
        <w:numPr>
          <w:ilvl w:val="1"/>
          <w:numId w:val="1"/>
        </w:numPr>
        <w:spacing w:line="360" w:lineRule="auto"/>
        <w:rPr>
          <w:lang w:val="fr-FR"/>
        </w:rPr>
      </w:pPr>
      <w:bookmarkStart w:id="8" w:name="_Toc201260003"/>
      <w:r>
        <w:rPr>
          <w:lang w:val="fr-FR"/>
        </w:rPr>
        <w:t>Introduction générale sur les infections nosocomiales</w:t>
      </w:r>
      <w:bookmarkEnd w:id="8"/>
    </w:p>
    <w:p w14:paraId="159364EF" w14:textId="77777777" w:rsidR="00B611D1" w:rsidRDefault="00FB7689">
      <w:pPr>
        <w:pStyle w:val="Titre3"/>
        <w:numPr>
          <w:ilvl w:val="2"/>
          <w:numId w:val="1"/>
        </w:numPr>
        <w:spacing w:line="360" w:lineRule="auto"/>
        <w:rPr>
          <w:lang w:val="fr-FR"/>
        </w:rPr>
      </w:pPr>
      <w:bookmarkStart w:id="9" w:name="_Toc201260004"/>
      <w:r>
        <w:rPr>
          <w:lang w:val="fr-FR"/>
        </w:rPr>
        <w:t>Définition et origine du Terme "Nosocomial"</w:t>
      </w:r>
      <w:bookmarkEnd w:id="9"/>
    </w:p>
    <w:p w14:paraId="5293EF3A" w14:textId="77777777" w:rsidR="00B611D1" w:rsidRDefault="00FB7689">
      <w:pPr>
        <w:spacing w:line="360" w:lineRule="auto"/>
        <w:jc w:val="both"/>
        <w:rPr>
          <w:lang w:val="fr-FR"/>
        </w:rPr>
      </w:pPr>
      <w:r>
        <w:rPr>
          <w:lang w:val="fr-FR"/>
        </w:rPr>
        <w:t xml:space="preserve">Le mot </w:t>
      </w:r>
      <w:r>
        <w:rPr>
          <w:rStyle w:val="lev"/>
          <w:lang w:val="fr-FR"/>
        </w:rPr>
        <w:t>"nosocomial"</w:t>
      </w:r>
      <w:r>
        <w:rPr>
          <w:lang w:val="fr-FR"/>
        </w:rPr>
        <w:t xml:space="preserve"> trouve son origine dans l’association de deux termes grecs : </w:t>
      </w:r>
      <w:r>
        <w:rPr>
          <w:rStyle w:val="Accentuation"/>
          <w:lang w:val="fr-FR"/>
        </w:rPr>
        <w:t>"nosos"</w:t>
      </w:r>
      <w:r>
        <w:rPr>
          <w:lang w:val="fr-FR"/>
        </w:rPr>
        <w:t xml:space="preserve">, signifiant maladie, et </w:t>
      </w:r>
      <w:r>
        <w:rPr>
          <w:rStyle w:val="Accentuation"/>
          <w:lang w:val="fr-FR"/>
        </w:rPr>
        <w:t>"komein"</w:t>
      </w:r>
      <w:r>
        <w:rPr>
          <w:lang w:val="fr-FR"/>
        </w:rPr>
        <w:t xml:space="preserve">, signifiant soigner. Il désigne donc tout ce qui est lié aux soins hospitaliers et aux infections contractées dans ces établissements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{"citationID":"SoaO3FwE","properties":{"formattedCitation":"(Grand, 2008)","plainCitation":"(Grand, 2008)","noteIndex":0},"citationItems":[{"id":11,"uris":["http://zotero.org/users/16279382/items/KKL799MT"],"itemData":{"id":11,"type":"thesis","genre":"PhD Thesis","source":"Google Scholar","title":"Les infections nosocomiales des chevaux: synthèse bibliographique","title-short":"Les infections nosocomiales des chevaux","author":[{"family":"Grand","given":"François-Xavier"}],"issued":{"date-parts":[["2008"]]}}}],"schema":"https://github.com/citation-style-language/schema/raw/master/csl-citation.json"}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(Grand, 2008)</w:t>
      </w:r>
      <w:r>
        <w:rPr>
          <w:rFonts w:eastAsia="Calibri"/>
          <w:b/>
          <w:bCs/>
          <w:kern w:val="2"/>
          <w:lang w:val="fr" w:eastAsia="zh-CN" w:bidi="ar"/>
        </w:rPr>
        <w:fldChar w:fldCharType="end"/>
      </w:r>
      <w:r>
        <w:rPr>
          <w:rFonts w:eastAsia="Calibri"/>
          <w:b/>
          <w:bCs/>
          <w:kern w:val="2"/>
          <w:lang w:val="fr" w:eastAsia="zh-CN" w:bidi="ar"/>
        </w:rPr>
        <w:t>.</w:t>
      </w:r>
    </w:p>
    <w:p w14:paraId="104D6C13" w14:textId="77777777" w:rsidR="00B611D1" w:rsidRDefault="00FB7689">
      <w:pPr>
        <w:spacing w:line="360" w:lineRule="auto"/>
        <w:jc w:val="both"/>
        <w:rPr>
          <w:b/>
          <w:bCs/>
          <w:lang w:val="fr-FR" w:eastAsia="zh-CN"/>
        </w:rPr>
      </w:pPr>
      <w:r>
        <w:rPr>
          <w:lang w:val="fr-FR"/>
        </w:rPr>
        <w:t xml:space="preserve">Les </w:t>
      </w:r>
      <w:r>
        <w:rPr>
          <w:rStyle w:val="lev"/>
          <w:lang w:val="fr-FR"/>
        </w:rPr>
        <w:t>infections nosocomiales (IN)</w:t>
      </w:r>
      <w:r>
        <w:rPr>
          <w:lang w:val="fr-FR"/>
        </w:rPr>
        <w:t xml:space="preserve">, également appelées </w:t>
      </w:r>
      <w:r>
        <w:rPr>
          <w:rStyle w:val="lev"/>
          <w:lang w:val="fr-FR"/>
        </w:rPr>
        <w:t>"infections hospitalières"</w:t>
      </w:r>
      <w:r>
        <w:rPr>
          <w:lang w:val="fr-FR"/>
        </w:rPr>
        <w:t xml:space="preserve">, constituent un enjeu majeur de santé publique. Elles sont définies par l’Organisation Mondiale de la Santé (OMS) comme des infections acquises lors d’un séjour à l’hôpital ou dans un autre établissement de santé, et qui n’étaient ni présentes ni en incubation au moment de l’admission du patient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{"citationID":"j1N9sClj","properties":{"formattedCitation":"(Fopossi, 2024)","plainCitation":"(Fopossi, 2024)","noteIndex":0},"citationItems":[{"id":52,"uris":["http://zotero.org/users/16279382/items/L5EH7Z9I"],"itemData":{"id":52,"type":"thesis","abstract":"Les infections nosocomiales restent une préoccupation de santé publique de par leur morbidité, leur mortalité, la durée de séjour et le coût des soins engendré pour les patients. Afin de déterminer la prévalence des infections nosocomiales au service de Réanimation du CHU Gabriel Touré, cette étude descriptive et analytique à collecte prospective a été réalisée sur une période de 12 mois allant du 01er Avril 2023 au 01er Avril 2024. Nous avons inclus tous les patients ayant développé les signes d’infectons après au moins 48 heures d’hospitalisations.\nLe taux de prévalence des infections a été de 9,82%.\nLes principaux germes responsables de ces infections nosocomiales ont été : Staphylococcus haemolyticus (16,67%), Klebsiella pneumoniae (19.05%) Staphylococcus aureus (11,91%), et Escherichia coli (9,52%).\nLes bactériémies ont occupé la première place (68,57%) suivies des infections urinaires (20%), des infections sur cathéter central (5,71%), des infections cutanées par brulure ( 2,86%) et des PAVM (pneumopathie acquise sous ventilation mécanique) avec 2,86%.\nLes principaux facteurs favorisants de ces infections ont été : la présence de dispositifs invasifs, les comorbidités et la durée du séjour hospitalier assez prolongée.\nConclusion : Au terme de cette étude, il ressort que les infections nosocomiales sont une réalité au service de réanimation du CHU Gabriel Touré. Les Cocci gram positif en sont principalement à l’origine (50%) suivies des BGN fermentant (28,57%). La survenue de ces infections est corrélée à la durée d’hospitalisation assez prolongée, les comorbidités et à l’exposition fréquente des malades aux dispositifs invasifs.","genre":"Thesis","language":"fr","note":"Accepted: 2025-01-03T08:07:18Z","publisher":"USTTB","source":"www.bibliosante.ml","title":"Etude des profils bactériologies des infections associées aux soins dans le service de réanimation du CHU Gabriel Toure","URL":"https://www.bibliosante.ml/handle/123456789/13680","author":[{"family":"Fopossi","given":"YMELE Joel Wilfrid"}],"accessed":{"date-parts":[["2025",2,18]]},"issued":{"date-parts":[["2024"]]}}}],"schema":"https://github.com/citation-style-language/schema/raw/master/csl-citation.json"}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(Fopossi, 2024)</w:t>
      </w:r>
      <w:r>
        <w:rPr>
          <w:rFonts w:eastAsia="Calibri"/>
          <w:b/>
          <w:bCs/>
          <w:kern w:val="2"/>
          <w:lang w:val="fr" w:eastAsia="zh-CN" w:bidi="ar"/>
        </w:rPr>
        <w:fldChar w:fldCharType="end"/>
      </w:r>
      <w:r>
        <w:rPr>
          <w:b/>
          <w:bCs/>
          <w:lang w:val="fr-FR"/>
        </w:rPr>
        <w:t xml:space="preserve">. </w:t>
      </w:r>
    </w:p>
    <w:p w14:paraId="0537CCE1" w14:textId="77777777" w:rsidR="00B611D1" w:rsidRDefault="00FB7689">
      <w:pPr>
        <w:pStyle w:val="Titre3"/>
        <w:numPr>
          <w:ilvl w:val="2"/>
          <w:numId w:val="1"/>
        </w:numPr>
        <w:spacing w:line="360" w:lineRule="auto"/>
        <w:rPr>
          <w:rFonts w:eastAsia="SimSun"/>
        </w:rPr>
      </w:pPr>
      <w:bookmarkStart w:id="10" w:name="_Toc201260005"/>
      <w:r>
        <w:rPr>
          <w:rFonts w:eastAsia="SimSun"/>
        </w:rPr>
        <w:t>Epidémiologie des infections nosocomiales</w:t>
      </w:r>
      <w:bookmarkEnd w:id="10"/>
    </w:p>
    <w:p w14:paraId="48BB7B26" w14:textId="77777777" w:rsidR="00B611D1" w:rsidRDefault="00FB7689">
      <w:pPr>
        <w:spacing w:line="360" w:lineRule="auto"/>
        <w:jc w:val="both"/>
        <w:rPr>
          <w:rFonts w:eastAsia="Calibri"/>
          <w:lang w:val="fr-FR"/>
        </w:rPr>
      </w:pPr>
      <w:r>
        <w:rPr>
          <w:rFonts w:eastAsia="Calibri"/>
          <w:lang w:val="fr-FR"/>
        </w:rPr>
        <w:t xml:space="preserve">Les infections nosocomiales constituent un problème majeur de santé publique, ayant des répercussions importantes tant sur la santé des patients que sur le fonctionnement du système de soins, en termes de coûts médicaux et de surcharge hospitalière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{"citationID":"htkuNkRx","properties":{"formattedCitation":"(El Rhazi et al., 2007)","plainCitation":"(El Rhazi et al., 2007)","noteIndex":0},"citationItems":[{"id":59,"uris":["http://zotero.org/users/16279382/items/WF2XWPV3"],"itemData":{"id":59,"type":"article-journal","container-title":"Eastern Mediterranean Health Journal","issue":"1","note":"publisher: EASTERN MEDITERRANEAN","page":"56","source":"Google Scholar","title":"Prévalence et facteurs de risque des infections nosocomiales au CHU Hassan II de Fès (Maroc)","volume":"13","author":[{"family":"El Rhazi","given":"K."},{"family":"Elfakir","given":"S."},{"family":"Berraho","given":"M."},{"family":"Tachfouti","given":"N."},{"family":"Serhier","given":"Z."},{"family":"Kanjaa","given":"C."},{"family":"Nejjari","given":"C."}],"issued":{"date-parts":[["2007"]]}}}],"schema":"https://github.com/citation-style-language/schema/raw/master/csl-citation.json"} </w:instrText>
      </w:r>
      <w:r>
        <w:rPr>
          <w:rFonts w:eastAsia="Calibri"/>
          <w:b/>
          <w:bCs/>
          <w:kern w:val="2"/>
          <w:lang w:val="fr" w:eastAsia="zh-CN" w:bidi="ar"/>
        </w:rPr>
        <w:fldChar w:fldCharType="separate"/>
      </w:r>
      <w:r>
        <w:rPr>
          <w:rFonts w:eastAsia="Calibri"/>
          <w:b/>
          <w:bCs/>
          <w:kern w:val="2"/>
          <w:lang w:val="fr" w:eastAsia="zh-CN" w:bidi="ar"/>
        </w:rPr>
        <w:t>(El R</w:t>
      </w:r>
      <w:r>
        <w:rPr>
          <w:rFonts w:eastAsia="Calibri"/>
          <w:b/>
          <w:bCs/>
          <w:kern w:val="2"/>
          <w:lang w:val="fr-FR" w:eastAsia="zh-CN" w:bidi="ar"/>
        </w:rPr>
        <w:t>h</w:t>
      </w:r>
      <w:r>
        <w:rPr>
          <w:rFonts w:eastAsia="Calibri"/>
          <w:b/>
          <w:bCs/>
          <w:kern w:val="2"/>
          <w:lang w:val="fr" w:eastAsia="zh-CN" w:bidi="ar"/>
        </w:rPr>
        <w:t xml:space="preserve">azi </w:t>
      </w:r>
      <w:r>
        <w:rPr>
          <w:rFonts w:eastAsia="Calibri"/>
          <w:b/>
          <w:bCs/>
          <w:i/>
          <w:iCs/>
          <w:kern w:val="2"/>
          <w:lang w:val="fr" w:eastAsia="zh-CN" w:bidi="ar"/>
        </w:rPr>
        <w:t>et al</w:t>
      </w:r>
      <w:r>
        <w:rPr>
          <w:rFonts w:eastAsia="Calibri"/>
          <w:b/>
          <w:bCs/>
          <w:kern w:val="2"/>
          <w:lang w:val="fr" w:eastAsia="zh-CN" w:bidi="ar"/>
        </w:rPr>
        <w:t>., 2007)</w:t>
      </w:r>
      <w:r>
        <w:rPr>
          <w:rFonts w:eastAsia="Calibri"/>
          <w:b/>
          <w:bCs/>
          <w:kern w:val="2"/>
          <w:lang w:val="fr" w:eastAsia="zh-CN" w:bidi="ar"/>
        </w:rPr>
        <w:fldChar w:fldCharType="end"/>
      </w:r>
      <w:r>
        <w:rPr>
          <w:rFonts w:eastAsia="Calibri"/>
          <w:b/>
          <w:bCs/>
          <w:lang w:val="fr-FR"/>
        </w:rPr>
        <w:t>.</w:t>
      </w:r>
      <w:r>
        <w:rPr>
          <w:rFonts w:eastAsia="Calibri"/>
          <w:lang w:val="fr-FR"/>
        </w:rPr>
        <w:t xml:space="preserve"> Leur fréquence varie considérablement selon le niveau de développement des pays et la qualité des systèmes de santé.</w:t>
      </w:r>
    </w:p>
    <w:p w14:paraId="5B704F79" w14:textId="77777777" w:rsidR="00B611D1" w:rsidRDefault="00FB7689">
      <w:pPr>
        <w:spacing w:line="360" w:lineRule="auto"/>
        <w:jc w:val="both"/>
        <w:rPr>
          <w:rFonts w:eastAsia="Calibri"/>
          <w:lang w:val="fr-FR"/>
        </w:rPr>
      </w:pPr>
      <w:r>
        <w:rPr>
          <w:rFonts w:eastAsia="Calibri"/>
          <w:lang w:val="fr-FR"/>
        </w:rPr>
        <w:t xml:space="preserve">À l’échelle mondiale, la prévalence de ces infections est estimée entre 5 % et 15 % dans les pays industrialisés, tandis qu’elle peut atteindre jusqu’à 25 % dans les pays en développement. Ces écarts s’expliquent principalement par des différences dans les pratiques d’hygiène, la disponibilité des équipements médicaux, la densité du personnel soignant et l’efficacité de la surveillance épidémiologique </w:t>
      </w:r>
      <w:r>
        <w:rPr>
          <w:rFonts w:eastAsia="Calibri"/>
          <w:b/>
          <w:bCs/>
          <w:lang w:val="fr" w:bidi="ar"/>
        </w:rPr>
        <w:fldChar w:fldCharType="begin"/>
      </w:r>
      <w:r>
        <w:rPr>
          <w:rFonts w:eastAsia="Calibri"/>
          <w:b/>
          <w:bCs/>
          <w:lang w:val="fr" w:bidi="ar"/>
        </w:rPr>
        <w:instrText xml:space="preserve"> ADDIN ZOTERO_ITEM CSL_CITATION {"citationID":"Z93KAtIy","properties":{"formattedCitation":"(Raoofi et al., 2023)","plainCitation":"(Raoofi et al., 2023)","noteIndex":0},"citationItems":[{"id":83,"uris":["http://zotero.org/users/16279382/items/Z78VXDPY"],"itemData":{"id":83,"type":"article-journal","abstract":"Objectives Hospital-acquired infections (HAIs) are significant problems as public health issues which need attention. Such infections are significant problems for society and healthcare organizations. This study aimed to carry out a systematic review and a meta-analysis to analyze the prevalence of HAIs globally. Methods We conducted a comprehensive search of electronic databases including EMBASE, Scopus, PubMed and Web of Science between 2000 and June 2021. We found 7031 articles. After removing the duplicates, 5430 studies were screened based on the titles/ abstracts. Then, we systematically evaluated the full texts of the 1909 remaining studies and selected 400 records with 29,159,630 participants for meta-analysis. Random-effects model was used for the analysis, and heterogeneity analysis and publication bias test were conducted. Results The rate of universal HAIs was 0.14 percent. The rate of HAIs is increasing by 0.06 percent annually. The highest rate of HAIs was in the AFR, while the lowest prevalence were in AMR and WPR. Besides, AFR prevalence in central Africa is higher than in other parts of the world by 0.27 (95% CI, 0.22–0.34). Besides, E. coli infected patients more than other micro-organisms such as Coagulase-negative staphylococci, Staphylococcus spp. and Pseudomonas aeruginosa. In hospital wards, Transplant, and Neonatal wards and ICU had the highest rates. The prevalence of HAIs was higher in men than in women. Conclusion We identified several essential details about the rate of HAIs in various parts of the world. The HAIs rate and the most common micro-organism were different in various contexts. However, several essential gaps were also identified. The study findings can help hospital managers and health policy makers identify the reason for HAIs and apply effective control programs to implement different plans to reduce the HAIs rate and the financial costs of such infections and save resources.","container-title":"PLOS ONE","DOI":"10.1371/journal.pone.0274248","ISSN":"1932-6203","issue":"1","journalAbbreviation":"PLOS ONE","language":"en","note":"publisher: Public Library of Science","page":"e0274248","source":"PLoS Journals","title":"Global prevalence of nosocomial infection: A systematic review and meta-analysis","title-short":"Global prevalence of nosocomial infection","volume":"18","author":[{"family":"Raoofi","given":"Samira"},{"family":"Kan","given":"Fatemeh Pashazadeh"},{"family":"Rafiei","given":"Sima"},{"family":"Hosseinipalangi","given":"Zahra"},{"family":"Mejareh","given":"Zahra Noorani"},{"family":"Khani","given":"Saghar"},{"family":"Abdollahi","given":"Bahare"},{"family":"Talab","given":"Fatemeh Seyghalani"},{"family":"Sanaei","given":"Mohaddeseh"},{"family":"Zarabi","given":"Farnaz"},{"family":"Dolati","given":"Yasamin"},{"family":"Ahmadi","given":"Niloofar"},{"family":"Raoofi","given":"Neda"},{"family":"Sarhadi","given":"Yasamin"},{"family":"Masoumi","given":"Maryam"},{"family":"Hosseini","given":"Batool","dropping-particle":"sadat"},{"family":"Vali","given":"Negin"},{"family":"Gholamali","given":"Negin"},{"family":"Asadi","given":"Saba"},{"family":"Ahmadi","given":"Saba"},{"family":"Ahmadi","given":"Behrooz"},{"family":"Chomalu","given":"Zahra Beiramy"},{"family":"Asadollahi","given":"Elnaz"},{"family":"Rajabi","given":"Mona"},{"family":"Gharagozloo","given":"Dorsa"},{"family":"Nejatifar","given":"Zahra"},{"family":"Soheylirad","given":"Rana"},{"family":"Jalali","given":"Shabnam"},{"family":"Aghajani","given":"Farnaz"},{"family":"Navidriahy","given":"Mobina"},{"family":"Deylami","given":"Sama"},{"family":"Nasiri","given":"Mahmoud"},{"family":"Zareei","given":"Mahsa"},{"family":"Golmohammadi","given":"Zahra"},{"family":"Shabani","given":"Hamideh"},{"family":"Torabi","given":"Fatemeh"},{"family":"Shabaninejad","given":"Hosein"},{"family":"Nemati","given":"Ali"},{"family":"Amerzadeh","given":"Mohammad"},{"family":"Aryankhesal","given":"Aidin"},{"family":"Ghashghaee","given":"Ahmad"}],"issued":{"date-parts":[["2023",1,27]]}}}],"schema":"https://github.com/citation-style-language/schema/raw/master/csl-citation.json"} </w:instrText>
      </w:r>
      <w:r>
        <w:rPr>
          <w:rFonts w:eastAsia="Calibri"/>
          <w:b/>
          <w:bCs/>
          <w:lang w:val="fr" w:bidi="ar"/>
        </w:rPr>
        <w:fldChar w:fldCharType="separate"/>
      </w:r>
      <w:r>
        <w:rPr>
          <w:rFonts w:eastAsia="Calibri"/>
          <w:b/>
          <w:bCs/>
          <w:lang w:val="fr" w:bidi="ar"/>
        </w:rPr>
        <w:t xml:space="preserve">(Raoofi </w:t>
      </w:r>
      <w:r>
        <w:rPr>
          <w:rFonts w:eastAsia="Calibri"/>
          <w:b/>
          <w:bCs/>
          <w:i/>
          <w:iCs/>
          <w:lang w:val="fr" w:bidi="ar"/>
        </w:rPr>
        <w:t>et al</w:t>
      </w:r>
      <w:r>
        <w:rPr>
          <w:rFonts w:eastAsia="Calibri"/>
          <w:b/>
          <w:bCs/>
          <w:lang w:val="fr" w:bidi="ar"/>
        </w:rPr>
        <w:t>., 2023)</w:t>
      </w:r>
      <w:r>
        <w:rPr>
          <w:rFonts w:eastAsia="Calibri"/>
          <w:b/>
          <w:bCs/>
          <w:lang w:val="fr" w:bidi="ar"/>
        </w:rPr>
        <w:fldChar w:fldCharType="end"/>
      </w:r>
      <w:r>
        <w:rPr>
          <w:rFonts w:eastAsia="Calibri"/>
          <w:b/>
          <w:bCs/>
          <w:lang w:val="fr-FR"/>
        </w:rPr>
        <w:t>.</w:t>
      </w:r>
    </w:p>
    <w:p w14:paraId="7EA5B9A8" w14:textId="77777777" w:rsidR="00B611D1" w:rsidRDefault="00FB7689">
      <w:pPr>
        <w:spacing w:line="360" w:lineRule="auto"/>
        <w:jc w:val="both"/>
        <w:rPr>
          <w:rFonts w:eastAsia="Calibri"/>
          <w:lang w:val="fr-FR"/>
        </w:rPr>
      </w:pPr>
      <w:r>
        <w:rPr>
          <w:rFonts w:eastAsia="Calibri"/>
          <w:lang w:val="fr-FR"/>
        </w:rPr>
        <w:t xml:space="preserve">La fréquence des infections nosocomiales varie également selon le type d’établissement et les services concernés. Elles sont particulièrement fréquentes dans les services de réanimation et d’hématologie, où leur prévalence peut atteindre 20 %, ainsi que dans les services de chirurgie et de traitement des brûlures </w:t>
      </w:r>
      <w:r>
        <w:rPr>
          <w:rFonts w:eastAsia="Calibri"/>
          <w:b/>
          <w:bCs/>
          <w:lang w:val="fr" w:bidi="ar"/>
        </w:rPr>
        <w:fldChar w:fldCharType="begin"/>
      </w:r>
      <w:r>
        <w:rPr>
          <w:rFonts w:eastAsia="Calibri"/>
          <w:b/>
          <w:bCs/>
          <w:lang w:val="fr" w:bidi="ar"/>
        </w:rPr>
        <w:instrText xml:space="preserve"> ADDIN ZOTERO_ITEM CSL_CITATION {"citationID":"vkIlUaWi","properties":{"formattedCitation":"(Suso, 2012)","plainCitation":"(Suso, 2012)","noteIndex":0},"citationItems":[{"id":90,"uris":["http://zotero.org/users/16279382/items/EKBRJ4VM"],"itemData":{"id":90,"type":"article-journal","note":"publisher: Faculté de Médecine et de Pharmacie, Fès","source":"Google Scholar","title":"Coût de l'infection nosocomiale au CHU Hassan II de Fès (à propos de 50 cas)","URL":"https://toubkal.imist.ma/bitstream/handle/123456789/22563/72-12.pdf?sequence=1","author":[{"family":"Suso","given":"Sumbwa Harrison"}],"accessed":{"date-parts":[["2025",4,5]]},"issued":{"date-parts":[["2012"]]}}}],"schema":"https://github.com/citation-style-language/schema/raw/master/csl-citation.json"} </w:instrText>
      </w:r>
      <w:r>
        <w:rPr>
          <w:rFonts w:eastAsia="Calibri"/>
          <w:b/>
          <w:bCs/>
          <w:lang w:val="fr" w:bidi="ar"/>
        </w:rPr>
        <w:fldChar w:fldCharType="separate"/>
      </w:r>
      <w:r>
        <w:rPr>
          <w:rFonts w:eastAsia="Calibri"/>
          <w:b/>
          <w:bCs/>
          <w:lang w:val="fr" w:bidi="ar"/>
        </w:rPr>
        <w:t>(Suso, 2012)</w:t>
      </w:r>
      <w:r>
        <w:rPr>
          <w:rFonts w:eastAsia="Calibri"/>
          <w:b/>
          <w:bCs/>
          <w:lang w:val="fr" w:bidi="ar"/>
        </w:rPr>
        <w:fldChar w:fldCharType="end"/>
      </w:r>
      <w:r>
        <w:rPr>
          <w:rFonts w:eastAsia="Calibri"/>
          <w:lang w:val="fr-FR"/>
        </w:rPr>
        <w:t>.</w:t>
      </w:r>
      <w:r>
        <w:rPr>
          <w:lang w:val="fr-FR"/>
        </w:rPr>
        <w:t xml:space="preserve"> </w:t>
      </w:r>
      <w:r>
        <w:rPr>
          <w:rFonts w:eastAsia="Calibri"/>
          <w:lang w:val="fr-FR"/>
        </w:rPr>
        <w:t xml:space="preserve">Le SU, bien que moins souvent cité comme site d’infection primaire, joue néanmoins un rôle clé dans la chaîne de transmission des agents pathogènes. En effet, c’est un lieu de passage obligé pour de nombreux patients, souvent dans des conditions d'afflux rapide et d’encombrement accru, ce qui favorise une contamination croisée potentielle </w:t>
      </w:r>
      <w:r>
        <w:rPr>
          <w:rFonts w:eastAsia="Calibri"/>
          <w:b/>
          <w:bCs/>
          <w:lang w:val="fr" w:bidi="ar"/>
        </w:rPr>
        <w:fldChar w:fldCharType="begin"/>
      </w:r>
      <w:r>
        <w:rPr>
          <w:rFonts w:eastAsia="Calibri"/>
          <w:b/>
          <w:bCs/>
          <w:lang w:val="fr" w:bidi="ar"/>
        </w:rPr>
        <w:instrText xml:space="preserve"> ADDIN ZOTERO_ITEM CSL_CITATION {"citationID":"nyRVeo8X","properties":{"formattedCitation":"(Hertzberg et al., 2018)","plainCitation":"(Hertzberg et al., 2018)","noteIndex":0},"citationItems":[{"id":398,"uris":["http://zotero.org/users/16279382/items/S8RLQYHB"],"itemData":{"id":398,"type":"article-journal","abstract":"OBJECTIVESThe risk of cross infection in a busy emergency department (ED) is a serious public health concern, especially in times of pandemic threats. We simulated cross infections due to respiratory diseases spread by large droplets using empirical data on contacts (ie, close-proximity interactions of ≤1m) in an ED to quantify risks due to contact and to examine factors with differential risks associated with them.DESIGNProspective study.PARTICIPANTSHealth workers (HCWs) and patients.SETTINGA busy ED.METHODSData on contacts between participants were collected over 6 months by observing two 12-hour shifts per week using a radiofrequency identification proximity detection system. We simulated cross infection due to a novel agent across these contacts to determine risks associated with HCW role, chief complaint category, arrival mode, and ED disposition status.RESULTSCross-infection risk between HCWs was substantially greater than between patients or between patients and HCWs. Providers had the least risk, followed by nurses, and nonpatient care staff had the most risk. There were no differences by patient chief complaint category. We detected differential risk patterns by arrival mode and by HCW role. Although no differential risk was associated with ED disposition status, 0.1 infections were expected per shift among patients admitted to hospital.CONCLUSIONThese simulations demonstrate that, on average, 11 patients who were infected in the ED will be admitted to the hospital over the course of an 8-week local influenza outbreak. These patients are a source of further cross-infection risk once in the hospital.Infect Control Hosp Epidemiol 2018;39:688–693","container-title":"Infection Control &amp; Hospital Epidemiology","DOI":"10.1017/ice.2018.61","ISSN":"0899-823X, 1559-6834","issue":"6","language":"en","page":"688-693","source":"Cambridge University Press","title":"The Risk of Cross Infection in the Emergency Department: A Simulation Study","title-short":"The Risk of Cross Infection in the Emergency Department","volume":"39","author":[{"family":"Hertzberg","given":"Vicki Stover"},{"family":"Wang","given":"Yuke A."},{"family":"Elon","given":"Lisa K."},{"family":"Lowery-North","given":"Douglas W."}],"issued":{"date-parts":[["2018",6]]}}}],"schema":"https://github.com/citation-style-language/schema/raw/master/csl-citation.json"}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(Hertzberg </w:t>
      </w:r>
      <w:r>
        <w:rPr>
          <w:rFonts w:eastAsia="Calibri"/>
          <w:b/>
          <w:bCs/>
          <w:i/>
          <w:iCs/>
          <w:szCs w:val="22"/>
          <w:lang w:val="fr" w:bidi="ar"/>
        </w:rPr>
        <w:t>et al</w:t>
      </w:r>
      <w:r>
        <w:rPr>
          <w:rFonts w:eastAsia="Calibri"/>
          <w:b/>
          <w:bCs/>
          <w:szCs w:val="22"/>
          <w:lang w:val="fr" w:bidi="ar"/>
        </w:rPr>
        <w:t>., 2018)</w:t>
      </w:r>
      <w:r>
        <w:rPr>
          <w:rFonts w:eastAsia="Calibri"/>
          <w:b/>
          <w:bCs/>
          <w:lang w:val="fr" w:bidi="ar"/>
        </w:rPr>
        <w:fldChar w:fldCharType="end"/>
      </w:r>
      <w:r>
        <w:rPr>
          <w:rFonts w:eastAsia="Calibri"/>
          <w:lang w:val="fr-FR"/>
        </w:rPr>
        <w:t>. Les surfaces fréquemment touchées (poignées de porte, chariots de soins, téléphones, tables de triage) peuvent constituer des réservoirs microbiens importants si les protocoles de désinfection ne sont pas strictement appliqués.</w:t>
      </w:r>
    </w:p>
    <w:p w14:paraId="36D06708" w14:textId="77777777" w:rsidR="00B611D1" w:rsidRDefault="00FB7689">
      <w:pPr>
        <w:spacing w:line="360" w:lineRule="auto"/>
        <w:jc w:val="both"/>
        <w:rPr>
          <w:rFonts w:eastAsia="Calibri"/>
          <w:b/>
          <w:bCs/>
          <w:kern w:val="2"/>
          <w:lang w:val="fr" w:eastAsia="zh-CN" w:bidi="ar"/>
        </w:rPr>
      </w:pPr>
      <w:r>
        <w:rPr>
          <w:rFonts w:eastAsia="Calibri"/>
          <w:lang w:val="fr-FR"/>
        </w:rPr>
        <w:t xml:space="preserve">En ce qui concerne la répartition par site d’infection, les infections urinaires représentent environ </w:t>
      </w:r>
      <w:r>
        <w:rPr>
          <w:rFonts w:eastAsia="SimSun"/>
          <w:color w:val="000000"/>
          <w:lang w:val="fr-FR" w:eastAsia="zh-CN" w:bidi="ar"/>
        </w:rPr>
        <w:t>(38,7%)</w:t>
      </w:r>
      <w:r>
        <w:rPr>
          <w:rFonts w:eastAsia="Calibri"/>
          <w:lang w:val="fr-FR"/>
        </w:rPr>
        <w:t xml:space="preserve"> des cas, suivies des bactériémies (32,3%), des pneumonies (23%), des infections liées aux cathéters (3%) et des des infections du site opératoires (3 %)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{"citationID":"J4rrnCMo","properties":{"formattedCitation":"(Essola et al., 2023)","plainCitation":"(Essola et al., 2023)","noteIndex":0},"citationItems":[{"id":313,"uris":["http://zotero.org/users/16279382/items/GI5GT766"],"itemData":{"id":313,"type":"article-journal","abstract":"RÉSUMÉIntroduction. Les infections nosocomiales (IN) en réanimation sont le plus souvent dues à des bactéries multirésistantes (BMR). Le but ce travail était d’étudier la sensibilité des germes responsables d’IN au service de réanimation du Centre Hospitalier Universitaire de Libreville en vue d’optimiser la prise en charge du patient. Matériels et méthodes. Il s’agissait d’une étude monocentrique, basée sur la surveillance des IN et réalisée sur une période de 8 mois allant de janvier à août 2021. Etaient inclus tous les patients ayant contracté une IN en réanimation et confirmée à la bactériologie. Les paramètres étudiés étaient les germes responsables d’IN, le type d’IN et leur sensibilité aux antibiotiques. Résultats. 15,3% des patients développaient une IN (26 sur 170 patients). Quarante-trois micro-organismes étaient isolés: 26 bactéries (60,4%) bacilles gram négatif (BGN), 14 bactéries (32,6%) cocci gram positif (CGP) et 3 levures (7%). Staphylococcus aureus et Klebsiella pneumoniae représentaient respectivement 27,9% et 23,3% des germes isolés. Les principales IN étaient les infections urinaires avec 38,7% des cas. Concernant la sensibilité des germes, Staphylococcus aureus avait une sensibilité de 33,1% pour la ciprofloxacine et de 91,3% à la vancomycine. Conclusion. les BGN restent les principaux germes responsables d’IN en réanimation au CHUL. Les bactéries isolées conservent une forte sensibilité aux imipénèmes et à la vancomycine. ABSTRACTIntroduction: Nosocomial infections (Nis) in intensive care are most often due to multidrug-resistant bacteria (MDR). The aim of this work was to study the susceptibility of the germs responsible for IN in the intensive care unit of the University Hospital of Libreville in order to optimize patient care. Material and method: This was a single-centre, NI-based study conducted over an 8-month period from January to August 2021. All patients who contracted IN in intensive care and confirmed to bacteriology were included. The parameters studied were the germs responsible for IN, the type of IN and their sensitivity to antibiotics. Results: 15.3% of patients developed IN (26 out of 170 patients). Forty-three microorganisms were isolated: 26 bacteria (60.4%) gram-negative bacilli (BGN), 14 bacteria (32.6%) gram-positive cocci (CGP) and 3 yeasts (7%). Staphylococcus aureus and Klebsiella pneumoniae accounted for 27.9% and 23.3% of isolated germs respectively. The main NIs were urinary tract infections with 38.7% of cases. Regarding germ susceptibility, Staphylococcus aureus had a sensitivity of 33.1% for ciprofloxacin and 91.3% for vancomycin. Conclusion: BGN remain the main germs responsible for IN in intensive care at the CHUL. Isolated bacteria retain a high sensitivity to imipenems and vancomycin.","container-title":"HEALTH SCIENCES AND DISEASE","DOI":"10.5281/hsd.v24i5.4411","ISSN":"2309-6535","issue":"5","language":"en","license":"Copyright (c) 2023 HEALTH SCIENCES AND DISEASE","note":"number: 5","source":"hsd-fmsb.org","title":"Sensibilité des Bactéries Responsables d’Infections Nosocomiales en Réanimation à Libreville en 2021","URL":"http://hsd-fmsb.org/index.php/hsd/article/view/4411","volume":"24","author":[{"family":"Essola","given":"Laurence"},{"family":"Makao","given":"Arsène Ifoudji"},{"family":"Methe","given":"Luc Bitegue"},{"family":"Manga","given":"Fernande"},{"family":"Badehrwa","given":"Aurélie"},{"family":"Zue","given":"Adrien Sima"}],"accessed":{"date-parts":[["2025",6,9]]},"issued":{"date-parts":[["2023",4,30]]}}}],"schema":"https://github.com/citation-style-language/schema/raw/master/csl-citation.json"}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 xml:space="preserve">(Essola </w:t>
      </w:r>
      <w:r>
        <w:rPr>
          <w:rFonts w:eastAsia="Calibri"/>
          <w:b/>
          <w:bCs/>
          <w:i/>
          <w:iCs/>
          <w:kern w:val="2"/>
          <w:szCs w:val="22"/>
          <w:lang w:val="fr" w:eastAsia="zh-CN" w:bidi="ar"/>
        </w:rPr>
        <w:t>et al</w:t>
      </w:r>
      <w:r>
        <w:rPr>
          <w:rFonts w:eastAsia="Calibri"/>
          <w:b/>
          <w:bCs/>
          <w:kern w:val="2"/>
          <w:szCs w:val="22"/>
          <w:lang w:val="fr" w:eastAsia="zh-CN" w:bidi="ar"/>
        </w:rPr>
        <w:t>., 2023)</w:t>
      </w:r>
      <w:r>
        <w:rPr>
          <w:rFonts w:eastAsia="Calibri"/>
          <w:b/>
          <w:bCs/>
          <w:kern w:val="2"/>
          <w:lang w:val="fr" w:eastAsia="zh-CN" w:bidi="ar"/>
        </w:rPr>
        <w:fldChar w:fldCharType="end"/>
      </w:r>
      <w:r>
        <w:rPr>
          <w:rFonts w:eastAsia="Calibri"/>
          <w:b/>
          <w:bCs/>
          <w:kern w:val="2"/>
          <w:lang w:val="fr" w:eastAsia="zh-CN" w:bidi="ar"/>
        </w:rPr>
        <w:t>.</w:t>
      </w:r>
    </w:p>
    <w:p w14:paraId="740D6144" w14:textId="77777777" w:rsidR="00B611D1" w:rsidRDefault="00B611D1">
      <w:pPr>
        <w:spacing w:line="360" w:lineRule="auto"/>
        <w:jc w:val="both"/>
        <w:rPr>
          <w:rFonts w:eastAsia="Calibri"/>
        </w:rPr>
      </w:pPr>
    </w:p>
    <w:p w14:paraId="405952DB" w14:textId="77777777" w:rsidR="00B611D1" w:rsidRDefault="00FB7689">
      <w:pPr>
        <w:pStyle w:val="Titre3"/>
        <w:numPr>
          <w:ilvl w:val="2"/>
          <w:numId w:val="1"/>
        </w:numPr>
        <w:spacing w:line="360" w:lineRule="auto"/>
        <w:rPr>
          <w:rFonts w:eastAsia="Calibri"/>
          <w:lang w:val="fr-FR" w:eastAsia="zh-CN" w:bidi="ar"/>
        </w:rPr>
      </w:pPr>
      <w:bookmarkStart w:id="11" w:name="_Toc201260006"/>
      <w:r>
        <w:rPr>
          <w:rFonts w:eastAsia="Calibri"/>
          <w:lang w:val="fr-FR" w:eastAsia="zh-CN" w:bidi="ar"/>
        </w:rPr>
        <w:t>Causes et modes de transmission des infections nosocomiales</w:t>
      </w:r>
      <w:bookmarkEnd w:id="11"/>
    </w:p>
    <w:p w14:paraId="3DCC7DCA" w14:textId="77777777" w:rsidR="00B611D1" w:rsidRDefault="00FB7689">
      <w:pPr>
        <w:spacing w:line="360" w:lineRule="auto"/>
        <w:jc w:val="both"/>
        <w:rPr>
          <w:rFonts w:eastAsia="Calibri"/>
          <w:lang w:val="fr-FR" w:eastAsia="zh-CN" w:bidi="ar"/>
        </w:rPr>
      </w:pPr>
      <w:r>
        <w:rPr>
          <w:rFonts w:eastAsia="Calibri"/>
          <w:lang w:val="fr-FR" w:eastAsia="zh-CN" w:bidi="ar"/>
        </w:rPr>
        <w:t xml:space="preserve">Les infections nosocomiales sont causées par divers agents pathogènes, notamment des bactéries (comme </w:t>
      </w:r>
      <w:r>
        <w:rPr>
          <w:rFonts w:eastAsia="Calibri"/>
          <w:i/>
          <w:iCs/>
          <w:lang w:val="fr-FR" w:eastAsia="zh-CN" w:bidi="ar"/>
        </w:rPr>
        <w:t>Staphylococcus aureus, Escherichia coli ou Pseudomonas aeruginosa</w:t>
      </w:r>
      <w:r>
        <w:rPr>
          <w:rFonts w:eastAsia="Calibri"/>
          <w:lang w:val="fr-FR" w:eastAsia="zh-CN" w:bidi="ar"/>
        </w:rPr>
        <w:t xml:space="preserve">), des champignons, des virus et des parasites. Certains de ces micro-organismes, en particulier les bactéries multirésistantes aux antibiotiques, rendent la prévention et la prise en charge des infections particulièrement complexes </w:t>
      </w:r>
      <w:r>
        <w:rPr>
          <w:rFonts w:eastAsia="Calibri"/>
          <w:b/>
          <w:bCs/>
          <w:lang w:val="fr" w:eastAsia="zh-CN" w:bidi="ar"/>
        </w:rPr>
        <w:fldChar w:fldCharType="begin"/>
      </w:r>
      <w:r>
        <w:rPr>
          <w:rFonts w:eastAsia="Calibri"/>
          <w:b/>
          <w:bCs/>
          <w:lang w:val="fr" w:eastAsia="zh-CN" w:bidi="ar"/>
        </w:rPr>
        <w:instrText xml:space="preserve"> ADDIN ZOTERO_ITEM CSL_CITATION {"citationID":"Yhl2fL3v","properties":{"formattedCitation":"(Ezzahra, 2014)","plainCitation":"(Ezzahra, 2014)","noteIndex":0},"citationItems":[{"id":49,"uris":["http://zotero.org/users/16279382/items/LK96K3NB"],"itemData":{"id":49,"type":"article-journal","note":"publisher: Université Mohammed 5 de Rabat, Faculté de Médecine et de Pharmacie, Rabat","source":"Google Scholar","title":"Les infections associées aux soins: revue de la littérature","title-short":"Les infections associées aux soins","URL":"https://toubkal.imist.ma/bitstream/handle/123456789/18923/P0872014.pdf?sequence=1","author":[{"family":"Ezzahra","given":"GHARBAOUI Fatima"}],"accessed":{"date-parts":[["2025",2,18]]},"issued":{"date-parts":[["2014"]]}}}],"schema":"https://github.com/citation-style-language/schema/raw/master/csl-citation.json"} </w:instrText>
      </w:r>
      <w:r>
        <w:rPr>
          <w:rFonts w:eastAsia="Calibri"/>
          <w:b/>
          <w:bCs/>
          <w:lang w:val="fr" w:eastAsia="zh-CN" w:bidi="ar"/>
        </w:rPr>
        <w:fldChar w:fldCharType="separate"/>
      </w:r>
      <w:r>
        <w:rPr>
          <w:rFonts w:eastAsia="Calibri"/>
          <w:b/>
          <w:bCs/>
          <w:lang w:val="fr" w:eastAsia="zh-CN" w:bidi="ar"/>
        </w:rPr>
        <w:t>(Ezzahra, 2014)</w:t>
      </w:r>
      <w:r>
        <w:rPr>
          <w:rFonts w:eastAsia="Calibri"/>
          <w:b/>
          <w:bCs/>
          <w:lang w:val="fr" w:eastAsia="zh-CN" w:bidi="ar"/>
        </w:rPr>
        <w:fldChar w:fldCharType="end"/>
      </w:r>
      <w:r>
        <w:rPr>
          <w:rFonts w:eastAsia="Calibri"/>
          <w:b/>
          <w:bCs/>
          <w:lang w:val="fr-FR" w:eastAsia="zh-CN" w:bidi="ar"/>
        </w:rPr>
        <w:t>.</w:t>
      </w:r>
    </w:p>
    <w:p w14:paraId="69028D3D" w14:textId="77777777" w:rsidR="00B611D1" w:rsidRDefault="00FB7689">
      <w:pPr>
        <w:spacing w:line="360" w:lineRule="auto"/>
        <w:jc w:val="both"/>
        <w:rPr>
          <w:lang w:val="fr-FR"/>
        </w:rPr>
      </w:pPr>
      <w:r>
        <w:rPr>
          <w:lang w:val="fr-FR"/>
        </w:rPr>
        <w:t>La transmission des agents infectieux responsables des infections nosocomiales se fait principalement par plusieurs voies :</w:t>
      </w:r>
    </w:p>
    <w:p w14:paraId="21F15BB7" w14:textId="77777777" w:rsidR="00B611D1" w:rsidRDefault="00FB7689">
      <w:pPr>
        <w:pStyle w:val="Titre4"/>
        <w:numPr>
          <w:ilvl w:val="3"/>
          <w:numId w:val="1"/>
        </w:numPr>
        <w:spacing w:line="360" w:lineRule="auto"/>
        <w:rPr>
          <w:rFonts w:ascii="Times New Roman" w:hAnsi="Times New Roman" w:cs="Times New Roman"/>
          <w:b/>
          <w:bCs/>
          <w:i w:val="0"/>
          <w:iCs w:val="0"/>
          <w:color w:val="000000" w:themeColor="text1"/>
        </w:rPr>
      </w:pPr>
      <w:bookmarkStart w:id="12" w:name="_Toc201260007"/>
      <w:r>
        <w:rPr>
          <w:rFonts w:ascii="Times New Roman" w:hAnsi="Times New Roman" w:cs="Times New Roman"/>
          <w:b/>
          <w:bCs/>
          <w:i w:val="0"/>
          <w:iCs w:val="0"/>
          <w:color w:val="000000" w:themeColor="text1"/>
        </w:rPr>
        <w:t>Transmission par contact direct</w:t>
      </w:r>
      <w:bookmarkEnd w:id="12"/>
      <w:r>
        <w:rPr>
          <w:rFonts w:ascii="Times New Roman" w:hAnsi="Times New Roman" w:cs="Times New Roman"/>
          <w:b/>
          <w:bCs/>
          <w:i w:val="0"/>
          <w:iCs w:val="0"/>
          <w:color w:val="000000" w:themeColor="text1"/>
        </w:rPr>
        <w:t xml:space="preserve"> </w:t>
      </w:r>
    </w:p>
    <w:p w14:paraId="43584D4D" w14:textId="77777777" w:rsidR="00B611D1" w:rsidRDefault="00FB7689">
      <w:pPr>
        <w:spacing w:line="360" w:lineRule="auto"/>
        <w:jc w:val="both"/>
        <w:rPr>
          <w:b/>
          <w:bCs/>
          <w:lang w:val="fr-FR"/>
        </w:rPr>
      </w:pPr>
      <w:r>
        <w:rPr>
          <w:lang w:val="fr-FR"/>
        </w:rPr>
        <w:t xml:space="preserve"> Ce mode de transmission se produit lors d’un contact direct avec le patient, favorisant le passage des micro-organismes d'un individu à un autre. Les mains des professionnels de santé jouent un rôle clé dans la propagation de ces infections, en particulier en l’absence de mesures d’hygiène rigoureuses. Dans de telles conditions, elles peuvent devenir un vecteur de transmission croisée des agents pathogènes</w:t>
      </w:r>
      <w:r>
        <w:rPr>
          <w:rFonts w:eastAsia="Calibri"/>
          <w:kern w:val="2"/>
          <w:lang w:val="fr" w:eastAsia="zh-CN" w:bidi="ar"/>
        </w:rPr>
        <w:t xml:space="preserve"> avec une estimation indiquant que 20 à 40 % des infections nosocomiales en résultent</w:t>
      </w:r>
      <w:r>
        <w:rPr>
          <w:rFonts w:eastAsia="Calibri"/>
          <w:kern w:val="2"/>
          <w:lang w:val="fr-FR" w:eastAsia="zh-CN" w:bidi="ar"/>
        </w:rPr>
        <w:t xml:space="preserve"> </w:t>
      </w:r>
      <w:r>
        <w:rPr>
          <w:rFonts w:eastAsia="Calibri"/>
          <w:b/>
          <w:bCs/>
          <w:lang w:val="fr" w:bidi="ar"/>
        </w:rPr>
        <w:fldChar w:fldCharType="begin"/>
      </w:r>
      <w:r>
        <w:rPr>
          <w:rFonts w:eastAsia="Calibri"/>
          <w:b/>
          <w:bCs/>
          <w:lang w:val="fr" w:bidi="ar"/>
        </w:rPr>
        <w:instrText xml:space="preserve"> ADDIN ZOTERO_ITEM CSL_CITATION {"citationID":"pl4xhRxf","properties":{"formattedCitation":"(Russotto et al., 2015)","plainCitation":"(Russotto et al., 2015)","noteIndex":0},"citationItems":[{"id":79,"uris":["http://zotero.org/users/16279382/items/5VUITF8X"],"itemData":{"id":79,"type":"article-journal","abstract":"Intensive care unit (ICU)-acquired infections are a challenging health problem worldwide, especially when caused by multidrug-resistant (MDR) pathogens. In ICUs, inanimate surfaces and equipment (e.g., bedrails, stethoscopes, medical charts, ultrasound machine) may be contaminated by bacteria, including MDR isolates. Cross-transmission of microorganisms from inanimate surfaces may have a significant role for ICU-acquired colonization and infections. Contamination may result from healthcare workers’ hands or by direct patient shedding of bacteria which are able to survive up to several months on dry surfaces. A higher environmental contamination has been reported around infected patients than around patients who are only colonized and, in this last group, a correlation has been observed between frequency of environmental contamination and culture-positive body sites. Healthcare workers not only contaminate their hands after direct patient contact but also after touching inanimate surfaces and equipment in the patient zone (the patient and his/her immediate surroundings). Inadequate hand hygiene before and after entering a patient zone may result in cross-transmission of pathogens and patient colonization or infection. A number of equipment items and commonly used objects in ICU carry bacteria which, in most cases, show the same antibiotic susceptibility profiles of those isolated from patients. The aim of this review is to provide an updated evidence about contamination of inanimate surfaces and equipment in ICU in light of the concept of patient zone and the possible implications for bacterial pathogen cross-transmission to critically ill patients.","container-title":"Journal of Intensive Care","DOI":"10.1186/s40560-015-0120-5","ISSN":"2052-0492","issue":"1","journalAbbreviation":"j intensive care","language":"en","page":"54","source":"Springer Link","title":"Bacterial contamination of inanimate surfaces and equipment in the intensive care unit","volume":"3","author":[{"family":"Russotto","given":"Vincenzo"},{"family":"Cortegiani","given":"Andrea"},{"family":"Raineri","given":"Santi Maurizio"},{"family":"Giarratano","given":"Antonino"}],"issued":{"date-parts":[["2015",12,10]]}}}],"schema":"https://github.com/citation-style-language/schema/raw/master/csl-citation.json"} </w:instrText>
      </w:r>
      <w:r>
        <w:rPr>
          <w:rFonts w:eastAsia="Calibri"/>
          <w:b/>
          <w:bCs/>
          <w:lang w:val="fr" w:bidi="ar"/>
        </w:rPr>
        <w:fldChar w:fldCharType="separate"/>
      </w:r>
      <w:r>
        <w:rPr>
          <w:rFonts w:eastAsia="Calibri"/>
          <w:b/>
          <w:bCs/>
          <w:lang w:val="fr" w:bidi="ar"/>
        </w:rPr>
        <w:t xml:space="preserve">(Russotto </w:t>
      </w:r>
      <w:r>
        <w:rPr>
          <w:rFonts w:eastAsia="Calibri"/>
          <w:b/>
          <w:bCs/>
          <w:i/>
          <w:iCs/>
          <w:lang w:val="fr" w:bidi="ar"/>
        </w:rPr>
        <w:t>et al</w:t>
      </w:r>
      <w:r>
        <w:rPr>
          <w:rFonts w:eastAsia="Calibri"/>
          <w:b/>
          <w:bCs/>
          <w:lang w:val="fr" w:bidi="ar"/>
        </w:rPr>
        <w:t>., 2015)</w:t>
      </w:r>
      <w:r>
        <w:rPr>
          <w:rFonts w:eastAsia="Calibri"/>
          <w:b/>
          <w:bCs/>
          <w:lang w:val="fr" w:bidi="ar"/>
        </w:rPr>
        <w:fldChar w:fldCharType="end"/>
      </w:r>
    </w:p>
    <w:p w14:paraId="2D9A6A4D" w14:textId="77777777" w:rsidR="00B611D1" w:rsidRDefault="00FB7689">
      <w:pPr>
        <w:pStyle w:val="Titre4"/>
        <w:numPr>
          <w:ilvl w:val="3"/>
          <w:numId w:val="1"/>
        </w:numPr>
        <w:spacing w:line="360" w:lineRule="auto"/>
        <w:rPr>
          <w:rFonts w:asciiTheme="majorBidi" w:hAnsiTheme="majorBidi"/>
          <w:b/>
          <w:bCs/>
          <w:i w:val="0"/>
          <w:iCs w:val="0"/>
          <w:color w:val="000000" w:themeColor="text1"/>
          <w:lang w:val="fr-FR"/>
        </w:rPr>
      </w:pPr>
      <w:bookmarkStart w:id="13" w:name="_Toc201260008"/>
      <w:r>
        <w:rPr>
          <w:rFonts w:asciiTheme="majorBidi" w:hAnsiTheme="majorBidi"/>
          <w:b/>
          <w:bCs/>
          <w:i w:val="0"/>
          <w:iCs w:val="0"/>
          <w:color w:val="000000" w:themeColor="text1"/>
          <w:lang w:val="fr-FR"/>
        </w:rPr>
        <w:t>Transmission par contact indirect</w:t>
      </w:r>
      <w:bookmarkEnd w:id="13"/>
    </w:p>
    <w:p w14:paraId="17ECD1F5" w14:textId="77777777" w:rsidR="00B611D1" w:rsidRDefault="00FB7689">
      <w:pPr>
        <w:spacing w:line="360" w:lineRule="auto"/>
        <w:jc w:val="both"/>
        <w:rPr>
          <w:lang w:val="fr-FR"/>
        </w:rPr>
      </w:pPr>
      <w:r>
        <w:rPr>
          <w:rFonts w:eastAsia="Calibri"/>
          <w:lang w:val="fr" w:bidi="ar"/>
        </w:rPr>
        <w:t>Les surfaces,</w:t>
      </w:r>
      <w:r>
        <w:rPr>
          <w:rFonts w:eastAsia="Calibri"/>
          <w:lang w:val="fr-FR" w:bidi="ar"/>
        </w:rPr>
        <w:t xml:space="preserve"> </w:t>
      </w:r>
      <w:r>
        <w:rPr>
          <w:rFonts w:eastAsia="serif"/>
          <w:color w:val="222222"/>
          <w:shd w:val="clear" w:color="auto" w:fill="FFFFFF"/>
          <w:lang w:val="fr-FR"/>
        </w:rPr>
        <w:t>équipements inanimés</w:t>
      </w:r>
      <w:r>
        <w:rPr>
          <w:rFonts w:eastAsia="Calibri"/>
          <w:lang w:val="fr" w:bidi="ar"/>
        </w:rPr>
        <w:t xml:space="preserve"> et dispositifs médicaux présents dans l'environnement</w:t>
      </w:r>
      <w:r>
        <w:rPr>
          <w:rFonts w:eastAsia="Calibri"/>
          <w:lang w:val="fr-FR" w:bidi="ar"/>
        </w:rPr>
        <w:t xml:space="preserve"> hospitalier</w:t>
      </w:r>
      <w:r>
        <w:rPr>
          <w:rFonts w:eastAsia="Calibri"/>
          <w:lang w:val="fr" w:bidi="ar"/>
        </w:rPr>
        <w:t>, notamment</w:t>
      </w:r>
      <w:r>
        <w:rPr>
          <w:rFonts w:eastAsia="Calibri" w:hint="cs"/>
          <w:rtl/>
          <w:lang w:val="en-US" w:bidi="ar-DZ"/>
        </w:rPr>
        <w:t xml:space="preserve"> </w:t>
      </w:r>
      <w:r>
        <w:rPr>
          <w:rFonts w:eastAsia="serif"/>
          <w:color w:val="222222"/>
          <w:shd w:val="clear" w:color="auto" w:fill="FFFFFF"/>
          <w:lang w:val="fr-FR"/>
        </w:rPr>
        <w:t>le</w:t>
      </w:r>
      <w:r>
        <w:rPr>
          <w:rFonts w:ascii="serif" w:eastAsia="serif" w:hAnsi="serif" w:cs="serif"/>
          <w:color w:val="222222"/>
          <w:shd w:val="clear" w:color="auto" w:fill="FFFFFF"/>
          <w:lang w:val="fr-FR"/>
        </w:rPr>
        <w:t xml:space="preserve"> </w:t>
      </w:r>
      <w:r>
        <w:rPr>
          <w:rFonts w:eastAsia="serif"/>
          <w:color w:val="222222"/>
          <w:shd w:val="clear" w:color="auto" w:fill="FFFFFF"/>
          <w:lang w:val="fr-FR"/>
        </w:rPr>
        <w:t>sol, les barrières de lit, les chariots</w:t>
      </w:r>
      <w:r>
        <w:rPr>
          <w:rFonts w:eastAsia="Calibri"/>
          <w:lang w:val="fr"/>
        </w:rPr>
        <w:t xml:space="preserve"> médicaux,</w:t>
      </w:r>
      <w:r>
        <w:rPr>
          <w:rFonts w:eastAsia="Calibri"/>
          <w:lang w:val="fr-FR"/>
        </w:rPr>
        <w:t xml:space="preserve"> peuvent constituer des supports potentiels à la transmission d’agents pathogènes nosocomiaux. Parmi ces micro-organismes, les bactéries multi-résistantes suscitent une préoccupation majeure en raison de leur capacité  d’adhésion et de survie prolongée sur les surfaces abiotiques </w:t>
      </w:r>
      <w:r>
        <w:rPr>
          <w:rFonts w:ascii="Calibri" w:eastAsia="Calibri" w:hAnsi="Calibri" w:cs="Arial" w:hint="eastAsia"/>
          <w:b/>
          <w:bCs/>
          <w:lang w:val="fr" w:bidi="ar"/>
        </w:rPr>
        <w:t xml:space="preserve"> </w:t>
      </w:r>
      <w:r>
        <w:rPr>
          <w:rFonts w:eastAsia="Calibri"/>
          <w:b/>
          <w:bCs/>
          <w:lang w:val="fr" w:bidi="ar"/>
        </w:rPr>
        <w:fldChar w:fldCharType="begin"/>
      </w:r>
      <w:r>
        <w:rPr>
          <w:rFonts w:eastAsia="Calibri"/>
          <w:b/>
          <w:bCs/>
          <w:lang w:val="fr" w:bidi="ar"/>
        </w:rPr>
        <w:instrText xml:space="preserve"> ADDIN ZOTERO_ITEM CSL_CITATION {"citationID":"XvsqWhNy","properties":{"formattedCitation":"(Ssekitoleko et al., 2020)","plainCitation":"(Ssekitoleko et al., 2020)","noteIndex":0},"citationItems":[{"id":81,"uris":["http://zotero.org/users/16279382/items/Q5YX6CY5"],"itemData":{"id":81,"type":"article-journal","abstract":"With many medical equipment in hospitals coming in direct contact with healthcare workers, patients, technicians, cleaners and sometimes care givers, it is important to pay close attention to their capacity in harboring potentially harmful pathogens. The goal of this study was to assess the role that medical equipment may potentially play in hospital acquired infections in four public health facilities in Uganda.","container-title":"BMC Public Health","DOI":"10.1186/s12889-020-09662-w","ISSN":"1471-2458","issue":"1","journalAbbreviation":"BMC Public Health","language":"en","page":"1561","source":"Springer Link","title":"The role of medical equipment in the spread of nosocomial infections: a cross-sectional study in four tertiary public health facilities in Uganda","title-short":"The role of medical equipment in the spread of nosocomial infections","volume":"20","author":[{"family":"Ssekitoleko","given":"Robert T."},{"family":"Oshabaheebwa","given":"Solomon"},{"family":"Munabi","given":"Ian G."},{"family":"Tusabe","given":"Martha S."},{"family":"Namayega","given":"C."},{"family":"Ngabirano","given":"Beryl A."},{"family":"Matovu","given":"Brian"},{"family":"Mugaga","given":"Julius"},{"family":"Reichert","given":"William M."},{"family":"Joloba","given":"Moses L."}],"issued":{"date-parts":[["2020",10,16]]}}}],"schema":"https://github.com/citation-style-language/schema/raw/master/csl-citation.json"} </w:instrText>
      </w:r>
      <w:r>
        <w:rPr>
          <w:rFonts w:eastAsia="Calibri"/>
          <w:b/>
          <w:bCs/>
          <w:lang w:val="fr" w:bidi="ar"/>
        </w:rPr>
        <w:fldChar w:fldCharType="separate"/>
      </w:r>
      <w:r>
        <w:rPr>
          <w:rFonts w:eastAsia="Calibri"/>
          <w:b/>
          <w:bCs/>
          <w:lang w:val="fr" w:bidi="ar"/>
        </w:rPr>
        <w:t xml:space="preserve">(Ssekitoleko </w:t>
      </w:r>
      <w:r>
        <w:rPr>
          <w:rFonts w:eastAsia="Calibri"/>
          <w:b/>
          <w:bCs/>
          <w:i/>
          <w:iCs/>
          <w:lang w:val="fr" w:bidi="ar"/>
        </w:rPr>
        <w:t>et al</w:t>
      </w:r>
      <w:r>
        <w:rPr>
          <w:rFonts w:eastAsia="Calibri"/>
          <w:b/>
          <w:bCs/>
          <w:lang w:val="fr" w:bidi="ar"/>
        </w:rPr>
        <w:t>., 2020)</w:t>
      </w:r>
      <w:r>
        <w:rPr>
          <w:rFonts w:eastAsia="Calibri"/>
          <w:b/>
          <w:bCs/>
          <w:lang w:val="fr" w:bidi="ar"/>
        </w:rPr>
        <w:fldChar w:fldCharType="end"/>
      </w:r>
      <w:r>
        <w:rPr>
          <w:rFonts w:eastAsia="Calibri"/>
          <w:b/>
          <w:bCs/>
          <w:lang w:val="fr-FR" w:bidi="ar"/>
        </w:rPr>
        <w:t>.</w:t>
      </w:r>
    </w:p>
    <w:p w14:paraId="733F7081" w14:textId="77777777" w:rsidR="00B611D1" w:rsidRDefault="00FB7689">
      <w:pPr>
        <w:pStyle w:val="Titre4"/>
        <w:numPr>
          <w:ilvl w:val="3"/>
          <w:numId w:val="1"/>
        </w:numPr>
        <w:spacing w:line="360" w:lineRule="auto"/>
        <w:rPr>
          <w:rFonts w:asciiTheme="majorBidi" w:hAnsiTheme="majorBidi"/>
          <w:b/>
          <w:bCs/>
          <w:i w:val="0"/>
          <w:iCs w:val="0"/>
          <w:color w:val="000000" w:themeColor="text1"/>
        </w:rPr>
      </w:pPr>
      <w:bookmarkStart w:id="14" w:name="_Toc201260009"/>
      <w:r>
        <w:rPr>
          <w:rFonts w:asciiTheme="majorBidi" w:hAnsiTheme="majorBidi"/>
          <w:b/>
          <w:bCs/>
          <w:i w:val="0"/>
          <w:iCs w:val="0"/>
          <w:color w:val="000000" w:themeColor="text1"/>
        </w:rPr>
        <w:t>Transmission par voie aérienne</w:t>
      </w:r>
      <w:bookmarkEnd w:id="14"/>
    </w:p>
    <w:p w14:paraId="63CBF029" w14:textId="77777777" w:rsidR="00B611D1" w:rsidRDefault="00FB7689">
      <w:pPr>
        <w:spacing w:line="360" w:lineRule="auto"/>
        <w:jc w:val="both"/>
        <w:rPr>
          <w:lang w:val="fr-FR"/>
        </w:rPr>
      </w:pPr>
      <w:r>
        <w:rPr>
          <w:lang w:val="fr-FR"/>
        </w:rPr>
        <w:t xml:space="preserve">La transmission aéroportée des agents pathogènes peut se produire de différentes manières, influençant la portée et la durée de leur dispersion dans l'air. </w:t>
      </w:r>
      <w:r>
        <w:t>Elle se divise principalement en deux formes </w:t>
      </w:r>
      <w:r>
        <w:rPr>
          <w:lang w:val="fr-FR"/>
        </w:rPr>
        <w:t xml:space="preserve">: </w:t>
      </w:r>
    </w:p>
    <w:p w14:paraId="21C932EF" w14:textId="77777777" w:rsidR="00B611D1" w:rsidRDefault="00FB7689">
      <w:pPr>
        <w:pStyle w:val="Paragraphedeliste"/>
        <w:numPr>
          <w:ilvl w:val="4"/>
          <w:numId w:val="1"/>
        </w:numPr>
        <w:spacing w:line="360" w:lineRule="auto"/>
        <w:jc w:val="both"/>
        <w:rPr>
          <w:b/>
          <w:bCs/>
        </w:rPr>
      </w:pPr>
      <w:r>
        <w:rPr>
          <w:rFonts w:asciiTheme="majorBidi" w:hAnsiTheme="majorBidi" w:cstheme="majorBidi"/>
          <w:b/>
          <w:bCs/>
          <w:lang w:val="fr-FR"/>
        </w:rPr>
        <w:t>Contamination par gouttelettes</w:t>
      </w:r>
    </w:p>
    <w:p w14:paraId="3EB3ACBA" w14:textId="77777777" w:rsidR="00B611D1" w:rsidRDefault="00FB7689">
      <w:pPr>
        <w:spacing w:line="360" w:lineRule="auto"/>
        <w:jc w:val="both"/>
        <w:rPr>
          <w:b/>
          <w:bCs/>
          <w:lang w:val="fr-FR"/>
        </w:rPr>
      </w:pPr>
      <w:r>
        <w:rPr>
          <w:lang w:val="fr-FR"/>
        </w:rPr>
        <w:t xml:space="preserve"> Implique l'exposition à des gouttelettes aérosolisées d’une taille supérieure à 5 </w:t>
      </w:r>
      <w:r>
        <w:t>μ</w:t>
      </w:r>
      <w:r>
        <w:rPr>
          <w:lang w:val="fr-FR"/>
        </w:rPr>
        <w:t xml:space="preserve">m provenant des sécrétions orales ou nasales des personnes infectée. Parmi les micro-organismes pouvant se propager par cette voie, on retrouve le virus de la grippe, les rhinovirus, les adénovirus et le virus respiratoire </w:t>
      </w:r>
      <w:r>
        <w:rPr>
          <w:b/>
          <w:bCs/>
          <w:lang w:val="fr-FR"/>
        </w:rPr>
        <w:t>syncytial.</w:t>
      </w:r>
    </w:p>
    <w:p w14:paraId="0DF6345D" w14:textId="77777777" w:rsidR="00B611D1" w:rsidRDefault="00FB7689">
      <w:pPr>
        <w:pStyle w:val="Paragraphedeliste"/>
        <w:numPr>
          <w:ilvl w:val="4"/>
          <w:numId w:val="1"/>
        </w:numPr>
        <w:spacing w:line="360" w:lineRule="auto"/>
        <w:jc w:val="both"/>
        <w:rPr>
          <w:b/>
          <w:bCs/>
          <w:lang w:val="fr-FR"/>
        </w:rPr>
      </w:pPr>
      <w:r>
        <w:rPr>
          <w:rFonts w:asciiTheme="majorBidi" w:hAnsiTheme="majorBidi" w:cstheme="majorBidi"/>
          <w:b/>
          <w:bCs/>
          <w:lang w:val="fr-FR"/>
        </w:rPr>
        <w:t>Contamination par des spores</w:t>
      </w:r>
    </w:p>
    <w:p w14:paraId="394390A1" w14:textId="77777777" w:rsidR="00B611D1" w:rsidRDefault="00FB7689">
      <w:pPr>
        <w:spacing w:line="360" w:lineRule="auto"/>
        <w:jc w:val="both"/>
        <w:rPr>
          <w:b/>
          <w:bCs/>
          <w:lang w:val="fr-FR"/>
        </w:rPr>
      </w:pPr>
      <w:r>
        <w:rPr>
          <w:rFonts w:asciiTheme="majorBidi" w:hAnsiTheme="majorBidi" w:cstheme="majorBidi"/>
          <w:color w:val="000000" w:themeColor="text1"/>
          <w:lang w:val="fr-FR" w:eastAsia="zh-CN"/>
        </w:rPr>
        <w:t>R</w:t>
      </w:r>
      <w:r>
        <w:rPr>
          <w:rFonts w:asciiTheme="majorBidi" w:hAnsiTheme="majorBidi" w:cstheme="majorBidi"/>
          <w:color w:val="000000" w:themeColor="text1"/>
          <w:lang w:val="fr-FR"/>
        </w:rPr>
        <w:t xml:space="preserve">epose sur la dispersion des agents pathogènes sous forme de noyaux de gouttelettes ou de particules résiduelles, d'une taille comprise entre 1 et 5 </w:t>
      </w:r>
      <w:r>
        <w:rPr>
          <w:rFonts w:asciiTheme="majorBidi" w:hAnsiTheme="majorBidi" w:cstheme="majorBidi"/>
          <w:color w:val="000000" w:themeColor="text1"/>
        </w:rPr>
        <w:t>μ</w:t>
      </w:r>
      <w:r>
        <w:rPr>
          <w:rFonts w:asciiTheme="majorBidi" w:hAnsiTheme="majorBidi" w:cstheme="majorBidi"/>
          <w:color w:val="000000" w:themeColor="text1"/>
          <w:lang w:val="fr-FR"/>
        </w:rPr>
        <w:t xml:space="preserve">m, contenant des micro-organismes potentiellement viables, restent en suspension dans l’air pendant de longues périodes. Différente pathogènes se propagent par ce mécanisme tels que </w:t>
      </w:r>
      <w:r>
        <w:rPr>
          <w:rFonts w:asciiTheme="majorBidi" w:hAnsiTheme="majorBidi" w:cstheme="majorBidi"/>
          <w:i/>
          <w:iCs/>
          <w:color w:val="000000" w:themeColor="text1"/>
          <w:lang w:val="fr-FR"/>
        </w:rPr>
        <w:t>Mycobacterium tuberculosis</w:t>
      </w:r>
      <w:r>
        <w:rPr>
          <w:rFonts w:asciiTheme="majorBidi" w:hAnsiTheme="majorBidi" w:cstheme="majorBidi"/>
          <w:color w:val="000000" w:themeColor="text1"/>
          <w:lang w:val="fr-FR"/>
        </w:rPr>
        <w:t xml:space="preserve">, le virus varicelle-zona, le virus de la rougeole et le virus de la variole </w:t>
      </w:r>
      <w:r>
        <w:rPr>
          <w:rFonts w:asciiTheme="majorBidi" w:eastAsia="Calibri" w:hAnsiTheme="majorBidi" w:cstheme="majorBidi"/>
          <w:b/>
          <w:bCs/>
          <w:lang w:val="fr" w:bidi="ar"/>
        </w:rPr>
        <w:fldChar w:fldCharType="begin"/>
      </w:r>
      <w:r>
        <w:rPr>
          <w:rFonts w:asciiTheme="majorBidi" w:eastAsia="Calibri" w:hAnsiTheme="majorBidi" w:cstheme="majorBidi"/>
          <w:b/>
          <w:bCs/>
          <w:lang w:val="fr" w:bidi="ar"/>
        </w:rPr>
        <w:instrText xml:space="preserve"> ADDIN ZOTERO_ITEM CSL_CITATION {"citationID":"c1NhyXN6","properties":{"formattedCitation":"(Suleyman et al., 2018)","plainCitation":"(Suleyman et al., 2018)","noteIndex":0},"citationItems":[{"id":77,"uris":["http://zotero.org/users/16279382/items/5FZTV6VM"],"itemData":{"id":77,"type":"article-journal","abstract":"The aim of this review is to highlight the role of environmental contamination in healthcare-associated infections (HAIs) and to discuss the most commonly implicated nosocomial pathogens.","container-title":"Current Infectious Disease Reports","DOI":"10.1007/s11908-018-0620-2","ISSN":"1534-3146","issue":"6","journalAbbreviation":"Curr Infect Dis Rep","language":"en","page":"12","source":"Springer Link","title":"The Role of Environmental Contamination in the Transmission of Nosocomial Pathogens and Healthcare-Associated Infections","volume":"20","author":[{"family":"Suleyman","given":"Geehan"},{"family":"Alangaden","given":"George"},{"family":"Bardossy","given":"Ana Cecilia"}],"issued":{"date-parts":[["2018",4,27]]}}}],"schema":"https://github.com/citation-style-language/schema/raw/master/csl-citation.json"} </w:instrText>
      </w:r>
      <w:r>
        <w:rPr>
          <w:rFonts w:asciiTheme="majorBidi" w:eastAsia="Calibri" w:hAnsiTheme="majorBidi" w:cstheme="majorBidi"/>
          <w:b/>
          <w:bCs/>
          <w:lang w:val="fr" w:bidi="ar"/>
        </w:rPr>
        <w:fldChar w:fldCharType="separate"/>
      </w:r>
      <w:r>
        <w:rPr>
          <w:rFonts w:asciiTheme="majorBidi" w:eastAsia="Calibri" w:hAnsiTheme="majorBidi" w:cstheme="majorBidi"/>
          <w:b/>
          <w:bCs/>
          <w:lang w:val="fr" w:bidi="ar"/>
        </w:rPr>
        <w:t xml:space="preserve">(Suleyman </w:t>
      </w:r>
      <w:r>
        <w:rPr>
          <w:rFonts w:asciiTheme="majorBidi" w:eastAsia="Calibri" w:hAnsiTheme="majorBidi" w:cstheme="majorBidi"/>
          <w:b/>
          <w:bCs/>
          <w:i/>
          <w:iCs/>
          <w:lang w:val="fr" w:bidi="ar"/>
        </w:rPr>
        <w:t>et al</w:t>
      </w:r>
      <w:r>
        <w:rPr>
          <w:rFonts w:asciiTheme="majorBidi" w:eastAsia="Calibri" w:hAnsiTheme="majorBidi" w:cstheme="majorBidi"/>
          <w:b/>
          <w:bCs/>
          <w:lang w:val="fr" w:bidi="ar"/>
        </w:rPr>
        <w:t>., 2018)</w:t>
      </w:r>
      <w:r>
        <w:rPr>
          <w:rFonts w:asciiTheme="majorBidi" w:eastAsia="Calibri" w:hAnsiTheme="majorBidi" w:cstheme="majorBidi"/>
          <w:b/>
          <w:bCs/>
          <w:lang w:val="fr" w:bidi="ar"/>
        </w:rPr>
        <w:fldChar w:fldCharType="end"/>
      </w:r>
      <w:r>
        <w:rPr>
          <w:rFonts w:asciiTheme="majorBidi" w:hAnsiTheme="majorBidi" w:cstheme="majorBidi"/>
          <w:b/>
          <w:bCs/>
          <w:color w:val="000000" w:themeColor="text1"/>
          <w:lang w:val="fr-FR"/>
        </w:rPr>
        <w:t>.</w:t>
      </w:r>
    </w:p>
    <w:p w14:paraId="701036D8" w14:textId="77777777" w:rsidR="00B611D1" w:rsidRDefault="00FB7689">
      <w:pPr>
        <w:pStyle w:val="Titre3"/>
        <w:numPr>
          <w:ilvl w:val="2"/>
          <w:numId w:val="1"/>
        </w:numPr>
        <w:spacing w:line="360" w:lineRule="auto"/>
        <w:rPr>
          <w:rFonts w:eastAsia="Calibri"/>
          <w:lang w:val="fr-FR" w:eastAsia="zh-CN" w:bidi="ar"/>
        </w:rPr>
      </w:pPr>
      <w:bookmarkStart w:id="15" w:name="_Toc201260010"/>
      <w:r>
        <w:rPr>
          <w:rFonts w:eastAsia="Calibri"/>
          <w:lang w:val="fr-FR" w:eastAsia="zh-CN" w:bidi="ar"/>
        </w:rPr>
        <w:t>Critères de diagnostic et délais d’apparition</w:t>
      </w:r>
      <w:bookmarkEnd w:id="15"/>
    </w:p>
    <w:p w14:paraId="3914EBD0" w14:textId="77777777" w:rsidR="00B611D1" w:rsidRDefault="00FB7689">
      <w:pPr>
        <w:spacing w:after="200" w:line="360" w:lineRule="auto"/>
        <w:jc w:val="both"/>
        <w:rPr>
          <w:rFonts w:eastAsia="Calibri"/>
          <w:b/>
          <w:bCs/>
          <w:kern w:val="2"/>
          <w:lang w:val="fr-FR" w:eastAsia="zh-CN" w:bidi="ar"/>
        </w:rPr>
      </w:pPr>
      <w:r>
        <w:rPr>
          <w:lang w:val="fr-FR"/>
        </w:rPr>
        <w:t xml:space="preserve">Une infection est qualifiée de nosocomiale lorsqu’elle est contractée au cours ou à la suite d’une hospitalisation, et qu’elle n’était ni présente ni en incubation au moment de l’admission du patient. En cas d’incertitude sur l’origine, des critères temporels permettent de la distinguer d’une infection communautaire </w:t>
      </w:r>
      <w:r>
        <w:rPr>
          <w:rFonts w:eastAsia="Calibri"/>
          <w:b/>
          <w:bCs/>
          <w:lang w:val="fr" w:bidi="ar"/>
        </w:rPr>
        <w:fldChar w:fldCharType="begin"/>
      </w:r>
      <w:r>
        <w:rPr>
          <w:rFonts w:eastAsia="Calibri"/>
          <w:b/>
          <w:bCs/>
          <w:lang w:val="fr" w:bidi="ar"/>
        </w:rPr>
        <w:instrText xml:space="preserve"> ADDIN ZOTERO_ITEM CSL_CITATION {"citationID":"NhTh8Azl","properties":{"formattedCitation":"(Kakupa et al., 2016)","plainCitation":"(Kakupa et al., 2016)","noteIndex":0},"citationItems":[{"id":17,"uris":["http://zotero.org/users/16279382/items/X47JWXMM"],"itemData":{"id":17,"type":"article-journal","abstract":"Introduction\nEstimer la prévalence « un jour donné » des infections nosocomiales et déterminer leurs facteurs associés, ensuite estimer la prévalence des micro-organismes responsables des infections nosocomiales de Lubumbashi, République Démocratique du Congo.\n\nMéthodes\nUne étude transversale descriptive a été menée dans les deux hôpitaux de Lubumbashi au sein de cinq services d’hospitalisation (Chirurgie, Gynéco-Obstétrique, Médecine interne, Pédiatrie et Réanimation). L’échantillon était constitué de 171 patients hospitalisés et qui ont été interrogés à l’aide d’un questionnaire standardisé. La fiche médicale nous a permit de connaitre le type d’antibiotique administré au patient 48 heures après d’admission. Notre étude s’est déroulée durant le mois de février 2010 dans le cadre de la première enquête locale de prévalence des infections nosocomiales.\n\nRésultats\nNotre étude a permis de recenser 59 patients atteints d’une infection nosocomiale. La prévalence globale est de 34,5% (dont 17,0% pour une infection nosocomiale acquise et 17,5% pour une infection importée). L’infection nosocomiale a été définie selon l’Organisation Mondiale de la Santé comme toute infection acquise pendant un séjour à l’hôpital et qui n’était ni présente ni en incubation au moment de l’admission du patient. Les facteurs de risque suivants ont été associés aux infections nosocomiales acquises: durée d’hospitalisation (les patients admis en long séjour, séjour de plus de sept jours d’hospitalisation avaient un risque plus élevé que ceux admis en séjour court, séjour inférieur ou égal à sept jours d’hospitalisation (Ratio de prévalence: RP =3,6 [IC a 95% 1,4-8,9]). Parmi les infections nosocomiales, les infections du site opératoire étaient les plus fréquentes (27,1%), suivies des infections pulmonaires (22,0%) et des infections urinaires (17,0%). L’examen microbiologique a permis de mettre en évidence cinq germes responsables d’une infection nosocomiale chez les patients infectés : Escherichia coli (11,9%), Staphylococcus aureus (6,8%), Pseudomonas aeruginosa (5,1%), Shigella spp (5,1%) et Salmonela typhi (1,7%). L’examen microbiologique n’a été réalisé que dans 31,0 % (n=59). La cefotaxime, céphalosporine de 3ème génération était l’antibiotique le plus prescrit (37,9%), suivi de l’amoxicilline (19,6%) et l’ampicilline (16,3%) en monothérapie. La bi et la trithérapie ont été également prescrites. La voie parentérale était la plus utilisée pour administrer un anti-infectieux. La prévalence d’infections nosocomiales différait significativement entre les deux hôpitaux universitaires ; la prévalence d’une infection nosocomiale acquise est de 22,2% aux Cliniques Universitaires de Lubumbashi et 13,1% à l’hôpital Sendwe.\n\nConclusion\nDans notre travail, la prévalence globale des infections nosocomiales était de 34,5%. Les infections du site opératoire étaient les plus fréquentes (27,1%). L’Escherichia coli était le germe le plus fréquent soit 11,9%.","container-title":"The Pan African Medical Journal","DOI":"10.11604/pamj.2016.24.275.7626","ISSN":"1937-8688","journalAbbreviation":"Pan Afr Med J","note":"PMID: 28154630\nPMCID: PMC5267913","page":"275","source":"PubMed Central","title":"Etude de la prévalence des infections nosocomiales et des facteurs associes dans les deux hopitaux universitaires de Lubumbashi, République Démocratique du Congo: cas des Cliniques Universitaires de Lubumbashi et l’Hôpital Janson Sendwe","title-short":"Etude de la prévalence des infections nosocomiales et des facteurs associes dans les deux hopitaux universitaires de Lubumbashi, République Démocratique du Congo","volume":"24","author":[{"family":"Kakupa","given":"Danny Kasongo"},{"family":"Muenze","given":"Prosper Kalenga"},{"family":"Byl","given":"Baudouin"},{"family":"Wilmet","given":"Michèle Dramaix"}],"issued":{"date-parts":[["2016",7,27]]}}}],"schema":"https://github.com/citation-style-language/schema/raw/master/csl-citation.json"} </w:instrText>
      </w:r>
      <w:r>
        <w:rPr>
          <w:rFonts w:eastAsia="Calibri"/>
          <w:b/>
          <w:bCs/>
          <w:lang w:val="fr" w:bidi="ar"/>
        </w:rPr>
        <w:fldChar w:fldCharType="separate"/>
      </w:r>
      <w:r>
        <w:rPr>
          <w:rFonts w:eastAsia="Calibri"/>
          <w:b/>
          <w:bCs/>
          <w:lang w:val="fr" w:bidi="ar"/>
        </w:rPr>
        <w:t xml:space="preserve">(Kakupa </w:t>
      </w:r>
      <w:r>
        <w:rPr>
          <w:rFonts w:eastAsia="Calibri"/>
          <w:b/>
          <w:bCs/>
          <w:i/>
          <w:iCs/>
          <w:lang w:val="fr" w:bidi="ar"/>
        </w:rPr>
        <w:t>et al</w:t>
      </w:r>
      <w:r>
        <w:rPr>
          <w:rFonts w:eastAsia="Calibri"/>
          <w:b/>
          <w:bCs/>
          <w:lang w:val="fr" w:bidi="ar"/>
        </w:rPr>
        <w:t>., 2016)</w:t>
      </w:r>
      <w:r>
        <w:rPr>
          <w:rFonts w:eastAsia="Calibri"/>
          <w:b/>
          <w:bCs/>
          <w:lang w:val="fr" w:bidi="ar"/>
        </w:rPr>
        <w:fldChar w:fldCharType="end"/>
      </w:r>
      <w:r>
        <w:rPr>
          <w:rFonts w:eastAsia="Calibri"/>
          <w:b/>
          <w:bCs/>
          <w:lang w:val="fr-FR" w:bidi="ar"/>
        </w:rPr>
        <w:t>.</w:t>
      </w:r>
      <w:r>
        <w:rPr>
          <w:rFonts w:eastAsia="Calibri" w:hint="eastAsia"/>
          <w:b/>
          <w:bCs/>
          <w:kern w:val="2"/>
          <w:lang w:val="fr-FR" w:eastAsia="zh-CN" w:bidi="ar"/>
        </w:rPr>
        <w:t xml:space="preserve"> </w:t>
      </w:r>
      <w:r>
        <w:rPr>
          <w:lang w:val="fr-FR"/>
        </w:rPr>
        <w:t>Cependant, certaines infections nosocomiales peuvent apparaître après la sortie de l’hôpital, notamment si elles sont directement liées aux soins reçus. Selon les recommandations, les délais d’apparition varient en fonction du type d’infection :</w:t>
      </w:r>
    </w:p>
    <w:p w14:paraId="72A76167" w14:textId="77777777" w:rsidR="00B611D1" w:rsidRDefault="00FB7689">
      <w:pPr>
        <w:numPr>
          <w:ilvl w:val="0"/>
          <w:numId w:val="2"/>
        </w:numPr>
        <w:tabs>
          <w:tab w:val="left" w:pos="720"/>
        </w:tabs>
        <w:spacing w:before="100" w:beforeAutospacing="1" w:after="100" w:afterAutospacing="1" w:line="360" w:lineRule="auto"/>
        <w:jc w:val="both"/>
        <w:rPr>
          <w:lang w:val="fr-FR"/>
        </w:rPr>
      </w:pPr>
      <w:r>
        <w:rPr>
          <w:lang w:val="fr-FR"/>
        </w:rPr>
        <w:t xml:space="preserve">48 heures après la sortie de l’hôpital, si l’infection est associée aux soins prodigués durant l’hospitalisation </w:t>
      </w:r>
      <w:r>
        <w:rPr>
          <w:rFonts w:eastAsia="Calibri"/>
          <w:b/>
          <w:bCs/>
          <w:lang w:val="fr" w:bidi="ar"/>
        </w:rPr>
        <w:fldChar w:fldCharType="begin"/>
      </w:r>
      <w:r>
        <w:rPr>
          <w:rFonts w:eastAsia="Calibri"/>
          <w:b/>
          <w:bCs/>
          <w:rtl/>
          <w:lang w:val="fr" w:bidi="ar"/>
        </w:rPr>
        <w:instrText xml:space="preserve"> </w:instrText>
      </w:r>
      <w:r>
        <w:rPr>
          <w:rFonts w:eastAsia="Calibri"/>
          <w:b/>
          <w:bCs/>
          <w:lang w:val="fr" w:bidi="ar"/>
        </w:rPr>
        <w:instrText>ADDIN ZOTERO_ITEM CSL_CITATION {"citationID":"P4s9YFwo","properties":{"formattedCitation":"(RAHMOUNI, 2022)","plainCitation":"(RAHMOUNI, 2022)","noteIndex":0},"citationItems":[{"id":54,"uris":["http://zotero.org/users/16279382/items/V45UVTVH"],"itemData</w:instrText>
      </w:r>
      <w:r>
        <w:rPr>
          <w:rFonts w:eastAsia="Calibri"/>
          <w:b/>
          <w:bCs/>
          <w:rtl/>
          <w:lang w:val="fr" w:bidi="ar"/>
        </w:rPr>
        <w:instrText>":{"</w:instrText>
      </w:r>
      <w:r>
        <w:rPr>
          <w:rFonts w:eastAsia="Calibri"/>
          <w:b/>
          <w:bCs/>
          <w:lang w:val="fr" w:bidi="ar"/>
        </w:rPr>
        <w:instrText>id":54,"type":"article-journal","note":"publisher: Université Mohammed 5 de Rabat, Faculté de Médecine et de Pharmacie, Rabat","source":"Google Scholar","title":"Étude prospective des bactéries impliquées dans l'infection nosocomiale au service de réanimation néonatale à l'hôpital d'enfants de Rabat","URL":"https://toubkal.imist.ma/bitstream/handle/123456789/19195/P0172022.pdf?sequence=1","author":[{"family":"RAHMOUNI","given":"Hamza"}],"accessed":{"date-parts</w:instrText>
      </w:r>
      <w:r>
        <w:rPr>
          <w:rFonts w:eastAsia="Calibri"/>
          <w:b/>
          <w:bCs/>
          <w:rtl/>
          <w:lang w:val="fr" w:bidi="ar"/>
        </w:rPr>
        <w:instrText>":[["2025",2,18]]</w:instrText>
      </w:r>
      <w:r>
        <w:rPr>
          <w:rFonts w:eastAsia="Calibri"/>
          <w:b/>
          <w:bCs/>
          <w:lang w:val="fr" w:bidi="ar"/>
        </w:rPr>
        <w:instrText>},"issued":{"date-parts</w:instrText>
      </w:r>
      <w:r>
        <w:rPr>
          <w:rFonts w:eastAsia="Calibri"/>
          <w:b/>
          <w:bCs/>
          <w:rtl/>
          <w:lang w:val="fr" w:bidi="ar"/>
        </w:rPr>
        <w:instrText>":[["2022"]]}}}],"</w:instrText>
      </w:r>
      <w:r>
        <w:rPr>
          <w:rFonts w:eastAsia="Calibri"/>
          <w:b/>
          <w:bCs/>
          <w:lang w:val="fr" w:bidi="ar"/>
        </w:rPr>
        <w:instrText>schema":"https://github.com/citation-style-language/schema/raw/master/csl-citation.json</w:instrText>
      </w:r>
      <w:r>
        <w:rPr>
          <w:rFonts w:eastAsia="Calibri"/>
          <w:b/>
          <w:bCs/>
          <w:rtl/>
          <w:lang w:val="fr" w:bidi="ar"/>
        </w:rPr>
        <w:instrText xml:space="preserve">"} </w:instrText>
      </w:r>
      <w:r>
        <w:rPr>
          <w:rFonts w:eastAsia="Calibri"/>
          <w:b/>
          <w:bCs/>
          <w:lang w:val="fr" w:bidi="ar"/>
        </w:rPr>
        <w:fldChar w:fldCharType="separate"/>
      </w:r>
      <w:r>
        <w:rPr>
          <w:rFonts w:eastAsia="Calibri"/>
          <w:b/>
          <w:bCs/>
          <w:lang w:val="fr" w:bidi="ar"/>
        </w:rPr>
        <w:t>(R</w:t>
      </w:r>
      <w:r>
        <w:rPr>
          <w:rFonts w:eastAsia="Calibri"/>
          <w:b/>
          <w:bCs/>
          <w:lang w:val="fr-FR" w:bidi="ar"/>
        </w:rPr>
        <w:t>ahmouni</w:t>
      </w:r>
      <w:r>
        <w:rPr>
          <w:rFonts w:eastAsia="Calibri"/>
          <w:b/>
          <w:bCs/>
          <w:lang w:val="fr" w:bidi="ar"/>
        </w:rPr>
        <w:t>, 2022)</w:t>
      </w:r>
      <w:r>
        <w:rPr>
          <w:rFonts w:eastAsia="Calibri"/>
          <w:b/>
          <w:bCs/>
          <w:lang w:val="fr" w:bidi="ar"/>
        </w:rPr>
        <w:fldChar w:fldCharType="end"/>
      </w:r>
      <w:r>
        <w:rPr>
          <w:rFonts w:eastAsia="Calibri"/>
          <w:b/>
          <w:bCs/>
          <w:lang w:val="fr" w:bidi="ar"/>
        </w:rPr>
        <w:t>.</w:t>
      </w:r>
    </w:p>
    <w:p w14:paraId="1A509A44" w14:textId="77777777" w:rsidR="00B611D1" w:rsidRDefault="00FB7689">
      <w:pPr>
        <w:numPr>
          <w:ilvl w:val="0"/>
          <w:numId w:val="2"/>
        </w:numPr>
        <w:tabs>
          <w:tab w:val="left" w:pos="720"/>
        </w:tabs>
        <w:spacing w:before="100" w:beforeAutospacing="1" w:after="100" w:afterAutospacing="1" w:line="360" w:lineRule="auto"/>
        <w:jc w:val="both"/>
        <w:rPr>
          <w:lang w:val="fr-FR"/>
        </w:rPr>
      </w:pPr>
      <w:r>
        <w:rPr>
          <w:lang w:val="fr-FR"/>
        </w:rPr>
        <w:t>30 jours en cas d’infection du site opératoire après une intervention chirurgicale.</w:t>
      </w:r>
    </w:p>
    <w:p w14:paraId="213AE145" w14:textId="77777777" w:rsidR="00B611D1" w:rsidRDefault="00FB7689">
      <w:pPr>
        <w:numPr>
          <w:ilvl w:val="0"/>
          <w:numId w:val="2"/>
        </w:numPr>
        <w:tabs>
          <w:tab w:val="left" w:pos="720"/>
        </w:tabs>
        <w:spacing w:before="100" w:beforeAutospacing="1" w:after="100" w:afterAutospacing="1" w:line="360" w:lineRule="auto"/>
        <w:jc w:val="both"/>
        <w:rPr>
          <w:rFonts w:eastAsia="Calibri"/>
          <w:b/>
          <w:bCs/>
          <w:kern w:val="2"/>
          <w:lang w:val="fr-FR" w:eastAsia="zh-CN" w:bidi="ar"/>
        </w:rPr>
      </w:pPr>
      <w:r>
        <w:rPr>
          <w:lang w:val="fr-FR"/>
        </w:rPr>
        <w:t xml:space="preserve">Un an lorsqu’un dispositif médical prothétique a été implanté, comme une prothèse articulaire, une valve cardiaque ou un cathéter implanté </w:t>
      </w:r>
      <w:r>
        <w:rPr>
          <w:rFonts w:eastAsia="Calibri"/>
          <w:b/>
          <w:bCs/>
          <w:lang w:val="fr" w:bidi="ar"/>
        </w:rPr>
        <w:fldChar w:fldCharType="begin"/>
      </w:r>
      <w:r>
        <w:rPr>
          <w:rFonts w:eastAsia="Calibri"/>
          <w:b/>
          <w:bCs/>
          <w:lang w:val="fr" w:bidi="ar"/>
        </w:rPr>
        <w:instrText xml:space="preserve"> ADDIN ZOTERO_ITEM CSL_CITATION {"citationID":"QVXXg6BV","properties":{"formattedCitation":"(LOUBNA, 2010)","plainCitation":"(LOUBNA, 2010)","noteIndex":0},"citationItems":[{"id":55,"uris":["http://zotero.org/users/16279382/items/8J6JEC5E"],"itemData":{"id":55,"type":"article-journal","note":"publisher: Faculté de Médecine et de Pharmacie, Fès","source":"Google Scholar","title":"Épidémiologie des infections nosocomiales en milieu de réanimation (A propos de 147 cas)","URL":"https://www.academia.edu/download/71188347/THESE_QASSIMI.pdf","author":[{"family":"LOUBNA","given":"Mlle QASSIMI"}],"accessed":{"date-parts":[["2025",2,18]]},"issued":{"date-parts":[["2010"]]}}}],"schema":"https://github.com/citation-style-language/schema/raw/master/csl-citation.json"} </w:instrText>
      </w:r>
      <w:r>
        <w:rPr>
          <w:rFonts w:eastAsia="Calibri"/>
          <w:b/>
          <w:bCs/>
          <w:lang w:val="fr" w:bidi="ar"/>
        </w:rPr>
        <w:fldChar w:fldCharType="separate"/>
      </w:r>
      <w:r>
        <w:rPr>
          <w:rFonts w:eastAsia="Calibri"/>
          <w:b/>
          <w:bCs/>
          <w:lang w:val="fr" w:bidi="ar"/>
        </w:rPr>
        <w:t>(L</w:t>
      </w:r>
      <w:r>
        <w:rPr>
          <w:rFonts w:eastAsia="Calibri"/>
          <w:b/>
          <w:bCs/>
          <w:lang w:val="fr-FR" w:bidi="ar"/>
        </w:rPr>
        <w:t>oubna</w:t>
      </w:r>
      <w:r>
        <w:rPr>
          <w:rFonts w:eastAsia="Calibri"/>
          <w:b/>
          <w:bCs/>
          <w:lang w:val="fr" w:bidi="ar"/>
        </w:rPr>
        <w:t>, 2010)</w:t>
      </w:r>
      <w:r>
        <w:rPr>
          <w:rFonts w:eastAsia="Calibri"/>
          <w:b/>
          <w:bCs/>
          <w:lang w:val="fr" w:bidi="ar"/>
        </w:rPr>
        <w:fldChar w:fldCharType="end"/>
      </w:r>
      <w:r>
        <w:rPr>
          <w:rFonts w:eastAsia="SimSun" w:hint="eastAsia"/>
          <w:b/>
          <w:bCs/>
          <w:color w:val="1F497D" w:themeColor="text2"/>
          <w:lang w:val="fr-FR" w:eastAsia="zh-CN"/>
        </w:rPr>
        <w:t>.</w:t>
      </w:r>
    </w:p>
    <w:p w14:paraId="6AE0E13E" w14:textId="77777777" w:rsidR="00B611D1" w:rsidRDefault="00FB7689">
      <w:pPr>
        <w:pStyle w:val="Titre3"/>
        <w:numPr>
          <w:ilvl w:val="2"/>
          <w:numId w:val="1"/>
        </w:numPr>
        <w:spacing w:line="360" w:lineRule="auto"/>
        <w:rPr>
          <w:rFonts w:eastAsia="TimesNewRomanPS-BoldMT"/>
          <w:lang w:eastAsia="zh-CN" w:bidi="ar"/>
        </w:rPr>
      </w:pPr>
      <w:bookmarkStart w:id="16" w:name="_Toc201260011"/>
      <w:r>
        <w:rPr>
          <w:rFonts w:eastAsia="TimesNewRomanPS-BoldMT"/>
          <w:lang w:eastAsia="zh-CN" w:bidi="ar"/>
        </w:rPr>
        <w:t>Les types majeurs d’infections nosocomiales</w:t>
      </w:r>
      <w:bookmarkEnd w:id="16"/>
    </w:p>
    <w:p w14:paraId="502DE4CF" w14:textId="77777777" w:rsidR="00B611D1" w:rsidRDefault="00FB7689">
      <w:pPr>
        <w:spacing w:line="360" w:lineRule="auto"/>
        <w:jc w:val="both"/>
        <w:rPr>
          <w:rFonts w:eastAsia="TimesNewRomanPS-BoldMT"/>
          <w:color w:val="000000"/>
          <w:lang w:val="fr-FR" w:eastAsia="zh-CN" w:bidi="ar"/>
        </w:rPr>
      </w:pPr>
      <w:r>
        <w:rPr>
          <w:lang w:val="fr-FR"/>
        </w:rPr>
        <w:t>Les infections nosocomiales varient selon le type de service et le profil des patients. Certaines, plus graves, sont liées à des actes médicaux ou à des dispositifs invasifs.</w:t>
      </w:r>
      <w:r>
        <w:rPr>
          <w:rFonts w:eastAsia="TimesNewRomanPS-BoldMT"/>
          <w:color w:val="000000"/>
          <w:lang w:val="fr-FR" w:eastAsia="zh-CN"/>
        </w:rPr>
        <w:t xml:space="preserve"> Dans ce qui suit, nous aborderons les principales </w:t>
      </w:r>
      <w:r>
        <w:rPr>
          <w:lang w:val="fr-FR"/>
        </w:rPr>
        <w:t>formes d’infections nosocomiales</w:t>
      </w:r>
      <w:r>
        <w:rPr>
          <w:rFonts w:eastAsia="TimesNewRomanPS-BoldMT"/>
          <w:color w:val="000000"/>
          <w:lang w:val="fr-FR" w:eastAsia="zh-CN"/>
        </w:rPr>
        <w:t>.</w:t>
      </w:r>
    </w:p>
    <w:p w14:paraId="0BAFB896" w14:textId="77777777" w:rsidR="00B611D1" w:rsidRDefault="00FB7689">
      <w:pPr>
        <w:pStyle w:val="Titre4"/>
        <w:numPr>
          <w:ilvl w:val="3"/>
          <w:numId w:val="1"/>
        </w:numPr>
        <w:spacing w:line="360" w:lineRule="auto"/>
        <w:rPr>
          <w:rFonts w:asciiTheme="majorBidi" w:hAnsiTheme="majorBidi"/>
          <w:b/>
          <w:bCs/>
          <w:i w:val="0"/>
          <w:iCs w:val="0"/>
          <w:color w:val="000000" w:themeColor="text1"/>
          <w:lang w:eastAsia="zh-CN" w:bidi="ar"/>
        </w:rPr>
      </w:pPr>
      <w:bookmarkStart w:id="17" w:name="_Toc201260012"/>
      <w:r>
        <w:rPr>
          <w:rFonts w:asciiTheme="majorBidi" w:hAnsiTheme="majorBidi"/>
          <w:b/>
          <w:bCs/>
          <w:i w:val="0"/>
          <w:iCs w:val="0"/>
          <w:color w:val="000000" w:themeColor="text1"/>
          <w:lang w:eastAsia="zh-CN" w:bidi="ar"/>
        </w:rPr>
        <w:t>Infections urinaires</w:t>
      </w:r>
      <w:bookmarkEnd w:id="17"/>
    </w:p>
    <w:p w14:paraId="6F490EBB" w14:textId="77777777" w:rsidR="00B611D1" w:rsidRDefault="00FB7689">
      <w:pPr>
        <w:spacing w:line="360" w:lineRule="auto"/>
        <w:jc w:val="both"/>
        <w:rPr>
          <w:rFonts w:asciiTheme="majorBidi" w:eastAsia="Calibri" w:hAnsiTheme="majorBidi" w:cstheme="majorBidi"/>
          <w:b/>
          <w:bCs/>
          <w:kern w:val="2"/>
          <w:lang w:val="fr-FR" w:eastAsia="zh-CN" w:bidi="ar"/>
        </w:rPr>
      </w:pPr>
      <w:r>
        <w:rPr>
          <w:rFonts w:eastAsia="TimesNewRomanPS-BoldMT"/>
          <w:color w:val="000000"/>
          <w:lang w:val="fr-FR" w:eastAsia="zh-CN"/>
        </w:rPr>
        <w:t xml:space="preserve">Les infections urinaires sont parmi les plus fréquentes, représentant plus de 30 % des infections associées aux soins. Elles sont souvent liées à la pose prolongée d’une sonde urinaire, qui fournit un accès direct à la vessie, facilitant ainsi l’entrée de bactéries dans le système urinaire et pouvant entraîner une infection, </w:t>
      </w:r>
      <w:r>
        <w:rPr>
          <w:rFonts w:asciiTheme="majorBidi" w:eastAsia="TimesNewRomanPS-BoldMT" w:hAnsiTheme="majorBidi" w:cstheme="majorBidi"/>
          <w:color w:val="000000"/>
          <w:lang w:val="fr-FR" w:eastAsia="zh-CN"/>
        </w:rPr>
        <w:t xml:space="preserve">cela peut évoluer vers une bactériémie potentiellement mortelle. Le risque d’infection augmente particulièrement chez certaines catégories de patients, notamment les personnes âgées, les patients immunodéprimés, ou encore ceux ayant subi une chirurgie urologique </w:t>
      </w:r>
      <w:r>
        <w:rPr>
          <w:rFonts w:asciiTheme="majorBidi" w:eastAsia="Calibri" w:hAnsiTheme="majorBidi" w:cstheme="majorBidi"/>
          <w:b/>
          <w:bCs/>
          <w:kern w:val="2"/>
          <w:lang w:val="fr" w:eastAsia="zh-CN" w:bidi="ar"/>
        </w:rPr>
        <w:fldChar w:fldCharType="begin"/>
      </w:r>
      <w:r>
        <w:rPr>
          <w:rFonts w:asciiTheme="majorBidi" w:eastAsia="Calibri" w:hAnsiTheme="majorBidi" w:cstheme="majorBidi"/>
          <w:b/>
          <w:bCs/>
          <w:kern w:val="2"/>
          <w:lang w:val="fr" w:eastAsia="zh-CN" w:bidi="ar"/>
        </w:rPr>
        <w:instrText xml:space="preserve"> ADDIN ZOTERO_ITEM CSL_CITATION {"citationID":"yb9DKGTo","properties":{"formattedCitation":"(Iacovelli et al., 2014)","plainCitation":"(Iacovelli et al., 2014)","noteIndex":0},"citationItems":[{"id":124,"uris":["http://zotero.org/users/16279382/items/4R3VTJCT"],"itemData":{"id":124,"type":"article-journal","abstract":"Nosocomial urinary tract infections are a common complication in healthcare systems worldwide. A review of the literature was performed in June 2014 using the Medical Literature Analysis and Retrieval System Online (MEDLINE) database, through either PubMed or Ovid as a search engine, to identify publications regarding nosocomial urinary tract infections (NUTIs) definition, epidemiology, etiology and treatment.","container-title":"Urologia Journal","DOI":"10.5301/uro.5000092","ISSN":"0391-5603, 1724-6075","issue":"4","journalAbbreviation":"Urologia","language":"en","page":"222-227","source":"DOI.org (Crossref)","title":"Nosocomial Urinary Tract Infections: A Review","title-short":"Nosocomial Urinary Tract Infections","volume":"81","author":[{"family":"Iacovelli","given":"Valerio"},{"family":"Gaziev","given":"Gabriele"},{"family":"Topazio","given":"Luca"},{"family":"Bove","given":"Pierluigi"},{"family":"Vespasiani","given":"Giuseppe"},{"family":"Agrò","given":"Enrico Finazzi"}],"issued":{"date-parts":[["2014",10]]}}}],"schema":"https://github.com/citation-style-language/schema/raw/master/csl-citation.json"} </w:instrText>
      </w:r>
      <w:r>
        <w:rPr>
          <w:rFonts w:asciiTheme="majorBidi" w:eastAsia="Calibri" w:hAnsiTheme="majorBidi" w:cstheme="majorBidi"/>
          <w:b/>
          <w:bCs/>
          <w:kern w:val="2"/>
          <w:lang w:val="fr" w:eastAsia="zh-CN" w:bidi="ar"/>
        </w:rPr>
        <w:fldChar w:fldCharType="separate"/>
      </w:r>
      <w:r>
        <w:rPr>
          <w:rFonts w:asciiTheme="majorBidi" w:eastAsia="Calibri" w:hAnsiTheme="majorBidi" w:cstheme="majorBidi"/>
          <w:b/>
          <w:bCs/>
          <w:kern w:val="2"/>
          <w:lang w:val="fr" w:eastAsia="zh-CN" w:bidi="ar"/>
        </w:rPr>
        <w:t xml:space="preserve">(Iacovelli </w:t>
      </w:r>
      <w:r>
        <w:rPr>
          <w:rFonts w:asciiTheme="majorBidi" w:eastAsia="Calibri" w:hAnsiTheme="majorBidi" w:cstheme="majorBidi"/>
          <w:b/>
          <w:bCs/>
          <w:i/>
          <w:iCs/>
          <w:kern w:val="2"/>
          <w:lang w:val="fr" w:eastAsia="zh-CN" w:bidi="ar"/>
        </w:rPr>
        <w:t>et al</w:t>
      </w:r>
      <w:r>
        <w:rPr>
          <w:rFonts w:asciiTheme="majorBidi" w:eastAsia="Calibri" w:hAnsiTheme="majorBidi" w:cstheme="majorBidi"/>
          <w:b/>
          <w:bCs/>
          <w:kern w:val="2"/>
          <w:lang w:val="fr" w:eastAsia="zh-CN" w:bidi="ar"/>
        </w:rPr>
        <w:t>., 2014)</w:t>
      </w:r>
      <w:r>
        <w:rPr>
          <w:rFonts w:asciiTheme="majorBidi" w:eastAsia="Calibri" w:hAnsiTheme="majorBidi" w:cstheme="majorBidi"/>
          <w:b/>
          <w:bCs/>
          <w:kern w:val="2"/>
          <w:lang w:val="fr" w:eastAsia="zh-CN" w:bidi="ar"/>
        </w:rPr>
        <w:fldChar w:fldCharType="end"/>
      </w:r>
      <w:r>
        <w:rPr>
          <w:rFonts w:asciiTheme="majorBidi" w:eastAsia="Calibri" w:hAnsiTheme="majorBidi" w:cstheme="majorBidi"/>
          <w:b/>
          <w:bCs/>
          <w:kern w:val="2"/>
          <w:lang w:val="fr-FR" w:eastAsia="zh-CN" w:bidi="ar"/>
        </w:rPr>
        <w:t>.</w:t>
      </w:r>
    </w:p>
    <w:p w14:paraId="60C71DA2" w14:textId="77777777" w:rsidR="00B611D1" w:rsidRDefault="00FB7689">
      <w:pPr>
        <w:pStyle w:val="Titre4"/>
        <w:numPr>
          <w:ilvl w:val="3"/>
          <w:numId w:val="1"/>
        </w:numPr>
        <w:spacing w:line="360" w:lineRule="auto"/>
        <w:rPr>
          <w:rFonts w:asciiTheme="majorBidi" w:hAnsiTheme="majorBidi"/>
          <w:b/>
          <w:bCs/>
          <w:i w:val="0"/>
          <w:iCs w:val="0"/>
          <w:color w:val="000000" w:themeColor="text1"/>
          <w:lang w:val="fr-FR" w:eastAsia="zh-CN"/>
        </w:rPr>
      </w:pPr>
      <w:bookmarkStart w:id="18" w:name="_Toc201260013"/>
      <w:r>
        <w:rPr>
          <w:rFonts w:asciiTheme="majorBidi" w:hAnsiTheme="majorBidi"/>
          <w:b/>
          <w:bCs/>
          <w:i w:val="0"/>
          <w:iCs w:val="0"/>
          <w:color w:val="000000" w:themeColor="text1"/>
          <w:lang w:val="fr-FR" w:eastAsia="zh-CN"/>
        </w:rPr>
        <w:t>P</w:t>
      </w:r>
      <w:r>
        <w:rPr>
          <w:rFonts w:asciiTheme="majorBidi" w:hAnsiTheme="majorBidi"/>
          <w:b/>
          <w:bCs/>
          <w:i w:val="0"/>
          <w:iCs w:val="0"/>
          <w:color w:val="000000" w:themeColor="text1"/>
          <w:lang w:eastAsia="zh-CN"/>
        </w:rPr>
        <w:t>neumonie nosocomiale</w:t>
      </w:r>
      <w:bookmarkEnd w:id="18"/>
      <w:r>
        <w:rPr>
          <w:rFonts w:asciiTheme="majorBidi" w:hAnsiTheme="majorBidi"/>
          <w:b/>
          <w:bCs/>
          <w:i w:val="0"/>
          <w:iCs w:val="0"/>
          <w:color w:val="000000" w:themeColor="text1"/>
          <w:lang w:eastAsia="zh-CN"/>
        </w:rPr>
        <w:t xml:space="preserve"> </w:t>
      </w:r>
    </w:p>
    <w:p w14:paraId="51C8B9E0" w14:textId="77777777" w:rsidR="00B611D1" w:rsidRDefault="00FB7689">
      <w:pPr>
        <w:spacing w:line="360" w:lineRule="auto"/>
        <w:jc w:val="both"/>
        <w:rPr>
          <w:rFonts w:eastAsia="Calibri"/>
          <w:color w:val="000000"/>
          <w:lang w:val="fr-FR" w:eastAsia="zh-CN"/>
        </w:rPr>
      </w:pPr>
      <w:r>
        <w:rPr>
          <w:rFonts w:asciiTheme="majorBidi" w:eastAsia="Calibri" w:hAnsiTheme="majorBidi" w:cstheme="majorBidi"/>
          <w:color w:val="000000"/>
          <w:lang w:val="fr" w:eastAsia="zh-CN"/>
        </w:rPr>
        <w:t>La pneumonie nosocomiale est une infection pulmonaire qui survient après au moins 48 heures d’hospitalisation. Parmi ses formes</w:t>
      </w:r>
      <w:r>
        <w:rPr>
          <w:rFonts w:asciiTheme="majorBidi" w:eastAsia="Calibri" w:hAnsiTheme="majorBidi" w:cstheme="majorBidi"/>
          <w:color w:val="000000"/>
          <w:lang w:val="fr-FR" w:eastAsia="zh-CN"/>
        </w:rPr>
        <w:t xml:space="preserve"> </w:t>
      </w:r>
      <w:r>
        <w:rPr>
          <w:rFonts w:asciiTheme="majorBidi" w:eastAsia="Calibri" w:hAnsiTheme="majorBidi" w:cstheme="majorBidi"/>
          <w:kern w:val="2"/>
          <w:lang w:val="fr-FR" w:eastAsia="zh-CN"/>
        </w:rPr>
        <w:t>les plus graves</w:t>
      </w:r>
      <w:r>
        <w:rPr>
          <w:rFonts w:asciiTheme="majorBidi" w:eastAsia="Calibri" w:hAnsiTheme="majorBidi" w:cstheme="majorBidi"/>
          <w:color w:val="000000"/>
          <w:lang w:val="fr" w:eastAsia="zh-CN"/>
        </w:rPr>
        <w:t xml:space="preserve"> et les plus dangereuses, on trouve la pneumonie associée à la ventilation mécanique qui touche</w:t>
      </w:r>
      <w:r>
        <w:rPr>
          <w:rFonts w:eastAsia="Calibri"/>
          <w:color w:val="000000"/>
          <w:lang w:val="fr" w:eastAsia="zh-CN"/>
        </w:rPr>
        <w:t xml:space="preserve"> les patients en unités de soins intensifs</w:t>
      </w:r>
      <w:r>
        <w:rPr>
          <w:rFonts w:eastAsia="Calibri"/>
          <w:b/>
          <w:bCs/>
          <w:color w:val="000000"/>
          <w:lang w:val="fr" w:eastAsia="zh-CN"/>
        </w:rPr>
        <w:t>.</w:t>
      </w:r>
      <w:r>
        <w:rPr>
          <w:rFonts w:eastAsia="Calibri"/>
          <w:b/>
          <w:bCs/>
          <w:color w:val="000000"/>
          <w:lang w:val="fr-FR" w:eastAsia="zh-CN"/>
        </w:rPr>
        <w:t xml:space="preserve"> </w:t>
      </w:r>
      <w:r>
        <w:rPr>
          <w:rFonts w:eastAsia="Calibri"/>
          <w:color w:val="000000"/>
          <w:lang w:val="fr-FR" w:eastAsia="zh-CN"/>
        </w:rPr>
        <w:t xml:space="preserve">Cette infection est souvent causée par des micro-organismes résistants aux antibiotiques, ce qui rend son traitement plus complexe que celui des pneumonies acquises en communauté </w:t>
      </w:r>
      <w:r>
        <w:rPr>
          <w:rFonts w:eastAsia="Calibri"/>
          <w:b/>
          <w:bCs/>
          <w:lang w:val="fr" w:bidi="ar"/>
        </w:rPr>
        <w:fldChar w:fldCharType="begin"/>
      </w:r>
      <w:r>
        <w:rPr>
          <w:rFonts w:eastAsia="Calibri"/>
          <w:b/>
          <w:bCs/>
          <w:lang w:val="fr" w:bidi="ar"/>
        </w:rPr>
        <w:instrText xml:space="preserve"> ADDIN ZOTERO_ITEM CSL_CITATION {"citationID":"fEX5a7Zu","properties":{"formattedCitation":"(Shebl &amp; Gulick, 2025)","plainCitation":"(Shebl &amp; Gulick, 2025)","noteIndex":0},"citationItems":[{"id":125,"uris":["http://zotero.org/users/16279382/items/YEK3L4UP"],"itemData":{"id":125,"type":"chapter","abstract":"Nosocomial pneumonia or hospital-acquired pneumonia (HAP) is defined as pneumonia that occurs 48 hours or more after hospital admission and is not present at the admission time. Ventilator-associated pneumonia (VAP) represents a significant sub-set of HAP occurring in intensive care units (ICUs) and is defined as pneumonia that occurs more than 48 to 72 hours after tracheal intubation and is thought to affect 10% to 20% of patients receiving mechanical ventilation for more than 48 hours.","call-number":"NBK535441","container-title":"StatPearls","event-place":"Treasure Island (FL)","language":"eng","license":"Copyright © 2025, StatPearls Publishing LLC.","note":"PMID: 30571062","publisher":"StatPearls Publishing","publisher-place":"Treasure Island (FL)","source":"PubMed","title":"Nosocomial Pneumonia","URL":"http://www.ncbi.nlm.nih.gov/books/NBK535441/","author":[{"family":"Shebl","given":"Eman"},{"family":"Gulick","given":"Peter G."}],"accessed":{"date-parts":[["2025",5,10]]},"issued":{"date-parts":[["2025"]]}}}],"schema":"https://github.com/citation-style-language/schema/raw/master/csl-citation.json"} </w:instrText>
      </w:r>
      <w:r>
        <w:rPr>
          <w:rFonts w:eastAsia="Calibri"/>
          <w:b/>
          <w:bCs/>
          <w:lang w:val="fr" w:bidi="ar"/>
        </w:rPr>
        <w:fldChar w:fldCharType="separate"/>
      </w:r>
      <w:r>
        <w:rPr>
          <w:rFonts w:eastAsia="Calibri"/>
          <w:b/>
          <w:bCs/>
          <w:lang w:val="fr" w:bidi="ar"/>
        </w:rPr>
        <w:t>(Shebl &amp; Gulick, 2025)</w:t>
      </w:r>
      <w:r>
        <w:rPr>
          <w:rFonts w:eastAsia="Calibri"/>
          <w:b/>
          <w:bCs/>
          <w:lang w:val="fr" w:bidi="ar"/>
        </w:rPr>
        <w:fldChar w:fldCharType="end"/>
      </w:r>
      <w:r>
        <w:rPr>
          <w:rFonts w:eastAsia="Calibri"/>
          <w:b/>
          <w:bCs/>
          <w:lang w:val="fr-FR" w:bidi="ar"/>
        </w:rPr>
        <w:t>.</w:t>
      </w:r>
    </w:p>
    <w:p w14:paraId="1C8FA10A" w14:textId="77777777" w:rsidR="00B611D1" w:rsidRDefault="00FB7689">
      <w:pPr>
        <w:pStyle w:val="Titre4"/>
        <w:numPr>
          <w:ilvl w:val="3"/>
          <w:numId w:val="1"/>
        </w:numPr>
        <w:spacing w:line="360" w:lineRule="auto"/>
        <w:rPr>
          <w:rFonts w:asciiTheme="majorBidi" w:hAnsiTheme="majorBidi"/>
          <w:b/>
          <w:bCs/>
          <w:i w:val="0"/>
          <w:iCs w:val="0"/>
          <w:color w:val="000000" w:themeColor="text1"/>
          <w:lang w:eastAsia="zh-CN" w:bidi="ar"/>
        </w:rPr>
      </w:pPr>
      <w:bookmarkStart w:id="19" w:name="_Toc201260014"/>
      <w:r>
        <w:rPr>
          <w:rFonts w:asciiTheme="majorBidi" w:hAnsiTheme="majorBidi"/>
          <w:b/>
          <w:bCs/>
          <w:i w:val="0"/>
          <w:iCs w:val="0"/>
          <w:color w:val="000000" w:themeColor="text1"/>
          <w:lang w:eastAsia="zh-CN" w:bidi="ar"/>
        </w:rPr>
        <w:t>Bactériémies nosocomiales</w:t>
      </w:r>
      <w:bookmarkEnd w:id="19"/>
    </w:p>
    <w:p w14:paraId="4D21CE3B" w14:textId="77777777" w:rsidR="00B611D1" w:rsidRDefault="00FB7689">
      <w:pPr>
        <w:spacing w:line="360" w:lineRule="auto"/>
        <w:jc w:val="both"/>
        <w:rPr>
          <w:rFonts w:eastAsia="TimesNewRomanPS-BoldMT"/>
          <w:color w:val="000000"/>
          <w:lang w:val="fr-FR" w:eastAsia="zh-CN"/>
        </w:rPr>
      </w:pPr>
      <w:r>
        <w:rPr>
          <w:rFonts w:eastAsia="TimesNewRomanPS-BoldMT"/>
          <w:color w:val="000000"/>
          <w:lang w:val="fr-FR" w:eastAsia="zh-CN"/>
        </w:rPr>
        <w:t>Les bactériémies nosocomiales sont des infections graves contractées à l'hôpital, caractérisées par la présence de bactéries dans le sang, ce qui indique une infection systémique. Elles surviennent généralement à la suite d'une infection locale telle qu'une infection de plaie, une pneumonie ou une infection urinaire qui se propage ensuite dans la circulation sanguine</w:t>
      </w:r>
      <w:r>
        <w:rPr>
          <w:rFonts w:eastAsia="Calibri"/>
          <w:lang w:val="fr-FR" w:bidi="ar"/>
        </w:rPr>
        <w:t xml:space="preserve"> </w:t>
      </w:r>
      <w:r>
        <w:rPr>
          <w:rFonts w:eastAsia="Calibri"/>
          <w:b/>
          <w:bCs/>
          <w:lang w:val="fr" w:bidi="ar"/>
        </w:rPr>
        <w:fldChar w:fldCharType="begin"/>
      </w:r>
      <w:r>
        <w:rPr>
          <w:rFonts w:eastAsia="Calibri"/>
          <w:b/>
          <w:bCs/>
          <w:lang w:val="fr-FR" w:bidi="ar"/>
        </w:rPr>
        <w:instrText xml:space="preserve"> ADDIN ZOTERO_ITEM CSL_CITATION {"citationID":"JT15BqG4","properties":{"formattedCitation":"(Frigui et al., 2021)","plainCitation":"(Frigui et al., 2021)","noteIndex":0},"citationItems":[{"id":131,"uris":["http://zotero.org/users/16279382/items/GUK92LGJ"],"itemData":{"id":131,"type":"article-journal","abstract":"Les bactériémies nosocomiales (BN) constituent une des infections les plus sévères chez les brûlés en réanimation. Leur pronostic est aggravé par l’émergence et la dissémination des bactéries multirésistantes (BMR). Notre étude rétrospective avait pour objectif de déterminer les caractéristiques clinico-bactériologiques des BN survenues chez les patients hospitalisés dans le service de réanimation des brûlés du Centre de Traumatologie et des Grands Brûlés en Tunisie, durant une période de 3 ans (2016-2018). Nous avons relevé 261 bactériémies chez 216 patients, soit une prévalence de 25,7% et une densité d’incidence de 13,4‰ journées d’hospitalisation. La grande majorité (88,9%) des BN survenaient pendant les 2 premières semaines d’hospitalisation. Le taux de BN liées au cathéter était de 11,1%. P. æruginosa (20,2%) et A. baumannii (16,8%) étaient les 2 espèces les plus fréquemment isolées quand S. aureus ne représentait que 7,5% des bactéries en causes. Les taux de résistances étaient élevés avec 71% des P. æruginosa résistant à la ceftazidime, 64% des S. aureus étant des SARM, 69,5% de résistance aux C3G parmi les entérobactéries. La colimycine restait le seul antibiotique régulièrement actif (98%) sur A. baumannii. Le taux global de BMR était de 44%, représentées essentiellement par A. baumannii, E-BLSE et P. æruginosa. La mortalité attribuable aux BN était de 25%, avec un taux de BMR nettement plus élevé dans les BN fatales comparativement à celui dans les BN avec évolution favorable (p= 0,000019).","container-title":"Annals of Burns and Fire Disasters","ISSN":"1592-9558","issue":"1","journalAbbreviation":"Ann Burns Fire Disasters","note":"PMID: 34054382\nPMCID: PMC8126372","page":"10-17","source":"PubMed Central","title":"Bactériémies Nosocomiales: Épidémiologie Clinique Et Bactériologique Chez Les Brûlés","title-short":"Bactériémies Nosocomiales","volume":"34","author":[{"family":"Frigui","given":"S."},{"family":"Bourbiaa","given":"Y."},{"family":"Mokline","given":"A."},{"family":"Naija","given":"H."},{"family":"Messadi","given":"A.A."},{"family":"Thabet","given":"L."}],"issued":{"date-parts":[["2021",3,31]]}}}],"schema":"https://github.com/citation-style-language/schema/raw/master/csl-citation.json"} </w:instrText>
      </w:r>
      <w:r>
        <w:rPr>
          <w:rFonts w:eastAsia="Calibri"/>
          <w:b/>
          <w:bCs/>
          <w:lang w:val="fr" w:bidi="ar"/>
        </w:rPr>
        <w:fldChar w:fldCharType="separate"/>
      </w:r>
      <w:r>
        <w:rPr>
          <w:rFonts w:eastAsia="Calibri"/>
          <w:b/>
          <w:bCs/>
          <w:lang w:val="fr-FR" w:bidi="ar"/>
        </w:rPr>
        <w:t xml:space="preserve">(Frigui </w:t>
      </w:r>
      <w:r>
        <w:rPr>
          <w:rFonts w:eastAsia="Calibri"/>
          <w:b/>
          <w:bCs/>
          <w:i/>
          <w:iCs/>
          <w:lang w:val="fr-FR" w:bidi="ar"/>
        </w:rPr>
        <w:t>et al</w:t>
      </w:r>
      <w:r>
        <w:rPr>
          <w:rFonts w:eastAsia="Calibri"/>
          <w:b/>
          <w:bCs/>
          <w:lang w:val="fr-FR" w:bidi="ar"/>
        </w:rPr>
        <w:t>., 2021)</w:t>
      </w:r>
      <w:r>
        <w:rPr>
          <w:rFonts w:eastAsia="Calibri"/>
          <w:b/>
          <w:bCs/>
          <w:lang w:val="fr" w:bidi="ar"/>
        </w:rPr>
        <w:fldChar w:fldCharType="end"/>
      </w:r>
      <w:r>
        <w:rPr>
          <w:rFonts w:eastAsia="TimesNewRomanPS-BoldMT"/>
          <w:b/>
          <w:bCs/>
          <w:color w:val="000000"/>
          <w:lang w:val="fr-FR" w:eastAsia="zh-CN"/>
        </w:rPr>
        <w:t>.</w:t>
      </w:r>
    </w:p>
    <w:p w14:paraId="24F17FDB" w14:textId="77777777" w:rsidR="00B611D1" w:rsidRDefault="00FB7689">
      <w:pPr>
        <w:pStyle w:val="Titre4"/>
        <w:numPr>
          <w:ilvl w:val="3"/>
          <w:numId w:val="1"/>
        </w:numPr>
        <w:spacing w:line="360" w:lineRule="auto"/>
        <w:rPr>
          <w:rFonts w:asciiTheme="majorBidi" w:hAnsiTheme="majorBidi"/>
          <w:b/>
          <w:bCs/>
          <w:i w:val="0"/>
          <w:iCs w:val="0"/>
          <w:color w:val="000000" w:themeColor="text1"/>
          <w:lang w:eastAsia="zh-CN"/>
        </w:rPr>
      </w:pPr>
      <w:bookmarkStart w:id="20" w:name="_Toc201260015"/>
      <w:r>
        <w:rPr>
          <w:rFonts w:asciiTheme="majorBidi" w:hAnsiTheme="majorBidi"/>
          <w:b/>
          <w:bCs/>
          <w:i w:val="0"/>
          <w:iCs w:val="0"/>
          <w:color w:val="000000" w:themeColor="text1"/>
          <w:lang w:eastAsia="zh-CN"/>
        </w:rPr>
        <w:t>Infection du site opératoire</w:t>
      </w:r>
      <w:bookmarkEnd w:id="20"/>
    </w:p>
    <w:p w14:paraId="5FC2C6E7" w14:textId="77777777" w:rsidR="00B611D1" w:rsidRDefault="00FB7689">
      <w:pPr>
        <w:spacing w:line="360" w:lineRule="auto"/>
        <w:jc w:val="both"/>
        <w:rPr>
          <w:rFonts w:eastAsia="TimesNewRomanPS-BoldMT"/>
          <w:color w:val="000000"/>
          <w:lang w:val="fr-FR" w:eastAsia="zh-CN"/>
        </w:rPr>
      </w:pPr>
      <w:r>
        <w:rPr>
          <w:rFonts w:eastAsia="TimesNewRomanPS-BoldMT"/>
          <w:color w:val="000000"/>
          <w:lang w:val="fr-FR" w:eastAsia="zh-CN"/>
        </w:rPr>
        <w:t xml:space="preserve">Les infections du site opératoire sont des infections qui apparaissent au niveau de la site chirurgicale dans les 30 jours suivant l’intervention (ou jusqu’à un an en cas de pose d’un implant, comme une prothèse ou un dispositif médical). Elles peuvent affecter la peau, les tissus sous-cutanés, voire les tissus profonds. Plusieurs facteurs de risque sont associés à leur apparition, notamment la présence de germes pathogènes, l’état de santé général du patient, ainsi que certains éléments liés à l’intervention chirurgicale elle-même </w:t>
      </w:r>
      <w:r>
        <w:rPr>
          <w:rFonts w:eastAsia="Calibri"/>
          <w:b/>
          <w:bCs/>
          <w:lang w:val="en-US" w:bidi="ar"/>
        </w:rPr>
        <w:fldChar w:fldCharType="begin"/>
      </w:r>
      <w:r>
        <w:rPr>
          <w:rFonts w:eastAsia="Calibri"/>
          <w:b/>
          <w:bCs/>
          <w:lang w:val="fr" w:bidi="ar"/>
        </w:rPr>
        <w:instrText xml:space="preserve"> ADDIN ZOTERO_ITEM CSL_CITATION {"citationID":"QBDOTPcW","properties":{"formattedCitation":"(Albrecht, 2015)","plainCitation":"(Albrecht, 2015)","noteIndex":0},"citationItems":[{"id":133,"uris":["http://zotero.org/users/16279382/items/RK4QBA2E"],"itemData":{"id":133,"type":"thesis","genre":"PhD Thesis","publisher":"Université de Lorraine","source":"Google Scholar","title":"Les infections nosocomiales d’origine bactérienne, ce que doit savoir le pharmacien d’officine","URL":"https://hal.univ-lorraine.fr/hal-01731940","author":[{"family":"Albrecht","given":"Amélie"}],"accessed":{"date-parts":[["2025",5,11]]},"issued":{"date-parts":[["2015"]]}}}],"schema":"https://github.com/citation-style-language/schema/raw/master/csl-citation.json"} </w:instrText>
      </w:r>
      <w:r>
        <w:rPr>
          <w:rFonts w:eastAsia="Calibri"/>
          <w:b/>
          <w:bCs/>
          <w:lang w:val="en-US" w:bidi="ar"/>
        </w:rPr>
        <w:fldChar w:fldCharType="separate"/>
      </w:r>
      <w:r>
        <w:rPr>
          <w:rFonts w:eastAsia="Calibri"/>
          <w:b/>
          <w:bCs/>
          <w:lang w:val="fr" w:bidi="ar"/>
        </w:rPr>
        <w:t>(Albrecht, 2015)</w:t>
      </w:r>
      <w:r>
        <w:rPr>
          <w:rFonts w:eastAsia="Calibri"/>
          <w:b/>
          <w:bCs/>
          <w:lang w:val="en-US" w:bidi="ar"/>
        </w:rPr>
        <w:fldChar w:fldCharType="end"/>
      </w:r>
      <w:r>
        <w:rPr>
          <w:rFonts w:eastAsia="Calibri"/>
          <w:b/>
          <w:bCs/>
          <w:lang w:val="fr-FR" w:bidi="ar"/>
        </w:rPr>
        <w:t>.</w:t>
      </w:r>
    </w:p>
    <w:p w14:paraId="4E557DA9" w14:textId="77777777" w:rsidR="00B611D1" w:rsidRDefault="00FB7689">
      <w:pPr>
        <w:pStyle w:val="Titre3"/>
        <w:numPr>
          <w:ilvl w:val="2"/>
          <w:numId w:val="1"/>
        </w:numPr>
        <w:spacing w:line="360" w:lineRule="auto"/>
        <w:rPr>
          <w:rFonts w:eastAsia="TimesNewRomanPS-BoldMT"/>
          <w:color w:val="000000"/>
          <w:lang w:val="fr-FR" w:eastAsia="zh-CN"/>
        </w:rPr>
      </w:pPr>
      <w:bookmarkStart w:id="21" w:name="_Toc201260016"/>
      <w:r>
        <w:rPr>
          <w:rFonts w:eastAsia="SimSun"/>
          <w:lang w:val="fr-FR"/>
        </w:rPr>
        <w:t>Facteurs de risque des infections nosocomiales</w:t>
      </w:r>
      <w:bookmarkEnd w:id="21"/>
      <w:r>
        <w:rPr>
          <w:rFonts w:eastAsia="SimSun"/>
          <w:lang w:val="fr-FR"/>
        </w:rPr>
        <w:t xml:space="preserve"> </w:t>
      </w:r>
    </w:p>
    <w:p w14:paraId="40C28BE5" w14:textId="77777777" w:rsidR="00B611D1" w:rsidRDefault="00FB7689">
      <w:pPr>
        <w:spacing w:line="360" w:lineRule="auto"/>
        <w:ind w:left="360"/>
        <w:jc w:val="both"/>
        <w:rPr>
          <w:rFonts w:eastAsia="TimesNewRomanPS-BoldMT"/>
          <w:color w:val="000000"/>
          <w:lang w:val="fr-FR" w:eastAsia="zh-CN"/>
        </w:rPr>
      </w:pPr>
      <w:r>
        <w:rPr>
          <w:rFonts w:eastAsia="SimSun"/>
          <w:lang w:val="fr-FR"/>
        </w:rPr>
        <w:t>Quel que soit le mode de transmission, la survenue d'une infection nosocomiale est favorisée par la situation médicale du patient qui dépend de plusieurs facteurs :</w:t>
      </w:r>
    </w:p>
    <w:p w14:paraId="027D9F52" w14:textId="77777777" w:rsidR="00B611D1" w:rsidRDefault="00FB7689">
      <w:pPr>
        <w:pStyle w:val="Titre4"/>
        <w:numPr>
          <w:ilvl w:val="3"/>
          <w:numId w:val="1"/>
        </w:numPr>
        <w:rPr>
          <w:rFonts w:asciiTheme="majorBidi" w:hAnsiTheme="majorBidi"/>
          <w:b/>
          <w:bCs/>
          <w:i w:val="0"/>
          <w:iCs w:val="0"/>
          <w:color w:val="000000" w:themeColor="text1"/>
          <w:lang w:eastAsia="zh-CN"/>
        </w:rPr>
      </w:pPr>
      <w:bookmarkStart w:id="22" w:name="_Toc201260017"/>
      <w:r>
        <w:rPr>
          <w:rFonts w:asciiTheme="majorBidi" w:hAnsiTheme="majorBidi"/>
          <w:b/>
          <w:bCs/>
          <w:i w:val="0"/>
          <w:iCs w:val="0"/>
          <w:color w:val="000000" w:themeColor="text1"/>
        </w:rPr>
        <w:t>Facteurs liés au patient</w:t>
      </w:r>
      <w:bookmarkEnd w:id="22"/>
      <w:r>
        <w:rPr>
          <w:rFonts w:asciiTheme="majorBidi" w:hAnsiTheme="majorBidi"/>
          <w:b/>
          <w:bCs/>
          <w:i w:val="0"/>
          <w:iCs w:val="0"/>
          <w:color w:val="000000" w:themeColor="text1"/>
        </w:rPr>
        <w:t xml:space="preserve"> </w:t>
      </w:r>
    </w:p>
    <w:p w14:paraId="2855B913" w14:textId="77777777" w:rsidR="00B611D1" w:rsidRDefault="00B611D1">
      <w:pPr>
        <w:pStyle w:val="Paragraphedeliste"/>
        <w:numPr>
          <w:ilvl w:val="0"/>
          <w:numId w:val="3"/>
        </w:numPr>
        <w:spacing w:beforeAutospacing="1" w:afterAutospacing="1"/>
        <w:outlineLvl w:val="4"/>
        <w:rPr>
          <w:rFonts w:ascii="SimSun" w:eastAsia="SimSun" w:hAnsi="SimSun"/>
          <w:b/>
          <w:bCs/>
          <w:vanish/>
          <w:sz w:val="20"/>
          <w:szCs w:val="20"/>
          <w:lang w:val="en-US" w:eastAsia="zh-CN" w:bidi="ar"/>
        </w:rPr>
      </w:pPr>
      <w:bookmarkStart w:id="23" w:name="_Toc201260018"/>
      <w:bookmarkEnd w:id="23"/>
    </w:p>
    <w:p w14:paraId="7BA9CECA" w14:textId="77777777" w:rsidR="00B611D1" w:rsidRDefault="00B611D1">
      <w:pPr>
        <w:pStyle w:val="Paragraphedeliste"/>
        <w:numPr>
          <w:ilvl w:val="2"/>
          <w:numId w:val="3"/>
        </w:numPr>
        <w:spacing w:beforeAutospacing="1" w:afterAutospacing="1"/>
        <w:outlineLvl w:val="4"/>
        <w:rPr>
          <w:rFonts w:ascii="SimSun" w:eastAsia="SimSun" w:hAnsi="SimSun"/>
          <w:b/>
          <w:bCs/>
          <w:vanish/>
          <w:sz w:val="20"/>
          <w:szCs w:val="20"/>
          <w:lang w:val="en-US" w:eastAsia="zh-CN" w:bidi="ar"/>
        </w:rPr>
      </w:pPr>
      <w:bookmarkStart w:id="24" w:name="_Toc201260019"/>
      <w:bookmarkEnd w:id="24"/>
    </w:p>
    <w:p w14:paraId="3C6F17C4" w14:textId="77777777" w:rsidR="00B611D1" w:rsidRDefault="00B611D1">
      <w:pPr>
        <w:pStyle w:val="Paragraphedeliste"/>
        <w:numPr>
          <w:ilvl w:val="2"/>
          <w:numId w:val="3"/>
        </w:numPr>
        <w:spacing w:beforeAutospacing="1" w:afterAutospacing="1"/>
        <w:outlineLvl w:val="4"/>
        <w:rPr>
          <w:rFonts w:ascii="SimSun" w:eastAsia="SimSun" w:hAnsi="SimSun"/>
          <w:b/>
          <w:bCs/>
          <w:vanish/>
          <w:sz w:val="20"/>
          <w:szCs w:val="20"/>
          <w:lang w:val="en-US" w:eastAsia="zh-CN" w:bidi="ar"/>
        </w:rPr>
      </w:pPr>
      <w:bookmarkStart w:id="25" w:name="_Toc201260020"/>
      <w:bookmarkEnd w:id="25"/>
    </w:p>
    <w:p w14:paraId="0CEF81C3" w14:textId="77777777" w:rsidR="00B611D1" w:rsidRDefault="00B611D1">
      <w:pPr>
        <w:pStyle w:val="Paragraphedeliste"/>
        <w:numPr>
          <w:ilvl w:val="2"/>
          <w:numId w:val="3"/>
        </w:numPr>
        <w:spacing w:beforeAutospacing="1" w:afterAutospacing="1"/>
        <w:outlineLvl w:val="4"/>
        <w:rPr>
          <w:rFonts w:ascii="SimSun" w:eastAsia="SimSun" w:hAnsi="SimSun"/>
          <w:b/>
          <w:bCs/>
          <w:vanish/>
          <w:sz w:val="20"/>
          <w:szCs w:val="20"/>
          <w:lang w:val="en-US" w:eastAsia="zh-CN" w:bidi="ar"/>
        </w:rPr>
      </w:pPr>
      <w:bookmarkStart w:id="26" w:name="_Toc201260021"/>
      <w:bookmarkEnd w:id="26"/>
    </w:p>
    <w:p w14:paraId="5B51DB39" w14:textId="77777777" w:rsidR="00B611D1" w:rsidRDefault="00B611D1">
      <w:pPr>
        <w:pStyle w:val="Paragraphedeliste"/>
        <w:numPr>
          <w:ilvl w:val="2"/>
          <w:numId w:val="3"/>
        </w:numPr>
        <w:spacing w:beforeAutospacing="1" w:afterAutospacing="1"/>
        <w:outlineLvl w:val="4"/>
        <w:rPr>
          <w:rFonts w:ascii="SimSun" w:eastAsia="SimSun" w:hAnsi="SimSun"/>
          <w:b/>
          <w:bCs/>
          <w:vanish/>
          <w:sz w:val="20"/>
          <w:szCs w:val="20"/>
          <w:lang w:val="en-US" w:eastAsia="zh-CN" w:bidi="ar"/>
        </w:rPr>
      </w:pPr>
      <w:bookmarkStart w:id="27" w:name="_Toc201260022"/>
      <w:bookmarkEnd w:id="27"/>
    </w:p>
    <w:p w14:paraId="6E53FB30" w14:textId="77777777" w:rsidR="00B611D1" w:rsidRDefault="00B611D1">
      <w:pPr>
        <w:pStyle w:val="Paragraphedeliste"/>
        <w:numPr>
          <w:ilvl w:val="2"/>
          <w:numId w:val="3"/>
        </w:numPr>
        <w:spacing w:beforeAutospacing="1" w:afterAutospacing="1"/>
        <w:outlineLvl w:val="4"/>
        <w:rPr>
          <w:rFonts w:ascii="SimSun" w:eastAsia="SimSun" w:hAnsi="SimSun"/>
          <w:b/>
          <w:bCs/>
          <w:vanish/>
          <w:sz w:val="20"/>
          <w:szCs w:val="20"/>
          <w:lang w:val="en-US" w:eastAsia="zh-CN" w:bidi="ar"/>
        </w:rPr>
      </w:pPr>
      <w:bookmarkStart w:id="28" w:name="_Toc201260023"/>
      <w:bookmarkEnd w:id="28"/>
    </w:p>
    <w:p w14:paraId="26D84658" w14:textId="77777777" w:rsidR="00B611D1" w:rsidRDefault="00B611D1">
      <w:pPr>
        <w:pStyle w:val="Paragraphedeliste"/>
        <w:numPr>
          <w:ilvl w:val="2"/>
          <w:numId w:val="3"/>
        </w:numPr>
        <w:spacing w:beforeAutospacing="1" w:afterAutospacing="1"/>
        <w:outlineLvl w:val="4"/>
        <w:rPr>
          <w:rFonts w:ascii="SimSun" w:eastAsia="SimSun" w:hAnsi="SimSun"/>
          <w:b/>
          <w:bCs/>
          <w:vanish/>
          <w:sz w:val="20"/>
          <w:szCs w:val="20"/>
          <w:lang w:val="en-US" w:eastAsia="zh-CN" w:bidi="ar"/>
        </w:rPr>
      </w:pPr>
      <w:bookmarkStart w:id="29" w:name="_Toc201260024"/>
      <w:bookmarkEnd w:id="29"/>
    </w:p>
    <w:p w14:paraId="520F52A4" w14:textId="77777777" w:rsidR="00B611D1" w:rsidRDefault="00B611D1">
      <w:pPr>
        <w:pStyle w:val="Paragraphedeliste"/>
        <w:numPr>
          <w:ilvl w:val="3"/>
          <w:numId w:val="3"/>
        </w:numPr>
        <w:spacing w:beforeAutospacing="1" w:afterAutospacing="1"/>
        <w:outlineLvl w:val="4"/>
        <w:rPr>
          <w:rFonts w:ascii="SimSun" w:eastAsia="SimSun" w:hAnsi="SimSun"/>
          <w:b/>
          <w:bCs/>
          <w:vanish/>
          <w:sz w:val="20"/>
          <w:szCs w:val="20"/>
          <w:lang w:val="en-US" w:eastAsia="zh-CN" w:bidi="ar"/>
        </w:rPr>
      </w:pPr>
      <w:bookmarkStart w:id="30" w:name="_Toc201260025"/>
      <w:bookmarkEnd w:id="30"/>
    </w:p>
    <w:p w14:paraId="30E25205" w14:textId="77777777" w:rsidR="00B611D1" w:rsidRDefault="00FB7689">
      <w:pPr>
        <w:pStyle w:val="Titre5"/>
        <w:numPr>
          <w:ilvl w:val="4"/>
          <w:numId w:val="3"/>
        </w:numPr>
        <w:rPr>
          <w:rFonts w:ascii="Times New Roman" w:hAnsi="Times New Roman" w:hint="default"/>
          <w:i/>
          <w:iCs/>
          <w:sz w:val="24"/>
          <w:szCs w:val="24"/>
        </w:rPr>
      </w:pPr>
      <w:bookmarkStart w:id="31" w:name="_Toc201260026"/>
      <w:r>
        <w:rPr>
          <w:rFonts w:ascii="Times New Roman" w:hAnsi="Times New Roman" w:hint="default"/>
          <w:sz w:val="24"/>
          <w:szCs w:val="24"/>
          <w:lang w:bidi="ar"/>
        </w:rPr>
        <w:t>L’</w:t>
      </w:r>
      <w:r>
        <w:rPr>
          <w:rFonts w:ascii="Times New Roman" w:hAnsi="Times New Roman" w:hint="default"/>
          <w:sz w:val="24"/>
          <w:szCs w:val="24"/>
        </w:rPr>
        <w:t>Â</w:t>
      </w:r>
      <w:r>
        <w:rPr>
          <w:rFonts w:ascii="Times New Roman" w:hAnsi="Times New Roman" w:hint="default"/>
          <w:sz w:val="24"/>
          <w:szCs w:val="24"/>
          <w:lang w:bidi="ar"/>
        </w:rPr>
        <w:t>ge</w:t>
      </w:r>
      <w:bookmarkEnd w:id="31"/>
    </w:p>
    <w:p w14:paraId="757147A1" w14:textId="77777777" w:rsidR="00B611D1" w:rsidRDefault="00FB7689">
      <w:pPr>
        <w:spacing w:line="360" w:lineRule="auto"/>
        <w:jc w:val="both"/>
        <w:rPr>
          <w:rFonts w:eastAsia="SimSun"/>
          <w:lang w:val="fr-FR" w:eastAsia="zh-CN"/>
        </w:rPr>
      </w:pPr>
      <w:r>
        <w:rPr>
          <w:rFonts w:eastAsia="Calibri"/>
          <w:kern w:val="2"/>
          <w:lang w:val="fr-FR" w:eastAsia="zh-CN"/>
        </w:rPr>
        <w:t xml:space="preserve">Dans la plupart des études documentées les patients de plus de 60 ans sont les plus exposés aux infections nosocomiales, En raison de la détérioration des mécanismes de défense liés au vieillissement, ainsi qu'à l'existence des comorbidités présents à cet âge </w:t>
      </w:r>
      <w:r>
        <w:rPr>
          <w:rFonts w:eastAsia="SimSun"/>
          <w:color w:val="000000"/>
          <w:lang w:val="fr-FR" w:eastAsia="zh-CN" w:bidi="ar"/>
        </w:rPr>
        <w:t>telles que le diabète, les maladies cardiovasculaires et les maladies pulmonaires, qui affaiblissent encore davantage leur système immunitaire</w:t>
      </w:r>
      <w:r>
        <w:rPr>
          <w:rFonts w:eastAsia="Calibri"/>
          <w:kern w:val="2"/>
          <w:lang w:val="fr-FR" w:eastAsia="zh-CN"/>
        </w:rPr>
        <w:t xml:space="preserve">. Cela justifie que le risque d’infection augmente avec l’âge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{"citationID":"TYX2goro","properties":{"formattedCitation":"(Njall et al., 2013)","plainCitation":"(Njall et al., 2013)","noteIndex":0},"citationItems":[{"id":67,"uris":["http://zotero.org/users/16279382/items/VBQ3425D"],"itemData":{"id":67,"type":"article-journal","abstract":"Introduction\nL'objectif principal de notre étude était d'identifier les bactéries associées à l'infection nosocomiale, dans le service de réanimation, de l'hôpital Laquintinie de Douala en vue d'améliorer la prise en charge et diminuer la létalité.\n\nMéthodes\nIl s'agissait d'une étude transversale et descriptive, menée du 1er mars au 31 mai 2011.Tous les patients hospitalisés depuis au moins 48 h étaient inclus dans l’étude et ceux présentant une infection documentée à l'admission étaient exclus. L'analyse des donnés a été faite par le logiciel SPSS 16.Les tests de Khi deux pour la signification.\n\nRésultats\nLa prévalence de l'infection nosocomiale était de 12%, elle concernait des personnes âgées de plus de 60 ans et présentant une infection urinaire dans 79% des cas. La létalité était de 72% pour une durée moyenne de séjour de 11,7 ± 12,1 jours. Les bactéries responsables étaient en majorité des bactéries gram positifs (BGN), dont E coli dans 23,1% et les cocci gram positifs(CGP), dans 15,4% des cas.\n\nConclusion\nL’étude de la résistance aux antibiotiques, montre une multi résistance, dont il faut tenir compte en mettant en place une stratégie de prévention active.","container-title":"The Pan African Medical Journal","DOI":"10.11604/pamj.2013.14.140.1818","ISSN":"1937-8688","journalAbbreviation":"Pan Afr Med J","note":"PMID: 23785545\nPMCID: PMC3683522","page":"140","source":"PubMed Central","title":"Écologie bactérienne de l'infection nosocomiale au service de réanimation de l'hôpital Laquintinie de Douala, Cameroun","volume":"14","author":[{"family":"Njall","given":"Clotilde"},{"family":"Adiogo","given":"Dieudonné"},{"family":"Bita","given":"André"},{"family":"Ateba","given":"Noel"},{"family":"Sume","given":"Gérald"},{"family":"Kollo","given":"Basile"},{"family":"Binam","given":"Fidèle"},{"family":"Tchoua","given":"Romain"}],"issued":{"date-parts":[["2013",4,9]]}}}],"schema":"https://github.com/citation-style-language/schema/raw/master/csl-citation.json"} </w:instrText>
      </w:r>
      <w:r>
        <w:rPr>
          <w:rFonts w:eastAsia="Calibri"/>
          <w:b/>
          <w:bCs/>
          <w:kern w:val="2"/>
          <w:lang w:val="fr" w:eastAsia="zh-CN" w:bidi="ar"/>
        </w:rPr>
        <w:fldChar w:fldCharType="separate"/>
      </w:r>
      <w:r>
        <w:rPr>
          <w:rFonts w:eastAsia="Calibri"/>
          <w:b/>
          <w:bCs/>
          <w:kern w:val="2"/>
          <w:lang w:val="fr" w:eastAsia="zh-CN" w:bidi="ar"/>
        </w:rPr>
        <w:t xml:space="preserve">(Njall </w:t>
      </w:r>
      <w:r>
        <w:rPr>
          <w:rFonts w:eastAsia="Calibri"/>
          <w:b/>
          <w:bCs/>
          <w:i/>
          <w:iCs/>
          <w:kern w:val="2"/>
          <w:lang w:val="fr" w:eastAsia="zh-CN" w:bidi="ar"/>
        </w:rPr>
        <w:t>et al</w:t>
      </w:r>
      <w:r>
        <w:rPr>
          <w:rFonts w:eastAsia="Calibri"/>
          <w:b/>
          <w:bCs/>
          <w:kern w:val="2"/>
          <w:lang w:val="fr" w:eastAsia="zh-CN" w:bidi="ar"/>
        </w:rPr>
        <w:t>., 2013)</w:t>
      </w:r>
      <w:r>
        <w:rPr>
          <w:rFonts w:eastAsia="Calibri"/>
          <w:b/>
          <w:bCs/>
          <w:kern w:val="2"/>
          <w:lang w:val="fr" w:eastAsia="zh-CN" w:bidi="ar"/>
        </w:rPr>
        <w:fldChar w:fldCharType="end"/>
      </w:r>
      <w:r>
        <w:rPr>
          <w:rFonts w:eastAsia="Calibri"/>
          <w:kern w:val="2"/>
          <w:lang w:val="fr-FR" w:eastAsia="zh-CN" w:bidi="ar"/>
        </w:rPr>
        <w:t xml:space="preserve">. </w:t>
      </w:r>
      <w:r>
        <w:rPr>
          <w:rFonts w:eastAsia="SimSun"/>
          <w:lang w:val="fr-FR" w:eastAsia="zh-CN"/>
        </w:rPr>
        <w:t xml:space="preserve">De même, les nouveau-nés, en particulier les prématurés, sont également vulnérables en raison de l’immaturité de leurs défenses immunitaires, de l’influence de leur environnement (architecture inadaptée, présence de germes pathogènes multirésistants, comportement du personnel, etc.), de l’utilisation du cathétérisme veineux périphérique et de l’alimentation entérale </w:t>
      </w:r>
      <w:r>
        <w:rPr>
          <w:rFonts w:eastAsia="Calibri"/>
          <w:b/>
          <w:bCs/>
          <w:color w:val="000000"/>
          <w:lang w:val="fr" w:bidi="ar"/>
        </w:rPr>
        <w:fldChar w:fldCharType="begin"/>
      </w:r>
      <w:r>
        <w:rPr>
          <w:rFonts w:eastAsia="Calibri"/>
          <w:b/>
          <w:bCs/>
          <w:color w:val="000000"/>
          <w:lang w:val="fr" w:bidi="ar"/>
        </w:rPr>
        <w:instrText xml:space="preserve"> ADDIN ZOTERO_ITEM CSL_CITATION {"citationID":"pHME2IDI","properties":{"formattedCitation":"(Chabni et al., 2015)","plainCitation":"(Chabni et al., 2015)","noteIndex":0},"citationItems":[{"id":87,"uris":["http://zotero.org/users/16279382/items/D6H3Q47N"],"itemData":{"id":87,"type":"article-journal","abstract":"Résumé\nIntroduction\nL’objectif de ce travail est de déterminer les principaux facteurs de risque associés aux infections nosocomiales dans une unité de néonatologie polyvalente à Tlemcen.\nMéthodes\nLes critères du CDC d’Atlanta pour les enfants de moins de 12 mois sont utilisés pour une étude cas-témoins portant sur une cohorte de nouveau-nés admis entre 2009 et 2010, en vu appréhender les facteurs de risque.\nRésultats\nSur un total de 2786 nouveau-nés admis, 472 décès, 97 épisodes infectieux sont enregistrés, soit une densité d’incidence de 6,27 pour 1000jours d’hospitalisation, une incidence cumulée de 33,7 pour 1000, un sex-ratio de 0,9. Les septicémies représentent le site prédominant (76 %). Les facteurs de risque retrouvés sont la prématurité (p=0,002), le bas poids de naissance (p&lt;10−3), la présence de voie veineuse périphérique, l’oxygénothérapie. Ainsi, le risque d’infection nosocomiale lié à la prématurité sévère est plus élevé (OR=11,26 ; p&lt;10−3). Le risque de décès est plus élevé en cas d’infection nosocomiale (OR=7 et p&lt;10−3). La durée d’hospitalisation est significativement plus prolongée chez les cas (p&lt;10−3).\nConclusion\nL’infection nosocomiale constitue une sur-morbidité importante en néonatologie, un risque majeur de mortalité et une cause de surcoûts, liés au prolongement des séjours. La prévention de ces infections nécessite une réorganisation du service de néonatologie selon la norme nationale (programme national de périnatalité), la lutte contre la prématurité et l’application des règles d’hygiène élémentaire.\nSummary\nIntroduction\nThe aim of this study was to determine the main risk factors associated with nosocomial infections in a neonatal unit polyvalent in Tlemcen.\nMethods\nThe CDC criteria for infants less than 12 months are used for an incidence study relating to a cohort of neonates admitted between 2009 and 2010, incorporating a case-control study to understand the risk factors.\nResults\nA total of 2786 neonates admitted, 472 deaths and 97 infectious episodes are recorded, an incidence density of 6.27 per 1000 days, a cumulative incidence of 33.7 per 1000, a sex ratio of 0.9. Sepsis is the predominant site (76%). The risk factors found are prematurity (P=0.002), low birth weight (P&lt;10−3), the presence of peripheral venous catheter, oxygen treatment. The risk of nosocomial infection associated with severe prematurity is higher (OR=11.26, P&lt;10−3). The risk of death is higher in case of nosocomial infection (OR=7, P&lt;10−3). The duration of hospitalization was significantly prolonged in the cases (P&lt;10−3).\nConclusion\nThe nosocomial infection is an important disease in neonatology, a major risk of mortality and causes additional costs, related to the extension of stay. The prevention of these infections requires a reorganization of the NICU according to national standard (national parental program), the fight against prematurity and application of the rules of basic hygiene.","container-title":"Journal de Pédiatrie et de Puériculture","DOI":"10.1016/j.jpp.2015.02.006","ISSN":"0987-7983","issue":"2","journalAbbreviation":"Journal de Pédiatrie et de Puériculture","page":"71-79","source":"ScienceDirect","title":"Facteurs de risque de l’infection nosocomiale au niveau du service de néonatologie polyvalente de l’établissement hospitalier spécialisé mère-enfant de Tlemcen à l’Ouest algérien, « étude cas-témoins »","volume":"28","author":[{"family":"Chabni","given":"N."},{"family":"Regagba","given":"D."},{"family":"Meguenni","given":"K."},{"family":"Ghomari","given":"S. M."},{"family":"Smahi","given":"M. C."}],"issued":{"date-parts":[["2015",5,1]]}}}],"schema":"https://github.com/citation-style-language/schema/raw/master/csl-citation.json"} </w:instrText>
      </w:r>
      <w:r>
        <w:rPr>
          <w:rFonts w:eastAsia="Calibri"/>
          <w:b/>
          <w:bCs/>
          <w:color w:val="000000"/>
          <w:lang w:val="fr" w:bidi="ar"/>
        </w:rPr>
        <w:fldChar w:fldCharType="separate"/>
      </w:r>
      <w:r>
        <w:rPr>
          <w:rFonts w:eastAsia="Calibri"/>
          <w:b/>
          <w:bCs/>
          <w:lang w:val="fr" w:bidi="ar"/>
        </w:rPr>
        <w:t xml:space="preserve">(Chabni </w:t>
      </w:r>
      <w:r>
        <w:rPr>
          <w:rFonts w:eastAsia="Calibri"/>
          <w:b/>
          <w:bCs/>
          <w:i/>
          <w:iCs/>
          <w:lang w:val="fr" w:bidi="ar"/>
        </w:rPr>
        <w:t>et al</w:t>
      </w:r>
      <w:r>
        <w:rPr>
          <w:rFonts w:eastAsia="Calibri"/>
          <w:b/>
          <w:bCs/>
          <w:lang w:val="fr" w:bidi="ar"/>
        </w:rPr>
        <w:t>., 2015)</w:t>
      </w:r>
      <w:r>
        <w:rPr>
          <w:rFonts w:eastAsia="Calibri"/>
          <w:b/>
          <w:bCs/>
          <w:color w:val="000000"/>
          <w:lang w:val="fr" w:bidi="ar"/>
        </w:rPr>
        <w:fldChar w:fldCharType="end"/>
      </w:r>
      <w:r>
        <w:rPr>
          <w:rFonts w:eastAsia="SimSun"/>
          <w:lang w:val="fr-FR" w:eastAsia="zh-CN"/>
        </w:rPr>
        <w:t>. En conséquence, il convient d’adopter des mesures de prévention spécifiques pour réduire le risque infectieux chez ces personnes particulièrement exposées pendant leur hospitalisation</w:t>
      </w:r>
    </w:p>
    <w:p w14:paraId="15D5E613" w14:textId="77777777" w:rsidR="00B611D1" w:rsidRDefault="00FB7689">
      <w:pPr>
        <w:pStyle w:val="Titre5"/>
        <w:numPr>
          <w:ilvl w:val="4"/>
          <w:numId w:val="3"/>
        </w:numPr>
        <w:rPr>
          <w:rFonts w:ascii="Times New Roman" w:hAnsi="Times New Roman" w:hint="default"/>
          <w:sz w:val="24"/>
          <w:szCs w:val="24"/>
          <w:lang w:val="fr-FR"/>
        </w:rPr>
      </w:pPr>
      <w:bookmarkStart w:id="32" w:name="_Toc201260027"/>
      <w:r>
        <w:rPr>
          <w:rFonts w:ascii="Times New Roman" w:hAnsi="Times New Roman" w:hint="default"/>
          <w:sz w:val="24"/>
          <w:szCs w:val="24"/>
          <w:lang w:val="fr-FR" w:bidi="ar"/>
        </w:rPr>
        <w:t>Patients exposés à des dispositifs invasifs</w:t>
      </w:r>
      <w:bookmarkEnd w:id="32"/>
    </w:p>
    <w:p w14:paraId="49E820AC" w14:textId="77777777" w:rsidR="00B611D1" w:rsidRDefault="00FB7689">
      <w:pPr>
        <w:spacing w:line="360" w:lineRule="auto"/>
        <w:jc w:val="both"/>
        <w:rPr>
          <w:rFonts w:eastAsia="SimSun"/>
          <w:lang w:val="fr-FR" w:eastAsia="zh-CN"/>
        </w:rPr>
      </w:pPr>
      <w:r>
        <w:rPr>
          <w:rFonts w:eastAsia="SimSun"/>
          <w:lang w:val="fr-FR"/>
        </w:rPr>
        <w:t xml:space="preserve">Les infections nosocomiales sont fréquemment liées, de manière directe ou indirecte, aux interventions et aux dispositifs invasifs employés, comme les cathéters, les sondes urinaires et les respirateurs et </w:t>
      </w:r>
      <w:r>
        <w:rPr>
          <w:rFonts w:eastAsia="SimSun"/>
          <w:lang w:val="fr-FR" w:eastAsia="zh-CN"/>
        </w:rPr>
        <w:t xml:space="preserve">ventilation mécanique sont les plus fréquentes. Ces dispositifs fragilisent les barrières naturelles du corps, permettant ainsi l'introduction de bactéries. Ils jouent un rôle crucial dans l'augmentation du risque d'infections nosocomiales, en créant un environnement propice à la prolifération bactérienne, surtout lorsqu'ils sont mal entretenus ou utilisés pendant une période prolongée </w:t>
      </w:r>
      <w:r>
        <w:rPr>
          <w:rFonts w:eastAsia="Calibri"/>
          <w:b/>
          <w:bCs/>
          <w:color w:val="000000"/>
          <w:lang w:val="fr" w:bidi="ar"/>
        </w:rPr>
        <w:fldChar w:fldCharType="begin"/>
      </w:r>
      <w:r>
        <w:rPr>
          <w:rFonts w:eastAsia="Calibri"/>
          <w:b/>
          <w:bCs/>
          <w:color w:val="000000"/>
          <w:lang w:val="fr" w:bidi="ar"/>
        </w:rPr>
        <w:instrText xml:space="preserve"> ADDIN ZOTERO_ITEM CSL_CITATION {"citationID":"EozNdOyR","properties":{"formattedCitation":"(Chouchene et al., 2015)","plainCitation":"(Chouchene et al., 2015)","noteIndex":0},"citationItems":[{"id":72,"uris":["http://zotero.org/users/16279382/items/H9UMTEZ3"],"itemData":{"id":72,"type":"article-journal","container-title":"Santé Publique","DOI":"10.3917/spub.151.0069","ISSN":"0995-3914","issue":"1","language":"fr","note":"publisher: S.F.S.P.\nsection: Santé publique","page":"69-78","source":"shs.cairn.info","title":"Incidence des infections associées aux dispositifs médicaux dans un service de réanimation tunisien","volume":"27","author":[{"family":"Chouchene","given":"Imed"},{"family":"Bouafia","given":"Nabiha"},{"family":"Cheikh","given":"Asma Ben"},{"family":"Toumi","given":"Behja"},{"family":"Mahjoub","given":"Mohamed"},{"family":"Bannour","given":"Wadiaa"},{"family":"Helali","given":"Radhia"},{"family":"Njah","given":"Mansour"},{"family":"Bouchoucha","given":"Slaheddine"}],"issued":{"date-parts":[["2015",3,24]]}}}],"schema":"https://github.com/citation-style-language/schema/raw/master/csl-citation.json"} </w:instrText>
      </w:r>
      <w:r>
        <w:rPr>
          <w:rFonts w:eastAsia="Calibri"/>
          <w:b/>
          <w:bCs/>
          <w:color w:val="000000"/>
          <w:lang w:val="fr" w:bidi="ar"/>
        </w:rPr>
        <w:fldChar w:fldCharType="separate"/>
      </w:r>
      <w:r>
        <w:rPr>
          <w:rFonts w:eastAsia="Calibri"/>
          <w:b/>
          <w:bCs/>
          <w:lang w:val="fr" w:bidi="ar"/>
        </w:rPr>
        <w:t xml:space="preserve">(Chouchene </w:t>
      </w:r>
      <w:r>
        <w:rPr>
          <w:rFonts w:eastAsia="Calibri"/>
          <w:b/>
          <w:bCs/>
          <w:i/>
          <w:iCs/>
          <w:lang w:val="fr" w:bidi="ar"/>
        </w:rPr>
        <w:t>et al</w:t>
      </w:r>
      <w:r>
        <w:rPr>
          <w:rFonts w:eastAsia="Calibri"/>
          <w:b/>
          <w:bCs/>
          <w:lang w:val="fr" w:bidi="ar"/>
        </w:rPr>
        <w:t>., 2015)</w:t>
      </w:r>
      <w:r>
        <w:rPr>
          <w:rFonts w:eastAsia="Calibri"/>
          <w:b/>
          <w:bCs/>
          <w:color w:val="000000"/>
          <w:lang w:val="fr" w:bidi="ar"/>
        </w:rPr>
        <w:fldChar w:fldCharType="end"/>
      </w:r>
      <w:r>
        <w:rPr>
          <w:rFonts w:eastAsia="Calibri"/>
          <w:b/>
          <w:bCs/>
          <w:color w:val="000000"/>
          <w:lang w:val="fr" w:bidi="ar"/>
        </w:rPr>
        <w:t>.</w:t>
      </w:r>
    </w:p>
    <w:p w14:paraId="693A420B" w14:textId="77777777" w:rsidR="00B611D1" w:rsidRDefault="00B611D1">
      <w:pPr>
        <w:pStyle w:val="Paragraphedeliste"/>
        <w:numPr>
          <w:ilvl w:val="0"/>
          <w:numId w:val="4"/>
        </w:numPr>
        <w:spacing w:beforeAutospacing="1" w:afterAutospacing="1"/>
        <w:outlineLvl w:val="4"/>
        <w:rPr>
          <w:rFonts w:ascii="SimSun" w:eastAsia="SimSun" w:hAnsi="SimSun"/>
          <w:b/>
          <w:bCs/>
          <w:vanish/>
          <w:sz w:val="20"/>
          <w:szCs w:val="20"/>
          <w:shd w:val="clear" w:color="auto" w:fill="FFFFFF"/>
          <w:lang w:val="en-US" w:eastAsia="zh-CN"/>
        </w:rPr>
      </w:pPr>
      <w:bookmarkStart w:id="33" w:name="_Toc201260028"/>
      <w:bookmarkEnd w:id="33"/>
    </w:p>
    <w:p w14:paraId="7B049ED9" w14:textId="77777777" w:rsidR="00B611D1" w:rsidRDefault="00B611D1">
      <w:pPr>
        <w:pStyle w:val="Paragraphedeliste"/>
        <w:numPr>
          <w:ilvl w:val="2"/>
          <w:numId w:val="4"/>
        </w:numPr>
        <w:spacing w:beforeAutospacing="1" w:afterAutospacing="1"/>
        <w:outlineLvl w:val="4"/>
        <w:rPr>
          <w:rFonts w:ascii="SimSun" w:eastAsia="SimSun" w:hAnsi="SimSun"/>
          <w:b/>
          <w:bCs/>
          <w:vanish/>
          <w:sz w:val="20"/>
          <w:szCs w:val="20"/>
          <w:shd w:val="clear" w:color="auto" w:fill="FFFFFF"/>
          <w:lang w:val="en-US" w:eastAsia="zh-CN"/>
        </w:rPr>
      </w:pPr>
      <w:bookmarkStart w:id="34" w:name="_Toc201260029"/>
      <w:bookmarkEnd w:id="34"/>
    </w:p>
    <w:p w14:paraId="7B4ED886" w14:textId="77777777" w:rsidR="00B611D1" w:rsidRDefault="00B611D1">
      <w:pPr>
        <w:pStyle w:val="Paragraphedeliste"/>
        <w:numPr>
          <w:ilvl w:val="2"/>
          <w:numId w:val="4"/>
        </w:numPr>
        <w:spacing w:beforeAutospacing="1" w:afterAutospacing="1"/>
        <w:outlineLvl w:val="4"/>
        <w:rPr>
          <w:rFonts w:ascii="SimSun" w:eastAsia="SimSun" w:hAnsi="SimSun"/>
          <w:b/>
          <w:bCs/>
          <w:vanish/>
          <w:sz w:val="20"/>
          <w:szCs w:val="20"/>
          <w:shd w:val="clear" w:color="auto" w:fill="FFFFFF"/>
          <w:lang w:val="en-US" w:eastAsia="zh-CN"/>
        </w:rPr>
      </w:pPr>
      <w:bookmarkStart w:id="35" w:name="_Toc201260030"/>
      <w:bookmarkEnd w:id="35"/>
    </w:p>
    <w:p w14:paraId="1AD589E3" w14:textId="77777777" w:rsidR="00B611D1" w:rsidRDefault="00B611D1">
      <w:pPr>
        <w:pStyle w:val="Paragraphedeliste"/>
        <w:numPr>
          <w:ilvl w:val="2"/>
          <w:numId w:val="4"/>
        </w:numPr>
        <w:spacing w:beforeAutospacing="1" w:afterAutospacing="1"/>
        <w:outlineLvl w:val="4"/>
        <w:rPr>
          <w:rFonts w:ascii="SimSun" w:eastAsia="SimSun" w:hAnsi="SimSun"/>
          <w:b/>
          <w:bCs/>
          <w:vanish/>
          <w:sz w:val="20"/>
          <w:szCs w:val="20"/>
          <w:shd w:val="clear" w:color="auto" w:fill="FFFFFF"/>
          <w:lang w:val="en-US" w:eastAsia="zh-CN"/>
        </w:rPr>
      </w:pPr>
      <w:bookmarkStart w:id="36" w:name="_Toc201260031"/>
      <w:bookmarkEnd w:id="36"/>
    </w:p>
    <w:p w14:paraId="0D179106" w14:textId="77777777" w:rsidR="00B611D1" w:rsidRDefault="00B611D1">
      <w:pPr>
        <w:pStyle w:val="Paragraphedeliste"/>
        <w:numPr>
          <w:ilvl w:val="2"/>
          <w:numId w:val="4"/>
        </w:numPr>
        <w:spacing w:beforeAutospacing="1" w:afterAutospacing="1"/>
        <w:outlineLvl w:val="4"/>
        <w:rPr>
          <w:rFonts w:ascii="SimSun" w:eastAsia="SimSun" w:hAnsi="SimSun"/>
          <w:b/>
          <w:bCs/>
          <w:vanish/>
          <w:sz w:val="20"/>
          <w:szCs w:val="20"/>
          <w:shd w:val="clear" w:color="auto" w:fill="FFFFFF"/>
          <w:lang w:val="en-US" w:eastAsia="zh-CN"/>
        </w:rPr>
      </w:pPr>
      <w:bookmarkStart w:id="37" w:name="_Toc201260032"/>
      <w:bookmarkEnd w:id="37"/>
    </w:p>
    <w:p w14:paraId="5C235890" w14:textId="77777777" w:rsidR="00B611D1" w:rsidRDefault="00B611D1">
      <w:pPr>
        <w:pStyle w:val="Paragraphedeliste"/>
        <w:numPr>
          <w:ilvl w:val="2"/>
          <w:numId w:val="4"/>
        </w:numPr>
        <w:spacing w:beforeAutospacing="1" w:afterAutospacing="1"/>
        <w:outlineLvl w:val="4"/>
        <w:rPr>
          <w:rFonts w:ascii="SimSun" w:eastAsia="SimSun" w:hAnsi="SimSun"/>
          <w:b/>
          <w:bCs/>
          <w:vanish/>
          <w:sz w:val="20"/>
          <w:szCs w:val="20"/>
          <w:shd w:val="clear" w:color="auto" w:fill="FFFFFF"/>
          <w:lang w:val="en-US" w:eastAsia="zh-CN"/>
        </w:rPr>
      </w:pPr>
      <w:bookmarkStart w:id="38" w:name="_Toc201260033"/>
      <w:bookmarkEnd w:id="38"/>
    </w:p>
    <w:p w14:paraId="53096DCB" w14:textId="77777777" w:rsidR="00B611D1" w:rsidRDefault="00B611D1">
      <w:pPr>
        <w:pStyle w:val="Paragraphedeliste"/>
        <w:numPr>
          <w:ilvl w:val="2"/>
          <w:numId w:val="4"/>
        </w:numPr>
        <w:spacing w:beforeAutospacing="1" w:afterAutospacing="1"/>
        <w:outlineLvl w:val="4"/>
        <w:rPr>
          <w:rFonts w:ascii="SimSun" w:eastAsia="SimSun" w:hAnsi="SimSun"/>
          <w:b/>
          <w:bCs/>
          <w:vanish/>
          <w:sz w:val="20"/>
          <w:szCs w:val="20"/>
          <w:shd w:val="clear" w:color="auto" w:fill="FFFFFF"/>
          <w:lang w:val="en-US" w:eastAsia="zh-CN"/>
        </w:rPr>
      </w:pPr>
      <w:bookmarkStart w:id="39" w:name="_Toc201260034"/>
      <w:bookmarkEnd w:id="39"/>
    </w:p>
    <w:p w14:paraId="2BC5EAA6" w14:textId="77777777" w:rsidR="00B611D1" w:rsidRDefault="00B611D1">
      <w:pPr>
        <w:pStyle w:val="Paragraphedeliste"/>
        <w:numPr>
          <w:ilvl w:val="3"/>
          <w:numId w:val="4"/>
        </w:numPr>
        <w:spacing w:beforeAutospacing="1" w:afterAutospacing="1"/>
        <w:outlineLvl w:val="4"/>
        <w:rPr>
          <w:rFonts w:ascii="SimSun" w:eastAsia="SimSun" w:hAnsi="SimSun"/>
          <w:b/>
          <w:bCs/>
          <w:vanish/>
          <w:sz w:val="20"/>
          <w:szCs w:val="20"/>
          <w:shd w:val="clear" w:color="auto" w:fill="FFFFFF"/>
          <w:lang w:val="en-US" w:eastAsia="zh-CN"/>
        </w:rPr>
      </w:pPr>
      <w:bookmarkStart w:id="40" w:name="_Toc201260035"/>
      <w:bookmarkEnd w:id="40"/>
    </w:p>
    <w:p w14:paraId="62C7BD57" w14:textId="77777777" w:rsidR="00B611D1" w:rsidRDefault="00B611D1">
      <w:pPr>
        <w:pStyle w:val="Paragraphedeliste"/>
        <w:numPr>
          <w:ilvl w:val="4"/>
          <w:numId w:val="4"/>
        </w:numPr>
        <w:spacing w:beforeAutospacing="1" w:afterAutospacing="1"/>
        <w:outlineLvl w:val="4"/>
        <w:rPr>
          <w:rFonts w:ascii="SimSun" w:eastAsia="SimSun" w:hAnsi="SimSun"/>
          <w:b/>
          <w:bCs/>
          <w:vanish/>
          <w:sz w:val="20"/>
          <w:szCs w:val="20"/>
          <w:shd w:val="clear" w:color="auto" w:fill="FFFFFF"/>
          <w:lang w:val="en-US" w:eastAsia="zh-CN"/>
        </w:rPr>
      </w:pPr>
      <w:bookmarkStart w:id="41" w:name="_Toc201260036"/>
      <w:bookmarkEnd w:id="41"/>
    </w:p>
    <w:p w14:paraId="23B7A70C" w14:textId="77777777" w:rsidR="00B611D1" w:rsidRDefault="00B611D1">
      <w:pPr>
        <w:pStyle w:val="Paragraphedeliste"/>
        <w:numPr>
          <w:ilvl w:val="4"/>
          <w:numId w:val="4"/>
        </w:numPr>
        <w:spacing w:beforeAutospacing="1" w:afterAutospacing="1"/>
        <w:outlineLvl w:val="4"/>
        <w:rPr>
          <w:rFonts w:ascii="SimSun" w:eastAsia="SimSun" w:hAnsi="SimSun"/>
          <w:b/>
          <w:bCs/>
          <w:vanish/>
          <w:sz w:val="20"/>
          <w:szCs w:val="20"/>
          <w:shd w:val="clear" w:color="auto" w:fill="FFFFFF"/>
          <w:lang w:val="en-US" w:eastAsia="zh-CN"/>
        </w:rPr>
      </w:pPr>
      <w:bookmarkStart w:id="42" w:name="_Toc201260037"/>
      <w:bookmarkEnd w:id="42"/>
    </w:p>
    <w:p w14:paraId="5790352D" w14:textId="77777777" w:rsidR="00B611D1" w:rsidRDefault="00FB7689">
      <w:pPr>
        <w:pStyle w:val="Titre5"/>
        <w:numPr>
          <w:ilvl w:val="4"/>
          <w:numId w:val="4"/>
        </w:numPr>
        <w:rPr>
          <w:rFonts w:ascii="Times New Roman" w:eastAsia="Calibri" w:hAnsi="Times New Roman" w:hint="default"/>
          <w:color w:val="000000"/>
          <w:sz w:val="24"/>
          <w:szCs w:val="24"/>
          <w:lang w:val="fr" w:bidi="ar"/>
        </w:rPr>
      </w:pPr>
      <w:bookmarkStart w:id="43" w:name="_Toc201260038"/>
      <w:r>
        <w:rPr>
          <w:rFonts w:ascii="Times New Roman" w:hAnsi="Times New Roman" w:hint="default"/>
          <w:sz w:val="24"/>
          <w:szCs w:val="24"/>
          <w:shd w:val="clear" w:color="auto" w:fill="FFFFFF"/>
        </w:rPr>
        <w:t>L'obésité</w:t>
      </w:r>
      <w:bookmarkEnd w:id="43"/>
    </w:p>
    <w:p w14:paraId="5254D391" w14:textId="77777777" w:rsidR="00B611D1" w:rsidRDefault="00FB7689">
      <w:pPr>
        <w:spacing w:line="360" w:lineRule="auto"/>
        <w:jc w:val="both"/>
        <w:rPr>
          <w:rFonts w:eastAsia="Calibri"/>
          <w:color w:val="000000"/>
          <w:lang w:val="fr" w:bidi="ar"/>
        </w:rPr>
      </w:pPr>
      <w:r>
        <w:rPr>
          <w:rFonts w:eastAsia="Calibri"/>
          <w:color w:val="000000" w:themeColor="text1"/>
          <w:kern w:val="2"/>
          <w:lang w:val="fr-FR" w:eastAsia="zh-CN"/>
        </w:rPr>
        <w:t xml:space="preserve">Il existe une augmentation de la mortalité chez les patients obèses, en particulier chez les plus jeunes et ceux présentant une probabilité de décès modérée, par rapport à la population non obèse </w:t>
      </w:r>
      <w:r>
        <w:rPr>
          <w:rFonts w:eastAsia="Calibri"/>
          <w:color w:val="000000"/>
          <w:lang w:val="fr" w:bidi="ar"/>
        </w:rPr>
        <w:fldChar w:fldCharType="begin"/>
      </w:r>
      <w:r>
        <w:rPr>
          <w:rFonts w:eastAsia="Calibri"/>
          <w:color w:val="000000"/>
          <w:lang w:val="fr" w:bidi="ar"/>
        </w:rPr>
        <w:instrText xml:space="preserve"> ADDIN ZOTERO_ITEM CSL_CITATION {"citationID":"xQxV9YRC","properties":{"formattedCitation":"(Bercault et al., 2004)","plainCitation":"(Bercault et al., 2004)","noteIndex":0},"citationItems":[{"id":70,"uris":["http://zotero.org/users/16279382/items/2YSFI9PH"],"itemData":{"id":70,"type":"article-journal","abstract":"Objective \n          To evaluate the obesity-related mortality rate in an intensive care unit.\n          Design \n          An exposed/unexposed matched cohort study.\n          Setting \n          An 18-bed adult medical-surgical intensive care unit in a 1,100-bed regional and teaching hospital in France.\n          Patients \n          From January 1, 1999, to December 31, 2001, 170 mechanically ventilated exposed patients (obese patients with body mass index of &gt;30 kg/m2) were matched with 170 mechanically ventilated unexposed patients (with ideal body mass index of 18.5–24.9 kg/m2).\n          Interventions \n          None.\n          Measurements and Main Results \n          The matching process was conducted according to eight criteria: cause of admission, indication for ventilatory support, immunologic status, cardiac status, probability of death (±5%), age (±7 yrs), gender, and acquisition of severe events appearing within 24 hrs before admission (defined as resuscitated cardiac arrest, acute respiratory distress syndrome, or septic shock). The mortality rate between exposed and unexposed patients was compared by univariate analysis and then was adjusted for other possible confounding factors by multivariate analysis, using conditional logistic regression. The matching process was successful for 1,360 of 1,360 criteria. Obesity was significantly associated with intensive care unit mortality (odds ratio, 2.1; 95% confidence interval, 1.2–3.6). Obesity-related excess mortality was verified mainly for the youngest patients (odds ratio, 2.5; 95% confidence interval, 1.6–6.1) and for the patients with a probability of intensive care unit death of 11–50% (odds ratio, 2.6; 95% confidence interval, 1.2–5.5). This excess mortality rate could be explained by the higher risk of intensive care unit acquired complications among obese patients than among the unexposed ones (odds ratio, 4; 95% confidence interval, 1.4–11.8).\n          Conclusions \n          Obesity is an independent risk factor for intensive care unit death and should be regarded as a severe comorbidity in such units.","container-title":"Critical Care Medicine","DOI":"10.1097/01.CCM.0000119422.93413.08","ISSN":"1530-0293","issue":"4","language":"en-US","page":"998","source":"journals.lww.com","title":"Obesity-related excess mortality rate in an adult intensive care unit: A risk-adjusted matched cohort study*","title-short":"Obesity-related excess mortality rate in an adult intensive care unit","volume":"32","author":[{"family":"Bercault","given":"Nicolas"},{"family":"Boulain","given":"Thierry"},{"family":"Kuteifan","given":"Kaldhoun"},{"family":"Wolf","given":"Manuel"},{"family":"Runge","given":"Isabelle"},{"family":"Fleury","given":"Jean-Christian"}],"issued":{"date-parts":[["2004",4]]}}}],"schema":"https://github.com/citation-style-language/schema/raw/master/csl-citation.json"} </w:instrText>
      </w:r>
      <w:r>
        <w:rPr>
          <w:rFonts w:eastAsia="Calibri"/>
          <w:color w:val="000000"/>
          <w:lang w:val="fr" w:bidi="ar"/>
        </w:rPr>
        <w:fldChar w:fldCharType="separate"/>
      </w:r>
      <w:r>
        <w:rPr>
          <w:rFonts w:eastAsia="Calibri"/>
          <w:b/>
          <w:bCs/>
          <w:lang w:val="fr" w:bidi="ar"/>
        </w:rPr>
        <w:t xml:space="preserve">(Bercault </w:t>
      </w:r>
      <w:r>
        <w:rPr>
          <w:rFonts w:eastAsia="Calibri"/>
          <w:b/>
          <w:bCs/>
          <w:i/>
          <w:iCs/>
          <w:lang w:val="fr" w:bidi="ar"/>
        </w:rPr>
        <w:t>et al</w:t>
      </w:r>
      <w:r>
        <w:rPr>
          <w:rFonts w:eastAsia="Calibri"/>
          <w:b/>
          <w:bCs/>
          <w:lang w:val="fr" w:bidi="ar"/>
        </w:rPr>
        <w:t>., 2004</w:t>
      </w:r>
      <w:r>
        <w:rPr>
          <w:rFonts w:eastAsia="Calibri"/>
          <w:lang w:val="fr" w:bidi="ar"/>
        </w:rPr>
        <w:t>)</w:t>
      </w:r>
      <w:r>
        <w:rPr>
          <w:rFonts w:eastAsia="Calibri"/>
          <w:color w:val="000000"/>
          <w:lang w:val="fr" w:bidi="ar"/>
        </w:rPr>
        <w:fldChar w:fldCharType="end"/>
      </w:r>
      <w:r>
        <w:rPr>
          <w:rFonts w:eastAsia="Calibri"/>
          <w:color w:val="000000"/>
          <w:lang w:val="fr" w:bidi="ar"/>
        </w:rPr>
        <w:t>.</w:t>
      </w:r>
    </w:p>
    <w:p w14:paraId="1B4541D0" w14:textId="77777777" w:rsidR="00B611D1" w:rsidRDefault="00FB7689">
      <w:pPr>
        <w:pStyle w:val="Titre5"/>
        <w:numPr>
          <w:ilvl w:val="4"/>
          <w:numId w:val="4"/>
        </w:numPr>
        <w:rPr>
          <w:rFonts w:ascii="Times New Roman" w:eastAsia="TimesNewRomanPS-BoldMT" w:hAnsi="Times New Roman" w:hint="default"/>
          <w:color w:val="000000"/>
          <w:sz w:val="24"/>
          <w:szCs w:val="24"/>
        </w:rPr>
      </w:pPr>
      <w:bookmarkStart w:id="44" w:name="_Toc201260039"/>
      <w:r>
        <w:rPr>
          <w:rFonts w:ascii="Times New Roman" w:hAnsi="Times New Roman" w:hint="default"/>
          <w:sz w:val="24"/>
          <w:szCs w:val="24"/>
          <w:lang w:bidi="ar"/>
        </w:rPr>
        <w:t>P</w:t>
      </w:r>
      <w:r>
        <w:rPr>
          <w:rFonts w:ascii="Times New Roman" w:hAnsi="Times New Roman" w:hint="default"/>
          <w:sz w:val="24"/>
          <w:szCs w:val="24"/>
        </w:rPr>
        <w:t>atients co-infectés VIH-tuberculose</w:t>
      </w:r>
      <w:bookmarkEnd w:id="44"/>
    </w:p>
    <w:p w14:paraId="4AFA7DC3" w14:textId="77777777" w:rsidR="00B611D1" w:rsidRDefault="00FB7689">
      <w:pPr>
        <w:spacing w:line="360" w:lineRule="auto"/>
        <w:jc w:val="both"/>
        <w:rPr>
          <w:rFonts w:eastAsia="TimesNewRomanPS-BoldMT"/>
          <w:b/>
          <w:bCs/>
          <w:color w:val="000000"/>
          <w:lang w:eastAsia="zh-CN"/>
        </w:rPr>
      </w:pPr>
      <w:r>
        <w:rPr>
          <w:rFonts w:eastAsia="Calibri"/>
          <w:color w:val="000000"/>
          <w:lang w:val="fr"/>
        </w:rPr>
        <w:t>Les patients co-infectés par le VIH et la tuberculose, en particulier ceux présentant une immunodépression sévère (CD4 &lt; 100 cellules/mm³), sont plus vulnérables aux infections nosocomiales, notamment par</w:t>
      </w:r>
      <w:r>
        <w:rPr>
          <w:rFonts w:eastAsia="Calibri"/>
          <w:i/>
          <w:iCs/>
          <w:color w:val="000000"/>
          <w:lang w:val="fr"/>
        </w:rPr>
        <w:t xml:space="preserve"> Klebsiella pneumoniae</w:t>
      </w:r>
      <w:r>
        <w:rPr>
          <w:rFonts w:eastAsia="Calibri"/>
          <w:color w:val="000000"/>
          <w:lang w:val="fr"/>
        </w:rPr>
        <w:t xml:space="preserve"> multirésistante.</w:t>
      </w:r>
      <w:r>
        <w:rPr>
          <w:rFonts w:eastAsia="Calibri"/>
          <w:color w:val="000000"/>
          <w:lang w:val="fr-FR"/>
        </w:rPr>
        <w:t xml:space="preserve"> </w:t>
      </w:r>
      <w:r>
        <w:rPr>
          <w:rFonts w:eastAsia="Calibri"/>
          <w:color w:val="000000"/>
          <w:lang w:val="fr"/>
        </w:rPr>
        <w:t>Cette vulnérabilité est exacerbée par l'affaiblissement généralisé de leur système immunitaire, qui ne parvient plus à lutter efficacement contre les agents pathogènes. Dans ces cas, la résistance aux traitements classiques devient un facteur aggravant</w:t>
      </w:r>
      <w:r>
        <w:rPr>
          <w:rFonts w:eastAsia="Calibri"/>
          <w:b/>
          <w:bCs/>
          <w:color w:val="000000"/>
          <w:lang w:val="fr-FR"/>
        </w:rPr>
        <w:t xml:space="preserv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{"citationID":"0I6H9Oga","properties":{"formattedCitation":"(Meli et al., 2020)","plainCitation":"(Meli et al., 2020)","noteIndex":0},"citationItems":[{"id":91,"uris":["http://zotero.org/users/16279382/items/5RSY4N7J"],"itemData":{"id":91,"type":"article-journal","abstract":"Les infections nosocomiales constituent un problème majeur de santé publique dans le monde. La co-infection VIH-Tuberculose pulmonaire augmente la fréquence des infections nosocomiales, du fait de l´immunodépression et des hospitalisations itératives. Nous présentons quatre (04) patients âgés de 28, 36, 42 et 52 ans, co-infectés de VIH et tuberculose, (tuberculose multifocale chez 2, miliaire tuberculeuse, tuberculose bactériologiquement confirmée), tous ayant un taux CD4 &amp;lt; 100 cellules/mm3. Ils étaient à la phase intensive du traitement antituberculeux et sous antirétroviral (ARV). Ils avaient été admis au Service de Maladies Infectieuses du CHU du Point G pour toux productive, et/ou hyperthermie après des séjours antérieurs de plus de 48 heures en milieux hospitaliers. L´anamnèse avait révélé que l´un n´avait pas été observant au traitement antituberculeux du fait des effets indésirables classés mineurs. Il n´y avait pas eu d´amélioration clinique chez les 3 autres malgré une observance optimale aux différents traitements. L´examen cytobactériologique des expectorations et/ou du liquide de tubage gastrique, les hémocultures, prélèvements spécifiques avaient permis d´isoler&amp;nbsp;Klebsiella pneumoniae&amp;nbsp;multirésistante. Sous antibiothérapie spécifique, l´évolution clinique de ces patients avait été favorable. Les infections nosocomiales peuvent faire penser à tort à une mauvaise réponse thérapeutique lors d´un traitement antituberculeux. L´examen cytobactériologique des liquides biologiques doit être systématique chez les patients co-infectés de VIH-tuberculose. Notamment chez ceux ayant eu des séjours hospitaliers d´au moins 48 heures, et chez qui les signes pulmonaires et/ou la fièvre persistent en dépit d´une bonne observance aux traitements.","container-title":"Pan African Medical Journal","ISSN":"1937-8688","issue":"1","language":"en","license":"Copyright (c) 0","note":"number: 1","source":"www.ajol.info","title":"Co-infection tuberculose-VIH compliquée d’une sur infection nosocomiale à Klebsiella pneumoniae: à propos de 4 observations dans un Service de Maladies Infectieuses au Mali","title-short":"Co-infection tuberculose-VIH compliquée d’une sur infection nosocomiale à Klebsiella pneumoniae","URL":"https://www.ajol.info/index.php/pamj/article/view/213387","volume":"37","author":[{"family":"Meli","given":"Hermine"},{"family":"Cissoko","given":"Yacouba"},{"family":"Konaté","given":"Issa"},{"family":"Soumaré","given":"Mariam"},{"family":"Fofana","given":"Assetou"},{"family":"Dembélé","given":"Jean Paul"},{"family":"Kaboré","given":"Mikaila"},{"family":"Cissé","given":"Mohamed Aly"},{"family":"Zaré","given":"Abdoulaye"},{"family":"Dao","given":"Sounkalo"}],"accessed":{"date-parts":[["2025",4,6]]},"issued":{"date-parts":[["2020",10,8]]}}}],"schema":"https://github.com/citation-style-language/schema/raw/master/csl-citation.json"} </w:instrText>
      </w:r>
      <w:r>
        <w:rPr>
          <w:rFonts w:eastAsia="Calibri"/>
          <w:b/>
          <w:bCs/>
          <w:kern w:val="2"/>
          <w:lang w:val="fr" w:eastAsia="zh-CN" w:bidi="ar"/>
        </w:rPr>
        <w:fldChar w:fldCharType="separate"/>
      </w:r>
      <w:r>
        <w:rPr>
          <w:rFonts w:eastAsia="Calibri"/>
          <w:b/>
          <w:bCs/>
          <w:kern w:val="2"/>
          <w:lang w:val="fr" w:eastAsia="zh-CN" w:bidi="ar"/>
        </w:rPr>
        <w:t xml:space="preserve">(Meli </w:t>
      </w:r>
      <w:r>
        <w:rPr>
          <w:rFonts w:eastAsia="Calibri"/>
          <w:b/>
          <w:bCs/>
          <w:i/>
          <w:iCs/>
          <w:kern w:val="2"/>
          <w:lang w:val="fr" w:eastAsia="zh-CN" w:bidi="ar"/>
        </w:rPr>
        <w:t>et al</w:t>
      </w:r>
      <w:r>
        <w:rPr>
          <w:rFonts w:eastAsia="Calibri"/>
          <w:b/>
          <w:bCs/>
          <w:kern w:val="2"/>
          <w:lang w:val="fr" w:eastAsia="zh-CN" w:bidi="ar"/>
        </w:rPr>
        <w:t>., 2020)</w:t>
      </w:r>
      <w:r>
        <w:rPr>
          <w:rFonts w:eastAsia="Calibri"/>
          <w:b/>
          <w:bCs/>
          <w:kern w:val="2"/>
          <w:lang w:val="fr" w:eastAsia="zh-CN" w:bidi="ar"/>
        </w:rPr>
        <w:fldChar w:fldCharType="end"/>
      </w:r>
      <w:r>
        <w:rPr>
          <w:rFonts w:eastAsia="Calibri"/>
          <w:b/>
          <w:bCs/>
          <w:kern w:val="2"/>
          <w:lang w:val="fr" w:eastAsia="zh-CN" w:bidi="ar"/>
        </w:rPr>
        <w:t>.</w:t>
      </w:r>
    </w:p>
    <w:p w14:paraId="06B77A55" w14:textId="77777777" w:rsidR="00B611D1" w:rsidRDefault="00FB7689">
      <w:pPr>
        <w:pStyle w:val="Titre5"/>
        <w:numPr>
          <w:ilvl w:val="4"/>
          <w:numId w:val="4"/>
        </w:numPr>
        <w:rPr>
          <w:rFonts w:ascii="Times New Roman" w:eastAsia="TimesNewRomanPS-BoldMT" w:hAnsi="Times New Roman" w:hint="default"/>
          <w:color w:val="000000"/>
          <w:sz w:val="24"/>
          <w:szCs w:val="24"/>
          <w:lang w:val="fr-FR"/>
        </w:rPr>
      </w:pPr>
      <w:bookmarkStart w:id="45" w:name="_Toc201260040"/>
      <w:r>
        <w:rPr>
          <w:rFonts w:ascii="Times New Roman" w:hAnsi="Times New Roman" w:hint="default"/>
          <w:sz w:val="24"/>
          <w:szCs w:val="24"/>
          <w:lang w:val="fr-FR" w:bidi="ar"/>
        </w:rPr>
        <w:t>Patients ayant subi de graves brûlures</w:t>
      </w:r>
      <w:bookmarkEnd w:id="45"/>
    </w:p>
    <w:p w14:paraId="47DCD636" w14:textId="77777777" w:rsidR="00B611D1" w:rsidRDefault="00FB7689">
      <w:pPr>
        <w:spacing w:line="360" w:lineRule="auto"/>
        <w:jc w:val="both"/>
        <w:rPr>
          <w:rFonts w:asciiTheme="majorBidi" w:eastAsia="Calibri" w:hAnsiTheme="majorBidi" w:cstheme="majorBidi"/>
          <w:b/>
          <w:bCs/>
          <w:kern w:val="2"/>
          <w:lang w:val="fr" w:bidi="ar"/>
        </w:rPr>
      </w:pPr>
      <w:r>
        <w:rPr>
          <w:rFonts w:asciiTheme="majorBidi" w:eastAsia="SimSun" w:hAnsiTheme="majorBidi" w:cstheme="majorBidi"/>
          <w:color w:val="000000"/>
          <w:lang w:val="fr-FR" w:bidi="ar"/>
        </w:rPr>
        <w:t xml:space="preserve">Les brûlures graves peuvent compromettre la barrière cutanée, qui agit comme une première ligne de défense contre les infections. Les patients brûlés sont particulièrement vulnérables aux infections cutanées et aux infections systémiques, en raison de la perte de cette barrière protectrice. Dans un environnement hospitalier, les patients brûlés nécessitent une surveillance étroite pour prévenir les infections nosocomiales  </w:t>
      </w:r>
      <w:r>
        <w:rPr>
          <w:rFonts w:asciiTheme="majorBidi" w:eastAsia="Calibri" w:hAnsiTheme="majorBidi" w:cstheme="majorBidi"/>
          <w:b/>
          <w:bCs/>
          <w:kern w:val="2"/>
          <w:lang w:val="fr" w:bidi="ar"/>
        </w:rPr>
        <w:fldChar w:fldCharType="begin"/>
      </w:r>
      <w:r>
        <w:rPr>
          <w:rFonts w:asciiTheme="majorBidi" w:eastAsia="Calibri" w:hAnsiTheme="majorBidi" w:cstheme="majorBidi"/>
          <w:b/>
          <w:bCs/>
          <w:kern w:val="2"/>
          <w:lang w:val="fr" w:bidi="ar"/>
        </w:rPr>
        <w:instrText xml:space="preserve"> ADDIN ZOTERO_ITEM CSL_CITATION {"citationID":"DAayh41o","properties":{"formattedCitation":"(Dubuis, 2021)","plainCitation":"(Dubuis, 2021)","noteIndex":0},"citationItems":[{"id":319,"uris":["http://zotero.org/users/16279382/items/NCXZ86T9"],"itemData":{"id":319,"type":"article-journal","container-title":"Corps","DOI":"10.3917/corp1.019.0449","ISSN":"1954-1228","issue":"1","language":"fr","note":"publisher: CNRS Éditions\nsection: Sociologie","page":"449-459","source":"shs.cairn.info","title":"Brûlures graves à la face : une métamorphose accidentelle « ex-peau-sée » au regard des autres.","title-short":"Brûlures graves à la face","volume":"19","author":[{"family":"Dubuis","given":"Alexandre"}],"issued":{"date-parts":[["2021"]]}}}],"schema":"https://github.com/citation-style-language/schema/raw/master/csl-citation.json"} </w:instrText>
      </w:r>
      <w:r>
        <w:rPr>
          <w:rFonts w:asciiTheme="majorBidi" w:eastAsia="Calibri" w:hAnsiTheme="majorBidi" w:cstheme="majorBidi"/>
          <w:b/>
          <w:bCs/>
          <w:kern w:val="2"/>
          <w:lang w:val="fr" w:bidi="ar"/>
        </w:rPr>
        <w:fldChar w:fldCharType="separate"/>
      </w:r>
      <w:r>
        <w:rPr>
          <w:rFonts w:asciiTheme="majorBidi" w:eastAsia="Calibri" w:hAnsiTheme="majorBidi" w:cstheme="majorBidi"/>
          <w:b/>
          <w:bCs/>
          <w:kern w:val="2"/>
          <w:lang w:val="fr" w:bidi="ar"/>
        </w:rPr>
        <w:t>(Dubuis, 2021)</w:t>
      </w:r>
      <w:r>
        <w:rPr>
          <w:rFonts w:asciiTheme="majorBidi" w:eastAsia="Calibri" w:hAnsiTheme="majorBidi" w:cstheme="majorBidi"/>
          <w:b/>
          <w:bCs/>
          <w:kern w:val="2"/>
          <w:lang w:val="fr" w:bidi="ar"/>
        </w:rPr>
        <w:fldChar w:fldCharType="end"/>
      </w:r>
      <w:r>
        <w:rPr>
          <w:rFonts w:asciiTheme="majorBidi" w:eastAsia="Calibri" w:hAnsiTheme="majorBidi" w:cstheme="majorBidi"/>
          <w:b/>
          <w:bCs/>
          <w:kern w:val="2"/>
          <w:lang w:val="fr" w:bidi="ar"/>
        </w:rPr>
        <w:t>.</w:t>
      </w:r>
    </w:p>
    <w:p w14:paraId="7E12AC75" w14:textId="77777777" w:rsidR="00B611D1" w:rsidRDefault="00FB7689">
      <w:pPr>
        <w:pStyle w:val="Titre5"/>
        <w:numPr>
          <w:ilvl w:val="4"/>
          <w:numId w:val="4"/>
        </w:numPr>
        <w:rPr>
          <w:rFonts w:ascii="Times New Roman" w:eastAsia="TimesNewRomanPS-BoldMT" w:hAnsi="Times New Roman" w:hint="default"/>
          <w:color w:val="000000"/>
          <w:sz w:val="24"/>
          <w:szCs w:val="24"/>
        </w:rPr>
      </w:pPr>
      <w:bookmarkStart w:id="46" w:name="_Toc201260041"/>
      <w:r>
        <w:rPr>
          <w:rFonts w:ascii="Times New Roman" w:hAnsi="Times New Roman" w:hint="default"/>
          <w:sz w:val="24"/>
          <w:szCs w:val="24"/>
          <w:lang w:bidi="ar"/>
        </w:rPr>
        <w:t>Patients atteints de cancer</w:t>
      </w:r>
      <w:bookmarkEnd w:id="46"/>
    </w:p>
    <w:p w14:paraId="2D6EF25A" w14:textId="77777777" w:rsidR="00B611D1" w:rsidRDefault="00FB7689">
      <w:pPr>
        <w:spacing w:line="360" w:lineRule="auto"/>
        <w:jc w:val="both"/>
        <w:rPr>
          <w:rFonts w:asciiTheme="majorBidi" w:eastAsia="Calibri" w:hAnsiTheme="majorBidi" w:cstheme="majorBidi"/>
          <w:b/>
          <w:bCs/>
          <w:kern w:val="2"/>
          <w:lang w:val="fr-FR" w:bidi="ar"/>
        </w:rPr>
      </w:pPr>
      <w:r>
        <w:rPr>
          <w:rFonts w:asciiTheme="majorBidi" w:eastAsia="TimesNewRomanPS-BoldMT" w:hAnsiTheme="majorBidi" w:cstheme="majorBidi"/>
          <w:color w:val="000000"/>
          <w:lang w:val="fr-FR"/>
        </w:rPr>
        <w:t>Les patients atteints de tumeurs malignes présentent un risque accru d'infections bactériennes, en raison de leur état d'immunodépression lié à plusieurs facteurs :</w:t>
      </w:r>
      <w:r>
        <w:rPr>
          <w:rFonts w:asciiTheme="majorBidi" w:eastAsia="serif" w:hAnsiTheme="majorBidi" w:cstheme="majorBidi"/>
          <w:color w:val="222222"/>
          <w:shd w:val="clear" w:color="auto" w:fill="FFFFFF"/>
          <w:lang w:val="fr-FR"/>
        </w:rPr>
        <w:t xml:space="preserve"> malnutrition, des procédures invasives, de la chirurgie, de la radiothérapie et de certaines nouvelles modalités de traitement </w:t>
      </w:r>
      <w:r>
        <w:rPr>
          <w:rFonts w:asciiTheme="majorBidi" w:eastAsia="Calibri" w:hAnsiTheme="majorBidi" w:cstheme="majorBidi"/>
          <w:b/>
          <w:bCs/>
          <w:lang w:val="fr" w:bidi="ar"/>
        </w:rPr>
        <w:fldChar w:fldCharType="begin"/>
      </w:r>
      <w:r>
        <w:rPr>
          <w:rFonts w:asciiTheme="majorBidi" w:eastAsia="Calibri" w:hAnsiTheme="majorBidi" w:cstheme="majorBidi"/>
          <w:b/>
          <w:bCs/>
          <w:lang w:val="fr" w:bidi="ar"/>
        </w:rPr>
        <w:instrText xml:space="preserve"> ADDIN ZOTERO_ITEM CSL_CITATION {"citationID":"PQyiuPMv","properties":{"formattedCitation":"(Jiang et al., 2020)","plainCitation":"(Jiang et al., 2020)","noteIndex":0},"citationItems":[{"id":116,"uris":["http://zotero.org/users/16279382/items/QV34QPGR"],"itemData":{"id":116,"type":"article-journal","abstract":"Bacterial infections are the most frequent complications in patients with malignancy, and the epidemiology of nosocomial infections among cancer patients has changed over time. This study aimed to evaluate the characteristics, antibiotic resistance patterns, and prognosis of nosocomial infections due to multidrug-resistant (MDR) bacteria in cancer patients.","container-title":"BMC Infectious Diseases","DOI":"10.1186/s12879-020-05181-6","ISSN":"1471-2334","issue":"1","journalAbbreviation":"BMC Infect Dis","language":"en","page":"452","source":"Springer Link","title":"Nosocomial infections due to multidrug-resistant bacteria in cancer patients: a six-year retrospective study of an oncology Center in Western China","title-short":"Nosocomial infections due to multidrug-resistant bacteria in cancer patients","volume":"20","author":[{"family":"Jiang","given":"Ai-Min"},{"family":"Shi","given":"Xin"},{"family":"Liu","given":"Na"},{"family":"Gao","given":"Huan"},{"family":"Ren","given":"Meng-Di"},{"family":"Zheng","given":"Xiao-Qiang"},{"family":"Fu","given":"Xiao"},{"family":"Liang","given":"Xuan"},{"family":"Ruan","given":"Zhi-Ping"},{"family":"Yao","given":"Yu"},{"family":"Tian","given":"Tao"}],"issued":{"date-parts":[["2020",6,29]]}}}],"schema":"https://github.com/citation-style-language/schema/raw/master/csl-citation.json"} </w:instrText>
      </w:r>
      <w:r>
        <w:rPr>
          <w:rFonts w:asciiTheme="majorBidi" w:eastAsia="Calibri" w:hAnsiTheme="majorBidi" w:cstheme="majorBidi"/>
          <w:b/>
          <w:bCs/>
          <w:lang w:val="fr" w:bidi="ar"/>
        </w:rPr>
        <w:fldChar w:fldCharType="separate"/>
      </w:r>
      <w:r>
        <w:rPr>
          <w:rFonts w:asciiTheme="majorBidi" w:eastAsia="Calibri" w:hAnsiTheme="majorBidi" w:cstheme="majorBidi"/>
          <w:b/>
          <w:bCs/>
          <w:lang w:val="fr" w:bidi="ar"/>
        </w:rPr>
        <w:t xml:space="preserve">(Jiang </w:t>
      </w:r>
      <w:r>
        <w:rPr>
          <w:rFonts w:asciiTheme="majorBidi" w:eastAsia="Calibri" w:hAnsiTheme="majorBidi" w:cstheme="majorBidi"/>
          <w:b/>
          <w:bCs/>
          <w:i/>
          <w:iCs/>
          <w:lang w:val="fr" w:bidi="ar"/>
        </w:rPr>
        <w:t>et al</w:t>
      </w:r>
      <w:r>
        <w:rPr>
          <w:rFonts w:asciiTheme="majorBidi" w:eastAsia="Calibri" w:hAnsiTheme="majorBidi" w:cstheme="majorBidi"/>
          <w:b/>
          <w:bCs/>
          <w:lang w:val="fr" w:bidi="ar"/>
        </w:rPr>
        <w:t>., 2020)</w:t>
      </w:r>
      <w:r>
        <w:rPr>
          <w:rFonts w:asciiTheme="majorBidi" w:eastAsia="Calibri" w:hAnsiTheme="majorBidi" w:cstheme="majorBidi"/>
          <w:b/>
          <w:bCs/>
          <w:lang w:val="fr" w:bidi="ar"/>
        </w:rPr>
        <w:fldChar w:fldCharType="end"/>
      </w:r>
      <w:r>
        <w:rPr>
          <w:rFonts w:asciiTheme="majorBidi" w:eastAsia="serif" w:hAnsiTheme="majorBidi" w:cstheme="majorBidi"/>
          <w:color w:val="222222"/>
          <w:shd w:val="clear" w:color="auto" w:fill="FFFFFF"/>
          <w:lang w:val="fr-FR"/>
        </w:rPr>
        <w:t xml:space="preserve">. De même, l'effet des traitements anticancéreux, tels que la chimiothérapie, qui cible et détruit les cellules tumorales mais impacte également négativement les cellules saines, en particulier les cellules immunitaires, réduisant ainsi la capacité de l'organisme à lutter contre les infections </w:t>
      </w:r>
      <w:r>
        <w:rPr>
          <w:rFonts w:asciiTheme="majorBidi" w:eastAsia="Calibri" w:hAnsiTheme="majorBidi" w:cstheme="majorBidi"/>
          <w:b/>
          <w:bCs/>
          <w:kern w:val="2"/>
          <w:lang w:val="fr" w:bidi="ar"/>
        </w:rPr>
        <w:fldChar w:fldCharType="begin"/>
      </w:r>
      <w:r>
        <w:rPr>
          <w:rFonts w:asciiTheme="majorBidi" w:eastAsia="Calibri" w:hAnsiTheme="majorBidi" w:cstheme="majorBidi"/>
          <w:b/>
          <w:bCs/>
          <w:kern w:val="2"/>
          <w:lang w:val="fr" w:bidi="ar"/>
        </w:rPr>
        <w:instrText xml:space="preserve"> ADDIN ZOTERO_ITEM CSL_CITATION {"citationID":"3gH9orm9","properties":{"formattedCitation":"(Joly et al., 2019)","plainCitation":"(Joly et al., 2019)","noteIndex":0},"citationItems":[{"id":321,"uris":["http://zotero.org/users/16279382/items/J4JQ9IQH"],"itemData":{"id":321,"type":"article-journal","abstract":"Résumé\nLe cancer du testicule, bien que relativement rare, est le cancer le plus fréquent et le plus curable chez l’homme jeune. Les traitements de ce cancer représentent un vrai succès avec un taux de guérison supérieur à 95 %. Cependant des effets secondaires liés à la chimiothérapie peuvent apparaître au cours ou plusieurs années après la prise en charge initiale de la maladie. Cette revue vise à mettre en évidence les complications et les effets secondaires physiques et psychologiques, survenant principalement après le traitement par chimiothérapie pour un cancer du testicule, et de proposer un plan personnalisé de l’après cancer spécifique pour les patients traités pour ce cancer. Les traitements du cancer du testicule peuvent induire des complications à court terme (asthénie, nausées, vomissements, alopécie…). Ces effets secondaires disparaissent au bout de quelques mois après la fin de la prise en charge thérapeutique. D’autres complications tardives peuvent apparaître plusieurs années après traitement. Les maladies cardiovasculaires, le syndrome métabolique et les néoplasies secondaires représentent les effets tardifs les plus sévères chez ces patients traités pour un cancer du testicule. Au vu de l’incidence de ces effets secondaires induits par la chimiothérapie, il est indispensable d’instaurer une surveillance spécifique qui doit inclure une vigilance particulière sur le risque de survenue de second cancer, un suivi des facteurs de risques cardio-vasculaires, un suivi pulmonaire et auditif, et la détection précoce de troubles psychosociaux.\nSummary\nTesticular cancers are the most frequent and the most curable cancers in young men. Treatments of these cancers represent a great success with cure rate over to 95 %. However, chemotherapy side effects may occur during or after several years post-treatment. This review aimed to highlight complications and physical and psychological side effects occurring mainly after chemotherapy treatment for testicular cancer, and to propose a personalized post-cancer plan specific for patients treated for testicular cancer. Treatments of these cancers can cause short-term complications (asthenia, nausea, vomiting, alopecia..). These side effects disappear within a few months after the end of the treatments. Late complications may occur several years post-treatment. Cardiovascular disease, metabolic syndrome and secondary neoplasia represent the most severe late effects among patients treated for testicular cancer. Given the increased incidence of these chemotherapy-induced side effects, it is indispensable to establish a specific follow up which must include a particular vigilance on the risk of occurrence of second cancer, a follow-up of the cardio-vascular risk factors, pulmonary and auditory follow-up, and early detection of psychosocial disorders.","container-title":"Bulletin du Cancer","DOI":"10.1016/j.bulcan.2019.04.004","ISSN":"0007-4551","issue":"9","journalAbbreviation":"Bulletin du Cancer","page":"805-811","source":"ScienceDirect","title":"Effets secondaires de la chimiothérapie des cancers testiculaires et suivi de l’après cancer","volume":"106","author":[{"family":"Joly","given":"Florence"},{"family":"Ahmed-Lecheheb","given":"Djihane"},{"family":"Thiery-Vuillemin","given":"Antoine"},{"family":"Orillard","given":"Emeline"},{"family":"Coquan","given":"Elodie"}],"issued":{"date-parts":[["2019",9,1]]}}}],"schema":"https://github.com/citation-style-language/schema/raw/master/csl-citation.json"} </w:instrText>
      </w:r>
      <w:r>
        <w:rPr>
          <w:rFonts w:asciiTheme="majorBidi" w:eastAsia="Calibri" w:hAnsiTheme="majorBidi" w:cstheme="majorBidi"/>
          <w:b/>
          <w:bCs/>
          <w:kern w:val="2"/>
          <w:lang w:val="fr" w:bidi="ar"/>
        </w:rPr>
        <w:fldChar w:fldCharType="separate"/>
      </w:r>
      <w:r>
        <w:rPr>
          <w:rFonts w:asciiTheme="majorBidi" w:eastAsia="Calibri" w:hAnsiTheme="majorBidi" w:cstheme="majorBidi"/>
          <w:b/>
          <w:bCs/>
          <w:kern w:val="2"/>
          <w:lang w:val="fr" w:bidi="ar"/>
        </w:rPr>
        <w:t xml:space="preserve">(Joly </w:t>
      </w:r>
      <w:r>
        <w:rPr>
          <w:rFonts w:asciiTheme="majorBidi" w:eastAsia="Calibri" w:hAnsiTheme="majorBidi" w:cstheme="majorBidi"/>
          <w:b/>
          <w:bCs/>
          <w:i/>
          <w:iCs/>
          <w:kern w:val="2"/>
          <w:lang w:val="fr" w:bidi="ar"/>
        </w:rPr>
        <w:t>et al</w:t>
      </w:r>
      <w:r>
        <w:rPr>
          <w:rFonts w:asciiTheme="majorBidi" w:eastAsia="Calibri" w:hAnsiTheme="majorBidi" w:cstheme="majorBidi"/>
          <w:b/>
          <w:bCs/>
          <w:kern w:val="2"/>
          <w:lang w:val="fr" w:bidi="ar"/>
        </w:rPr>
        <w:t>., 2019)</w:t>
      </w:r>
      <w:r>
        <w:rPr>
          <w:rFonts w:asciiTheme="majorBidi" w:eastAsia="Calibri" w:hAnsiTheme="majorBidi" w:cstheme="majorBidi"/>
          <w:b/>
          <w:bCs/>
          <w:kern w:val="2"/>
          <w:lang w:val="fr" w:bidi="ar"/>
        </w:rPr>
        <w:fldChar w:fldCharType="end"/>
      </w:r>
      <w:r>
        <w:rPr>
          <w:rFonts w:asciiTheme="majorBidi" w:eastAsia="Calibri" w:hAnsiTheme="majorBidi" w:cstheme="majorBidi"/>
          <w:b/>
          <w:bCs/>
          <w:kern w:val="2"/>
          <w:lang w:val="fr-FR" w:bidi="ar"/>
        </w:rPr>
        <w:t>.</w:t>
      </w:r>
    </w:p>
    <w:p w14:paraId="14542543" w14:textId="77777777" w:rsidR="00B611D1" w:rsidRDefault="00FB7689">
      <w:pPr>
        <w:pStyle w:val="Titre4"/>
        <w:numPr>
          <w:ilvl w:val="3"/>
          <w:numId w:val="4"/>
        </w:numPr>
        <w:spacing w:line="360" w:lineRule="auto"/>
        <w:rPr>
          <w:rFonts w:ascii="Times New Roman" w:eastAsia="TimesNewRomanPS-BoldMT" w:hAnsi="Times New Roman" w:cs="Times New Roman"/>
          <w:b/>
          <w:bCs/>
          <w:i w:val="0"/>
          <w:iCs w:val="0"/>
          <w:color w:val="auto"/>
          <w:lang w:val="fr-FR" w:eastAsia="zh-CN"/>
        </w:rPr>
      </w:pPr>
      <w:bookmarkStart w:id="47" w:name="_Toc201260042"/>
      <w:r>
        <w:rPr>
          <w:rFonts w:ascii="Times New Roman" w:hAnsi="Times New Roman" w:cs="Times New Roman"/>
          <w:b/>
          <w:bCs/>
          <w:i w:val="0"/>
          <w:iCs w:val="0"/>
          <w:color w:val="auto"/>
          <w:lang w:bidi="ar"/>
        </w:rPr>
        <w:t>Durée de séjour</w:t>
      </w:r>
      <w:bookmarkEnd w:id="47"/>
    </w:p>
    <w:p w14:paraId="7B264883" w14:textId="77777777" w:rsidR="00B611D1" w:rsidRDefault="00FB7689">
      <w:pPr>
        <w:spacing w:line="360" w:lineRule="auto"/>
        <w:jc w:val="both"/>
        <w:rPr>
          <w:rFonts w:eastAsia="Calibri"/>
          <w:b/>
          <w:bCs/>
          <w:color w:val="000000"/>
          <w:lang w:val="fr" w:bidi="ar"/>
        </w:rPr>
      </w:pPr>
      <w:r>
        <w:rPr>
          <w:rFonts w:eastAsia="Calibri"/>
          <w:color w:val="000000"/>
          <w:lang w:val="fr-FR" w:eastAsia="zh-CN"/>
        </w:rPr>
        <w:t xml:space="preserve">La durée de séjour est un facteur de risque majeur pour le développement des infections nosocomiales. Cette prolongation de l'hospitalisation expose les patients à une augmentation du risque d'infections nosocomiales, en raison de leur exposition prolongée aux agents pathogènes présents dans l'environnement hospitalier et des interventions médicales répétées </w:t>
      </w:r>
      <w:r>
        <w:rPr>
          <w:rFonts w:eastAsia="Calibri"/>
          <w:b/>
          <w:bCs/>
          <w:color w:val="000000"/>
          <w:lang w:val="fr" w:bidi="ar"/>
        </w:rPr>
        <w:fldChar w:fldCharType="begin"/>
      </w:r>
      <w:r>
        <w:rPr>
          <w:rFonts w:eastAsia="Calibri"/>
          <w:b/>
          <w:bCs/>
          <w:color w:val="000000"/>
          <w:lang w:val="fr" w:bidi="ar"/>
        </w:rPr>
        <w:instrText xml:space="preserve"> ADDIN ZOTERO_ITEM CSL_CITATION {"citationID":"dDY77NxM","properties":{"formattedCitation":"(Merzougui et al., 2018)","plainCitation":"(Merzougui et al., 2018)","noteIndex":0},"citationItems":[{"id":74,"uris":["http://zotero.org/users/16279382/items/Y55DU4KT"],"itemData":{"id":74,"type":"article-journal","abstract":"Bien que les réanimations ne comprennent en général qu’une faible proportion des lits hospitaliers; elles constituent la scène d’une forte proportion des infections nosocomiales La gestion du risque infectieux en réanimation constitue aujourd’hui une priorité; l’un des axes stratégiques prioritaires est la mise en place d’un système de surveillance épidémiologique. Nos objectifs étaient de déterminer l’incidence et les Aspects Cliniques afin d’identifier les facteurs de risque. Il s’agit d’une étude descriptive longitudinale d’incidence incluant les patients ayant dépassés 48 heures dans le service de réanimation polyvalente à l’hôpital Ibn El Jazzar de Kairouan sur une période d’une année allant de 01/03/2013 jusqu’au 28/02/2014. L’enquête a porté sur 265 patients dont l’âge moyen était 39±20 ans (18 à 93 ans) et le sexe ratio (H/F) a été de 2,48. Nous avons identifié 125 épisodes d’infections nosocomiales chez 81 malades soit une incidence de 30,6%. La densité d’incidence était de 55 infections pour 1000 jours d’hospitalisation. On a notifié une nette prédominance des pneumopathies avec une incidence de 27,73%, suivies des infections urinaires de 9,73%, des infections liées au cathétérisme veineux central 6,25% et des infections du site opératoire de 2,34%. Le taux de mortalité parmi les enquêtés a été de 28,7% avec une différence significative entre les patients infectés (44,7% des cas) et ceux non infectés (29,07%) (p &amp;lt; 10-3). Les microorganismes étaient des BGN dans 80% des cas. La prévention ne peut se concevoir que sous la forme d’une action globale et multidisciplinaire.","container-title":"Pan African Medical Journal","ISSN":"1937-8688","issue":"1","language":"en","license":"Copyright (c) 0","note":"number: 1","source":"www.ajol.info","title":"Les infections nosocomiales en milieu de réanimation: incidence annuelle et aspects cliniques au Service de Réanimation Polyvalente, Kairouan, Tunisie, 2014","title-short":"Les infections nosocomiales en milieu de réanimation","URL":"https://www.ajol.info/index.php/pamj/article/view/209254","volume":"30","author":[{"family":"Merzougui","given":"Latifa"},{"family":"Barhoumi","given":"Tarek"},{"family":"Guizani","given":"Tayeb"},{"family":"Barhoumi","given":"Hafed"},{"family":"Hannachi","given":"Hajer"},{"family":"Turki","given":"Elyess"},{"family":"Majdoub","given":"Wael"}],"accessed":{"date-parts":[["2025",3,4]]},"issued":{"date-parts":[["2018",6,20]]}}}],"schema":"https://github.com/citation-style-language/schema/raw/master/csl-citation.json"} </w:instrText>
      </w:r>
      <w:r>
        <w:rPr>
          <w:rFonts w:eastAsia="Calibri"/>
          <w:b/>
          <w:bCs/>
          <w:color w:val="000000"/>
          <w:lang w:val="fr" w:bidi="ar"/>
        </w:rPr>
        <w:fldChar w:fldCharType="separate"/>
      </w:r>
      <w:r>
        <w:rPr>
          <w:rFonts w:eastAsia="Calibri"/>
          <w:b/>
          <w:bCs/>
          <w:lang w:val="fr" w:bidi="ar"/>
        </w:rPr>
        <w:t xml:space="preserve">(Merzougui </w:t>
      </w:r>
      <w:r>
        <w:rPr>
          <w:rFonts w:eastAsia="Calibri"/>
          <w:b/>
          <w:bCs/>
          <w:i/>
          <w:iCs/>
          <w:lang w:val="fr" w:bidi="ar"/>
        </w:rPr>
        <w:t>et al</w:t>
      </w:r>
      <w:r>
        <w:rPr>
          <w:rFonts w:eastAsia="Calibri"/>
          <w:b/>
          <w:bCs/>
          <w:lang w:val="fr" w:bidi="ar"/>
        </w:rPr>
        <w:t>., 2018)</w:t>
      </w:r>
      <w:r>
        <w:rPr>
          <w:rFonts w:eastAsia="Calibri"/>
          <w:b/>
          <w:bCs/>
          <w:color w:val="000000"/>
          <w:lang w:val="fr" w:bidi="ar"/>
        </w:rPr>
        <w:fldChar w:fldCharType="end"/>
      </w:r>
      <w:r>
        <w:rPr>
          <w:rFonts w:eastAsia="Calibri"/>
          <w:b/>
          <w:bCs/>
          <w:color w:val="000000"/>
          <w:lang w:val="fr" w:bidi="ar"/>
        </w:rPr>
        <w:t>.</w:t>
      </w:r>
    </w:p>
    <w:p w14:paraId="06B8CD3E" w14:textId="77777777" w:rsidR="00B611D1" w:rsidRDefault="00FB7689">
      <w:pPr>
        <w:pStyle w:val="Titre4"/>
        <w:numPr>
          <w:ilvl w:val="3"/>
          <w:numId w:val="4"/>
        </w:numPr>
        <w:spacing w:line="360" w:lineRule="auto"/>
        <w:rPr>
          <w:rFonts w:ascii="Times New Roman" w:eastAsia="TimesNewRomanPS-BoldMT" w:hAnsi="Times New Roman" w:cs="Times New Roman"/>
          <w:b/>
          <w:bCs/>
          <w:i w:val="0"/>
          <w:iCs w:val="0"/>
          <w:color w:val="auto"/>
          <w:lang w:val="fr-FR" w:eastAsia="zh-CN"/>
        </w:rPr>
      </w:pPr>
      <w:bookmarkStart w:id="48" w:name="_Toc201260043"/>
      <w:r>
        <w:rPr>
          <w:rFonts w:ascii="Times New Roman" w:hAnsi="Times New Roman" w:cs="Times New Roman"/>
          <w:b/>
          <w:bCs/>
          <w:i w:val="0"/>
          <w:iCs w:val="0"/>
          <w:color w:val="auto"/>
          <w:lang w:val="fr" w:eastAsia="zh-CN"/>
        </w:rPr>
        <w:t>Environnement</w:t>
      </w:r>
      <w:bookmarkEnd w:id="48"/>
    </w:p>
    <w:p w14:paraId="7AA67C8A" w14:textId="77777777" w:rsidR="00B611D1" w:rsidRDefault="00FB7689">
      <w:pPr>
        <w:spacing w:line="360" w:lineRule="auto"/>
        <w:jc w:val="both"/>
        <w:rPr>
          <w:rFonts w:eastAsia="Calibri"/>
          <w:b/>
          <w:bCs/>
          <w:color w:val="000000"/>
          <w:lang w:val="fr" w:eastAsia="zh-CN"/>
        </w:rPr>
      </w:pPr>
      <w:r>
        <w:rPr>
          <w:rFonts w:eastAsia="Calibri"/>
          <w:color w:val="000000"/>
          <w:lang w:val="fr" w:eastAsia="zh-CN"/>
        </w:rPr>
        <w:t>L'environnement hospitalier joue un rôle crucial dans la transmission des infections nosocomiales.  Des études récentes ont mis en évidence plusieurs facteurs environnementaux contribuant à la propagation des agents pathogènes au sein des établissements de santé.</w:t>
      </w:r>
      <w:r>
        <w:rPr>
          <w:rFonts w:eastAsia="Calibri"/>
          <w:color w:val="000000"/>
          <w:lang w:val="fr-FR" w:eastAsia="zh-CN"/>
        </w:rPr>
        <w:t xml:space="preserve"> </w:t>
      </w:r>
      <w:r>
        <w:rPr>
          <w:rFonts w:eastAsia="Calibri"/>
          <w:color w:val="000000"/>
          <w:lang w:val="fr" w:eastAsia="zh-CN"/>
        </w:rPr>
        <w:t>Parmi ces facteurs, l'humidité excessive et l'accumulation d'eau sur les surfaces peuvent favoriser la croissance de micro-organismes tels que les moisissures et les bactéries.  Les matériaux de construction poreux, comme les carreaux de plafond et les tapis, peuvent retenir l'humidité, créant ainsi un environnement propice à la prolifération microbienne.  De plus, une ventilation inadéquate peut entraîner une mauvaise qualité de l'air intérieur, augmentant le</w:t>
      </w:r>
      <w:r>
        <w:rPr>
          <w:rFonts w:eastAsia="Calibri"/>
          <w:b/>
          <w:bCs/>
          <w:color w:val="000000"/>
          <w:lang w:val="fr" w:eastAsia="zh-CN"/>
        </w:rPr>
        <w:t xml:space="preserve"> </w:t>
      </w:r>
      <w:r>
        <w:rPr>
          <w:rFonts w:eastAsia="Calibri"/>
          <w:color w:val="000000"/>
          <w:lang w:val="fr" w:eastAsia="zh-CN"/>
        </w:rPr>
        <w:t>risque de transmission aéroportée des agents pathogènes.</w:t>
      </w:r>
      <w:r>
        <w:rPr>
          <w:rFonts w:eastAsia="Calibri"/>
          <w:color w:val="000000"/>
          <w:lang w:val="fr-FR" w:eastAsia="zh-CN"/>
        </w:rPr>
        <w:t xml:space="preserve"> </w:t>
      </w:r>
      <w:r>
        <w:rPr>
          <w:rFonts w:eastAsia="Calibri"/>
          <w:color w:val="000000"/>
          <w:lang w:val="fr" w:eastAsia="zh-CN"/>
        </w:rPr>
        <w:t xml:space="preserve">Les systèmes de plomberie défectueux ou mal entretenus peuvent également servir de réservoirs pour des bactéries pathogènes telles que </w:t>
      </w:r>
      <w:r>
        <w:rPr>
          <w:rFonts w:eastAsia="Calibri"/>
          <w:i/>
          <w:iCs/>
          <w:color w:val="000000"/>
          <w:lang w:val="fr" w:eastAsia="zh-CN"/>
        </w:rPr>
        <w:t>Legionella spp</w:t>
      </w:r>
      <w:r>
        <w:rPr>
          <w:rFonts w:eastAsia="Calibri"/>
          <w:color w:val="000000"/>
          <w:lang w:val="fr" w:eastAsia="zh-CN"/>
        </w:rPr>
        <w:t>., qui peuvent être dispersées dans l'air sous forme d'aérosols et inhalées par les patients et le personnel médical.  Les surfaces dégradées, comme la peinture écaillée, favorisent également la croissance des micro-organismes, augmentant ainsi le risque de contamination.</w:t>
      </w:r>
      <w:r>
        <w:rPr>
          <w:rFonts w:eastAsia="Calibri"/>
          <w:color w:val="000000"/>
          <w:lang w:val="fr-FR" w:eastAsia="zh-CN"/>
        </w:rPr>
        <w:t xml:space="preserve"> </w:t>
      </w:r>
      <w:r>
        <w:rPr>
          <w:rFonts w:eastAsia="Calibri"/>
          <w:color w:val="000000"/>
          <w:lang w:val="fr" w:eastAsia="zh-CN"/>
        </w:rPr>
        <w:t>Pour prévenir ces infections, il est essentiel de maintenir une maintenance régulière des systèmes de plomberie, de réparer et de remplacer les surfaces dégradées, ainsi que de surveiller en permanence la qualité de l'air et de l'eau, tout en mettant en œuvre des pratiques de nettoyage et de désinfection rigoureuses</w:t>
      </w:r>
      <w:r>
        <w:rPr>
          <w:rFonts w:eastAsia="Calibri"/>
          <w:color w:val="000000"/>
          <w:lang w:val="fr-FR" w:eastAsia="zh-CN"/>
        </w:rPr>
        <w:t xml:space="preserv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{"citationID":"EV9BnIT2","properties":{"formattedCitation":"(D\\uc0\\u8217{}Alessandro &amp; Fara, 2017)","plainCitation":"(D’Alessandro &amp; Fara, 2017)","noteIndex":0},"citationItems":[{"id":118,"uris":["http://zotero.org/users/16279382/items/YH8HYBRN"],"itemData":{"id":118,"type":"chapter","abstract":"Today, hospitals are facing difficult challenges: increasing proportion of immunologically vulnerable patients often affected by diseases requiring high complex level of healthcare; rapidly evolving medical technologies and healthcare models; and budget restrictions. All these features interfere with healthcare and can modify the risk of acquiring healthcare-associated infections (HCAIs). Therefore, HCAI prevention is a high priority for healthcare systems. Authors describe human and environmental origin of HCAIs, focusing on the modality of transmission of those airborne pathogens, including the new insight derived from the recent acquisitions about SARS and Ebola epidemiology. They also describe the state of the art about microorganism concentration (infective dose) required to determine a HCAI and the role played by other virulence factors. Finally, the effective control measures used for the prevention of airborne pathogen transmission are described, focusing mainly on the risk assessment and infection control.","container-title":"Indoor Air Quality in Healthcare Facilities","event-place":"Cham","ISBN":"978-3-319-49160-8","language":"en","note":"DOI: 10.1007/978-3-319-49160-8_4","page":"41-52","publisher":"Springer International Publishing","publisher-place":"Cham","source":"Springer Link","title":"Hospital Environments and Epidemiology of Healthcare-Associated Infections","URL":"https://doi.org/10.1007/978-3-319-49160-8_4","author":[{"family":"D’Alessandro","given":"Daniela"},{"family":"Fara","given":"Gaetano Maria"}],"editor":[{"family":"Capolongo","given":"Stefano"},{"family":"Settimo","given":"Gaetano"},{"family":"Gola","given":"Marco"}],"accessed":{"date-parts":[["2025",5,5]]},"issued":{"date-parts":[["2017"]]}}}],"schema":"https://github.com/citation-style-language/schema/raw/master/csl-citation.json"} </w:instrText>
      </w:r>
      <w:r>
        <w:rPr>
          <w:rFonts w:eastAsia="Calibri"/>
          <w:b/>
          <w:bCs/>
          <w:kern w:val="2"/>
          <w:lang w:val="fr" w:eastAsia="zh-CN" w:bidi="ar"/>
        </w:rPr>
        <w:fldChar w:fldCharType="separate"/>
      </w:r>
      <w:r>
        <w:rPr>
          <w:rFonts w:eastAsia="Calibri"/>
          <w:b/>
          <w:bCs/>
          <w:lang w:val="fr" w:eastAsia="zh-CN" w:bidi="ar"/>
        </w:rPr>
        <w:t>(D’Alessandro &amp; Fara, 2017)</w:t>
      </w:r>
      <w:r>
        <w:rPr>
          <w:rFonts w:eastAsia="Calibri"/>
          <w:b/>
          <w:bCs/>
          <w:kern w:val="2"/>
          <w:lang w:val="fr" w:eastAsia="zh-CN" w:bidi="ar"/>
        </w:rPr>
        <w:fldChar w:fldCharType="end"/>
      </w:r>
      <w:r>
        <w:rPr>
          <w:rFonts w:eastAsia="Calibri"/>
          <w:b/>
          <w:bCs/>
          <w:color w:val="000000"/>
          <w:lang w:val="fr" w:eastAsia="zh-CN"/>
        </w:rPr>
        <w:t>.</w:t>
      </w:r>
    </w:p>
    <w:p w14:paraId="6004C31A" w14:textId="77777777" w:rsidR="00B611D1" w:rsidRDefault="00FB7689">
      <w:pPr>
        <w:pStyle w:val="Titre3"/>
        <w:numPr>
          <w:ilvl w:val="2"/>
          <w:numId w:val="4"/>
        </w:numPr>
        <w:spacing w:line="360" w:lineRule="auto"/>
        <w:rPr>
          <w:rFonts w:eastAsia="TimesNewRomanPS-BoldMT"/>
          <w:color w:val="000000"/>
          <w:lang w:val="fr-FR" w:eastAsia="zh-CN"/>
        </w:rPr>
      </w:pPr>
      <w:bookmarkStart w:id="49" w:name="_Toc201260044"/>
      <w:r>
        <w:rPr>
          <w:rFonts w:eastAsia="Calibri"/>
          <w:lang w:val="fr" w:eastAsia="zh-CN"/>
        </w:rPr>
        <w:t>Mesure de prévention</w:t>
      </w:r>
      <w:r>
        <w:rPr>
          <w:rFonts w:eastAsia="Calibri"/>
          <w:lang w:val="fr-FR" w:eastAsia="zh-CN"/>
        </w:rPr>
        <w:t xml:space="preserve"> </w:t>
      </w:r>
      <w:r>
        <w:rPr>
          <w:rFonts w:eastAsia="Calibri"/>
          <w:lang w:val="fr" w:eastAsia="zh-CN"/>
        </w:rPr>
        <w:t>des infections Nosocomiales</w:t>
      </w:r>
      <w:bookmarkEnd w:id="49"/>
    </w:p>
    <w:p w14:paraId="31BD97C9" w14:textId="77777777" w:rsidR="00B611D1" w:rsidRDefault="00FB7689">
      <w:pPr>
        <w:spacing w:line="360" w:lineRule="auto"/>
        <w:jc w:val="both"/>
        <w:rPr>
          <w:rFonts w:eastAsia="Calibri"/>
          <w:color w:val="000000"/>
          <w:lang w:val="fr" w:eastAsia="zh-CN"/>
        </w:rPr>
      </w:pPr>
      <w:r>
        <w:rPr>
          <w:rFonts w:eastAsia="Calibri"/>
          <w:color w:val="000000"/>
          <w:lang w:val="fr" w:eastAsia="zh-CN"/>
        </w:rPr>
        <w:t>Les infections nosocomiales représentent un enjeu de santé publique majeur, particulièrement au sein des structures hospitalières où les patients sont souvent vulnérables en raison de leur état de santé. Leur prévention nécessite une approche globale, intégrant à la fois des mesures individuelles, environnementales et organisationnelles. Nous proposons ici une classification des mesures de prévention en deux grandes catégories : les mesures individuelles et les mesures environnementales.</w:t>
      </w:r>
    </w:p>
    <w:p w14:paraId="5174BD9B" w14:textId="77777777" w:rsidR="00B611D1" w:rsidRDefault="00FB7689">
      <w:pPr>
        <w:pStyle w:val="Titre4"/>
        <w:numPr>
          <w:ilvl w:val="3"/>
          <w:numId w:val="4"/>
        </w:numPr>
        <w:spacing w:line="360" w:lineRule="auto"/>
        <w:rPr>
          <w:rFonts w:ascii="Times New Roman" w:eastAsia="TimesNewRomanPS-BoldMT" w:hAnsi="Times New Roman" w:cs="Times New Roman"/>
          <w:b/>
          <w:bCs/>
          <w:i w:val="0"/>
          <w:iCs w:val="0"/>
          <w:color w:val="auto"/>
          <w:lang w:eastAsia="zh-CN"/>
        </w:rPr>
      </w:pPr>
      <w:bookmarkStart w:id="50" w:name="_Toc201260045"/>
      <w:r>
        <w:rPr>
          <w:rFonts w:ascii="Times New Roman" w:hAnsi="Times New Roman" w:cs="Times New Roman"/>
          <w:b/>
          <w:bCs/>
          <w:i w:val="0"/>
          <w:iCs w:val="0"/>
          <w:color w:val="auto"/>
          <w:lang w:val="fr" w:eastAsia="zh-CN"/>
        </w:rPr>
        <w:t>Individuelle</w:t>
      </w:r>
      <w:bookmarkEnd w:id="50"/>
    </w:p>
    <w:p w14:paraId="069AB702" w14:textId="77777777" w:rsidR="00B611D1" w:rsidRDefault="00FB7689">
      <w:pPr>
        <w:spacing w:line="360" w:lineRule="auto"/>
        <w:ind w:left="360"/>
        <w:jc w:val="both"/>
        <w:rPr>
          <w:rFonts w:eastAsia="Calibri"/>
          <w:color w:val="000000"/>
          <w:lang w:val="fr" w:eastAsia="zh-CN"/>
        </w:rPr>
      </w:pPr>
      <w:r>
        <w:rPr>
          <w:rFonts w:eastAsia="Calibri"/>
          <w:color w:val="000000"/>
          <w:lang w:val="fr" w:eastAsia="zh-CN"/>
        </w:rPr>
        <w:t>Les mesures individuelles visent principalement à limiter la transmission des agents infectieux par le comportement et les actions du personnel soignant, des patients et des visiteurs. Elles reposent sur la responsabilisation et la formation continue de tous les acteurs de santé.</w:t>
      </w:r>
    </w:p>
    <w:p w14:paraId="786B7714" w14:textId="77777777" w:rsidR="00B611D1" w:rsidRDefault="00FB7689">
      <w:pPr>
        <w:pStyle w:val="Titre4"/>
        <w:numPr>
          <w:ilvl w:val="4"/>
          <w:numId w:val="4"/>
        </w:numPr>
        <w:spacing w:line="360" w:lineRule="auto"/>
        <w:rPr>
          <w:rFonts w:eastAsia="Calibri"/>
          <w:b/>
          <w:bCs/>
          <w:i w:val="0"/>
          <w:iCs w:val="0"/>
          <w:color w:val="auto"/>
          <w:lang w:val="fr" w:eastAsia="zh-CN"/>
        </w:rPr>
      </w:pPr>
      <w:bookmarkStart w:id="51" w:name="_Toc201260046"/>
      <w:r>
        <w:rPr>
          <w:b/>
          <w:bCs/>
          <w:i w:val="0"/>
          <w:iCs w:val="0"/>
          <w:color w:val="auto"/>
          <w:lang w:val="fr-FR"/>
        </w:rPr>
        <w:t>Formation et sensibilisation</w:t>
      </w:r>
      <w:bookmarkEnd w:id="51"/>
    </w:p>
    <w:p w14:paraId="4DC432AD" w14:textId="77777777" w:rsidR="00B611D1" w:rsidRDefault="00FB7689">
      <w:pPr>
        <w:spacing w:after="200" w:line="360" w:lineRule="auto"/>
        <w:jc w:val="both"/>
        <w:rPr>
          <w:rFonts w:eastAsia="Calibri"/>
          <w:b/>
          <w:bCs/>
          <w:kern w:val="2"/>
          <w:lang w:val="fr" w:eastAsia="zh-CN" w:bidi="ar"/>
        </w:rPr>
      </w:pPr>
      <w:r>
        <w:rPr>
          <w:rFonts w:eastAsia="Calibri"/>
          <w:color w:val="000000"/>
          <w:lang w:val="fr" w:eastAsia="zh-CN"/>
        </w:rPr>
        <w:t xml:space="preserve">Il est impératif de mettre en œuvre des programmes réguliers de formation et de sensibilisation à l’intention du personnel de santé, couvrant les bonnes pratiques en matière d’hygiène, la manipulation adéquate des dispositifs médicaux et les techniques de prévention des infections. Cette formation ne doit pas se limiter aux professionnels, mais inclure également les patients, en les informant clairement des risques d’infections nosocomiales et des gestes qu’ils peuvent adopter pour se protéger. La compréhension partagée du risque permet une meilleure collaboration entre </w:t>
      </w:r>
      <w:r>
        <w:rPr>
          <w:rFonts w:eastAsia="Calibri"/>
          <w:lang w:val="fr" w:eastAsia="zh-CN"/>
        </w:rPr>
        <w:t xml:space="preserve">soignants et soignés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{"citationID":"hiaxgAKf","properties":{"formattedCitation":"(Mutsonziwa et al., 2024)","plainCitation":"(Mutsonziwa et al., 2024)","noteIndex":0},"citationItems":[{"id":330,"uris":["http://zotero.org/users/16279382/items/2HN4D3RD"],"itemData":{"id":330,"type":"article-journal","abstract":"Aim To systematically evaluate empirical studies investigating the influences of healthcare workers' behaviours towards infection prevention and control practices in the Coronavirus clinical space, and to appraise and synthesise these findings. Design A systematic review of the literature. Methods The review used a five-step framework described by Khan et al. (Journal of the Royal Society of Medicine, 2003, 96 and 118) of Framing questions for a review; Identifying relevant work; Assessing the quality of studies; Summarising the evidence; and Interpreting the findings. Searches were conducted in CINHAL, MEDLINE, PsychINFO, Scopus, and Google Scholar databases to retrieve relevant peer-reviewed literature published in English between 2019 and 2023. Covidence and Joanna Briggs Quality appraisal tools were used for critical assessment. To improve transparent reporting, this review used a Synthesis Without Meta-analysis (SWiM) in systematic review guidelines, as informed by Campbell et al. (BMJ, 2020, 368). Results Twenty studies were included in this review, identifying nine themes describing factors influencing HCWs' behaviours towards IPC practices in the coronavirus environment. The overarching influences emerged as knowledge-oriented, person-oriented, and environment-oriented. Conclusion Healthcare workers' responsibilities at point-of-care involve providing direct care to patients with highly transmissible infections and working in clinical settings that may be ill-designed for IPC practices, increasing the risk of transmission. Given the lack of a definitive solution to eradicate new mutant viruses and that IPC practices are the mainstay of prevention and control of transmissible, measures to improve are imperative. The identified HCWs' domains on behaviours towards IPC are critical in strategies to mitigate risks and further set an opportunity for developing an IPC model congruent with the rapid response required for HCWs during emerging or re-merging mutant virus outbreaks. This is significant, given that HCWs' preparedness with IPC practices at point-of-care is central to patient care, the workforce and community safety.","container-title":"Nursing Open","DOI":"10.1002/nop2.2132","ISSN":"2054-1058","issue":"3","language":"en","license":"© 2024 The Authors. Nursing Open published by John Wiley &amp; Sons Ltd.","note":"_eprint: https://onlinelibrary.wiley.com/doi/pdf/10.1002/nop2.2132","page":"e2132","source":"Wiley Online Library","title":"Influences of healthcare workers' behaviours towards infection prevention and control practices in the clinical setting: A systematic review","title-short":"Influences of healthcare workers' behaviours towards infection prevention and control practices in the clinical setting","volume":"11","author":[{"family":"Mutsonziwa","given":"Gift A."},{"family":"Mojab","given":"Marwa"},{"family":"Katuwal","given":"Megha"},{"family":"Glew","given":"Paul"}],"issued":{"date-parts":[["2024"]]}}}],"schema":"https://github.com/citation-style-language/schema/raw/master/csl-citation.json"}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 xml:space="preserve">(Mutsonziwa </w:t>
      </w:r>
      <w:r>
        <w:rPr>
          <w:rFonts w:eastAsia="Calibri"/>
          <w:b/>
          <w:bCs/>
          <w:i/>
          <w:iCs/>
          <w:kern w:val="2"/>
          <w:szCs w:val="22"/>
          <w:lang w:val="fr" w:eastAsia="zh-CN" w:bidi="ar"/>
        </w:rPr>
        <w:t>et al</w:t>
      </w:r>
      <w:r>
        <w:rPr>
          <w:rFonts w:eastAsia="Calibri"/>
          <w:b/>
          <w:bCs/>
          <w:kern w:val="2"/>
          <w:szCs w:val="22"/>
          <w:lang w:val="fr" w:eastAsia="zh-CN" w:bidi="ar"/>
        </w:rPr>
        <w:t>., 2024)</w:t>
      </w:r>
      <w:r>
        <w:rPr>
          <w:rFonts w:eastAsia="Calibri"/>
          <w:b/>
          <w:bCs/>
          <w:kern w:val="2"/>
          <w:lang w:val="fr" w:eastAsia="zh-CN" w:bidi="ar"/>
        </w:rPr>
        <w:fldChar w:fldCharType="end"/>
      </w:r>
      <w:r>
        <w:rPr>
          <w:rFonts w:eastAsia="Calibri"/>
          <w:b/>
          <w:bCs/>
          <w:kern w:val="2"/>
          <w:lang w:val="fr" w:eastAsia="zh-CN" w:bidi="ar"/>
        </w:rPr>
        <w:t>.</w:t>
      </w:r>
    </w:p>
    <w:p w14:paraId="7AD8ECCA" w14:textId="77777777" w:rsidR="00B611D1" w:rsidRDefault="00FB7689">
      <w:pPr>
        <w:pStyle w:val="Titre4"/>
        <w:numPr>
          <w:ilvl w:val="4"/>
          <w:numId w:val="4"/>
        </w:numPr>
        <w:spacing w:line="360" w:lineRule="auto"/>
        <w:rPr>
          <w:rFonts w:ascii="Times New Roman" w:eastAsia="Calibri" w:hAnsi="Times New Roman" w:cs="Times New Roman"/>
          <w:b/>
          <w:bCs/>
          <w:i w:val="0"/>
          <w:iCs w:val="0"/>
          <w:color w:val="auto"/>
          <w:kern w:val="2"/>
          <w:lang w:val="fr" w:eastAsia="zh-CN" w:bidi="ar"/>
        </w:rPr>
      </w:pPr>
      <w:bookmarkStart w:id="52" w:name="_Toc201260047"/>
      <w:r>
        <w:rPr>
          <w:rFonts w:ascii="Times New Roman" w:hAnsi="Times New Roman" w:cs="Times New Roman"/>
          <w:b/>
          <w:bCs/>
          <w:i w:val="0"/>
          <w:iCs w:val="0"/>
          <w:color w:val="auto"/>
          <w:lang w:val="fr-FR"/>
        </w:rPr>
        <w:t>Hygiène des mains</w:t>
      </w:r>
      <w:bookmarkEnd w:id="52"/>
    </w:p>
    <w:p w14:paraId="6F00E855" w14:textId="77777777" w:rsidR="00B611D1" w:rsidRDefault="00FB7689">
      <w:pPr>
        <w:spacing w:after="200" w:line="360" w:lineRule="auto"/>
        <w:jc w:val="both"/>
        <w:rPr>
          <w:rFonts w:eastAsia="Calibri"/>
          <w:b/>
          <w:bCs/>
          <w:kern w:val="2"/>
          <w:lang w:val="fr" w:eastAsia="zh-CN" w:bidi="ar"/>
        </w:rPr>
      </w:pPr>
      <w:r>
        <w:rPr>
          <w:rFonts w:eastAsia="Calibri"/>
          <w:color w:val="000000"/>
          <w:lang w:val="fr" w:eastAsia="zh-CN"/>
        </w:rPr>
        <w:t>Le lavage des mains constitue l’un des gestes barrières les plus efficaces pour interrompre la chaîne de transmission des agents pathogènes. Il est indispensable que le personnel de santé se lave soigneusement les mains avant et après tout contact avec un patient, ainsi qu’entre chaque acte médical ou chirurgical. Pour faciliter cette pratique, les établissements de santé doivent garantir l’accessibilité à des stations de lavage des mains bien équipées, réparties stratégiquement dans tous les services</w:t>
      </w:r>
      <w:r>
        <w:rPr>
          <w:rFonts w:eastAsia="Calibri"/>
          <w:color w:val="000000"/>
          <w:lang w:val="fr-FR" w:eastAsia="zh-CN"/>
        </w:rPr>
        <w:t xml:space="preserve"> </w:t>
      </w:r>
      <w:r>
        <w:rPr>
          <w:rFonts w:eastAsia="Calibri"/>
          <w:b/>
          <w:bCs/>
          <w:lang w:val="fr" w:bidi="ar"/>
        </w:rPr>
        <w:fldChar w:fldCharType="begin"/>
      </w:r>
      <w:r>
        <w:rPr>
          <w:rFonts w:eastAsia="Calibri"/>
          <w:b/>
          <w:bCs/>
          <w:lang w:val="fr" w:bidi="ar"/>
        </w:rPr>
        <w:instrText xml:space="preserve"> ADDIN ZOTERO_ITEM CSL_CITATION {"citationID":"PUtguQ2S","properties":{"formattedCitation":"(Dabo et al., 2022)","plainCitation":"(Dabo et al., 2022)","noteIndex":0},"citationItems":[{"id":336,"uris":["http://zotero.org/users/16279382/items/JC6T34IL"],"itemData":{"id":336,"type":"article-journal","container-title":"HEALTH SCIENCES AND DISEASE","issue":"2","source":"Google Scholar","title":"Evaluation de la pratique et des risques d’infection nosocomiale lors du sondage urinaire dans les services de médecine du CHU du Point G, à Bamako.","URL":"http://hsd-fmsb.org/index.php/hsd/article/view/3329","volume":"23","author":[{"family":"Dabo","given":"G."},{"family":"Traoré","given":"A. M."},{"family":"Touré","given":"M. K."},{"family":"Allassem-Dingambaye","given":"M."},{"family":"Sy","given":"D."},{"family":"Sogodogo","given":"D."},{"family":"Cissé","given":"T."},{"family":"Ouologuem","given":"S. D."},{"family":"Soukho-Kaya","given":"A."}],"accessed":{"date-parts":[["2025",6,10]]},"issued":{"date-parts":[["2022"]]}}}],"schema":"https://github.com/citation-style-language/schema/raw/master/csl-citation.json"}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(Dabo </w:t>
      </w:r>
      <w:r>
        <w:rPr>
          <w:rFonts w:eastAsia="Calibri"/>
          <w:b/>
          <w:bCs/>
          <w:i/>
          <w:iCs/>
          <w:szCs w:val="22"/>
          <w:lang w:val="fr" w:bidi="ar"/>
        </w:rPr>
        <w:t>et al</w:t>
      </w:r>
      <w:r>
        <w:rPr>
          <w:rFonts w:eastAsia="Calibri"/>
          <w:b/>
          <w:bCs/>
          <w:szCs w:val="22"/>
          <w:lang w:val="fr" w:bidi="ar"/>
        </w:rPr>
        <w:t>., 2022)</w:t>
      </w:r>
      <w:r>
        <w:rPr>
          <w:rFonts w:eastAsia="Calibri"/>
          <w:b/>
          <w:bCs/>
          <w:lang w:val="fr" w:bidi="ar"/>
        </w:rPr>
        <w:fldChar w:fldCharType="end"/>
      </w:r>
      <w:r>
        <w:rPr>
          <w:rFonts w:eastAsia="Calibri"/>
          <w:b/>
          <w:bCs/>
          <w:color w:val="000000"/>
          <w:lang w:val="fr" w:eastAsia="zh-CN"/>
        </w:rPr>
        <w:t>.</w:t>
      </w:r>
    </w:p>
    <w:p w14:paraId="10DDF4E6" w14:textId="77777777" w:rsidR="00B611D1" w:rsidRDefault="00FB7689">
      <w:pPr>
        <w:pStyle w:val="Titre4"/>
        <w:numPr>
          <w:ilvl w:val="4"/>
          <w:numId w:val="4"/>
        </w:numPr>
        <w:spacing w:line="360" w:lineRule="auto"/>
        <w:rPr>
          <w:rFonts w:ascii="Times New Roman" w:eastAsia="TimesNewRomanPS-BoldMT" w:hAnsi="Times New Roman" w:cs="Times New Roman"/>
          <w:b/>
          <w:bCs/>
          <w:i w:val="0"/>
          <w:iCs w:val="0"/>
          <w:color w:val="auto"/>
          <w:lang w:eastAsia="zh-CN"/>
        </w:rPr>
      </w:pPr>
      <w:bookmarkStart w:id="53" w:name="_Toc201260048"/>
      <w:r>
        <w:rPr>
          <w:rFonts w:ascii="Times New Roman" w:hAnsi="Times New Roman" w:cs="Times New Roman"/>
          <w:b/>
          <w:bCs/>
          <w:i w:val="0"/>
          <w:iCs w:val="0"/>
          <w:color w:val="auto"/>
          <w:lang w:val="fr-FR"/>
        </w:rPr>
        <w:t>Précautions standard</w:t>
      </w:r>
      <w:bookmarkEnd w:id="53"/>
    </w:p>
    <w:p w14:paraId="2E08E450" w14:textId="77777777" w:rsidR="00B611D1" w:rsidRDefault="00FB7689">
      <w:pPr>
        <w:spacing w:after="200" w:line="360" w:lineRule="auto"/>
        <w:jc w:val="both"/>
        <w:rPr>
          <w:rFonts w:eastAsia="TimesNewRomanPS-BoldMT"/>
          <w:b/>
          <w:bCs/>
          <w:color w:val="000000"/>
          <w:lang w:val="fr-FR" w:eastAsia="zh-CN"/>
        </w:rPr>
      </w:pPr>
      <w:r>
        <w:rPr>
          <w:rFonts w:asciiTheme="majorBidi" w:eastAsia="Calibri" w:hAnsiTheme="majorBidi" w:cstheme="majorBidi"/>
          <w:color w:val="000000"/>
          <w:lang w:val="fr"/>
        </w:rPr>
        <w:t xml:space="preserve">L’application stricte des précautions standard, telles que le port de gants, de masques, de lunettes de protection et de blouses, est essentielle pour se prémunir contre toute contamination. Ces équipements doivent être utilisés de manière systématique lors des soins à risque ou des manipulations de matériel potentiellement souillé, afin de prévenir la transmission croisée entre patients et de protéger les soignants eux-mêmes </w:t>
      </w:r>
      <w:r>
        <w:rPr>
          <w:rFonts w:asciiTheme="majorBidi" w:eastAsia="Calibri" w:hAnsiTheme="majorBidi" w:cstheme="majorBidi"/>
          <w:b/>
          <w:bCs/>
          <w:lang w:val="fr" w:bidi="ar"/>
        </w:rPr>
        <w:fldChar w:fldCharType="begin"/>
      </w:r>
      <w:r>
        <w:rPr>
          <w:rFonts w:asciiTheme="majorBidi" w:eastAsia="Calibri" w:hAnsiTheme="majorBidi" w:cstheme="majorBidi"/>
          <w:b/>
          <w:bCs/>
          <w:lang w:val="fr" w:bidi="ar"/>
        </w:rPr>
        <w:instrText xml:space="preserve"> ADDIN ZOTERO_ITEM CSL_CITATION {"citationID":"83EzqlAU","properties":{"formattedCitation":"(Abissi et al., 2020)","plainCitation":"(Abissi et al., 2020)","noteIndex":0},"citationItems":[{"id":338,"uris":["http://zotero.org/users/16279382/items/8E4UNNVF"],"itemData":{"id":338,"type":"report","publisher":"EPAC/CAP/UAC","source":"Google Scholar","title":"Evaluation de l’observance des précautions standards en matière d’hygiène par le personnel de l’Agence Nationale pour la Transfusion Sanguine Ouémé/Plateau.","author":[{"family":"Abissi","given":"Adjoke A."},{"family":"DEGBEY","given":"C. Cyriaque"},{"family":"ADETOLA","given":"OC"}],"issued":{"date-parts":[["2020"]]}}}],"schema":"https://github.com/citation-style-language/schema/raw/master/csl-citation.json"} </w:instrText>
      </w:r>
      <w:r>
        <w:rPr>
          <w:rFonts w:asciiTheme="majorBidi" w:eastAsia="Calibri" w:hAnsiTheme="majorBidi" w:cstheme="majorBidi"/>
          <w:b/>
          <w:bCs/>
          <w:lang w:val="fr" w:bidi="ar"/>
        </w:rPr>
        <w:fldChar w:fldCharType="separate"/>
      </w:r>
      <w:r>
        <w:rPr>
          <w:rFonts w:asciiTheme="majorBidi" w:eastAsia="Calibri" w:hAnsiTheme="majorBidi" w:cstheme="majorBidi"/>
          <w:b/>
          <w:bCs/>
          <w:lang w:val="fr" w:bidi="ar"/>
        </w:rPr>
        <w:t xml:space="preserve">(Abissi </w:t>
      </w:r>
      <w:r>
        <w:rPr>
          <w:rFonts w:asciiTheme="majorBidi" w:eastAsia="Calibri" w:hAnsiTheme="majorBidi" w:cstheme="majorBidi"/>
          <w:b/>
          <w:bCs/>
          <w:i/>
          <w:iCs/>
          <w:lang w:val="fr" w:bidi="ar"/>
        </w:rPr>
        <w:t>et al</w:t>
      </w:r>
      <w:r>
        <w:rPr>
          <w:rFonts w:asciiTheme="majorBidi" w:eastAsia="Calibri" w:hAnsiTheme="majorBidi" w:cstheme="majorBidi"/>
          <w:b/>
          <w:bCs/>
          <w:lang w:val="fr" w:bidi="ar"/>
        </w:rPr>
        <w:t>., 2020)</w:t>
      </w:r>
      <w:r>
        <w:rPr>
          <w:rFonts w:asciiTheme="majorBidi" w:eastAsia="Calibri" w:hAnsiTheme="majorBidi" w:cstheme="majorBidi"/>
          <w:b/>
          <w:bCs/>
          <w:lang w:val="fr" w:bidi="ar"/>
        </w:rPr>
        <w:fldChar w:fldCharType="end"/>
      </w:r>
      <w:r>
        <w:rPr>
          <w:rFonts w:asciiTheme="majorBidi" w:eastAsia="Calibri" w:hAnsiTheme="majorBidi" w:cstheme="majorBidi"/>
          <w:b/>
          <w:bCs/>
          <w:color w:val="000000"/>
          <w:lang w:val="fr"/>
        </w:rPr>
        <w:t>.</w:t>
      </w:r>
    </w:p>
    <w:p w14:paraId="262B92DA" w14:textId="77777777" w:rsidR="00B611D1" w:rsidRDefault="00FB7689">
      <w:pPr>
        <w:pStyle w:val="Titre4"/>
        <w:numPr>
          <w:ilvl w:val="4"/>
          <w:numId w:val="4"/>
        </w:numPr>
        <w:spacing w:line="360" w:lineRule="auto"/>
        <w:rPr>
          <w:rFonts w:ascii="Times New Roman" w:eastAsia="TimesNewRomanPS-BoldMT" w:hAnsi="Times New Roman" w:cs="Times New Roman"/>
          <w:b/>
          <w:bCs/>
          <w:i w:val="0"/>
          <w:iCs w:val="0"/>
          <w:color w:val="auto"/>
          <w:lang w:val="fr-FR"/>
        </w:rPr>
      </w:pPr>
      <w:bookmarkStart w:id="54" w:name="_Toc201260049"/>
      <w:r>
        <w:rPr>
          <w:rFonts w:ascii="Times New Roman" w:hAnsi="Times New Roman" w:cs="Times New Roman"/>
          <w:b/>
          <w:bCs/>
          <w:i w:val="0"/>
          <w:iCs w:val="0"/>
          <w:color w:val="auto"/>
          <w:lang w:val="fr-FR"/>
        </w:rPr>
        <w:t>Utilisation appropriée des antibiotiques</w:t>
      </w:r>
      <w:bookmarkEnd w:id="54"/>
    </w:p>
    <w:p w14:paraId="70AD7B1A" w14:textId="77777777" w:rsidR="00B611D1" w:rsidRDefault="00FB7689">
      <w:pPr>
        <w:spacing w:line="360" w:lineRule="auto"/>
        <w:jc w:val="both"/>
        <w:rPr>
          <w:rFonts w:eastAsia="Calibri"/>
          <w:b/>
          <w:bCs/>
          <w:color w:val="000000"/>
          <w:lang w:val="fr" w:eastAsia="zh-CN"/>
        </w:rPr>
      </w:pPr>
      <w:r>
        <w:rPr>
          <w:rFonts w:eastAsia="Calibri"/>
          <w:color w:val="000000"/>
          <w:lang w:val="fr" w:eastAsia="zh-CN"/>
        </w:rPr>
        <w:t>La gestion prudente des traitements antibiotiques représente un pilier fondamental dans la lutte contre les infections nosocomiales, notamment en raison de la montée alarmante des résistances bactériennes. Il convient d’encourager une prescription raisonnée, basée sur des protocoles actualisés et sur les résultats des tests de sensibilité. Cette stratégie permet non seulement de préserver l'efficacité des antibiotiques, mais aussi de limiter la sélection de souches résistantes</w:t>
      </w:r>
      <w:r>
        <w:rPr>
          <w:rFonts w:eastAsia="Calibri"/>
          <w:color w:val="000000"/>
          <w:lang w:val="fr-FR" w:eastAsia="zh-CN"/>
        </w:rPr>
        <w:t xml:space="preserve"> </w:t>
      </w:r>
      <w:r>
        <w:rPr>
          <w:rFonts w:eastAsia="Calibri"/>
          <w:b/>
          <w:bCs/>
          <w:lang w:val="fr" w:bidi="ar"/>
        </w:rPr>
        <w:fldChar w:fldCharType="begin"/>
      </w:r>
      <w:r>
        <w:rPr>
          <w:rFonts w:eastAsia="Calibri"/>
          <w:b/>
          <w:bCs/>
          <w:lang w:val="fr" w:bidi="ar"/>
        </w:rPr>
        <w:instrText xml:space="preserve"> ADDIN ZOTERO_ITEM CSL_CITATION {"citationID":"p4y6npTb","properties":{"formattedCitation":"(Urban et al., 2021)","plainCitation":"(Urban et al., 2021)","noteIndex":0},"citationItems":[{"id":339,"uris":["http://zotero.org/users/16279382/items/EYS3TQ5Z"],"itemData":{"id":339,"type":"article-journal","abstract":"Une enquête web a été mise en place auprès des praticiens vétérinaires en France. En se référant à leur propre pratique, les 467 vétérinaires ayant participé ont considéré l’évolution de leurs prescriptions d’antibiotiques en 2020 par rapport à 2019, ainsi que l’évolution de l’incidence de certaines maladies par espèce animale.","container-title":"Epidémiologie et Santé Animale","issue":"92","language":"fr","page":"1","source":"anses.hal.science","title":"Contextes sanitaire et économique en médecine vétérinaire et utilisation d'antibiotiques en France en 2020","author":[{"family":"Urban","given":"Delphine"},{"family":"Chevance","given":"Anne"},{"family":"Georgeais","given":"Maryse"},{"family":"Bietrix","given":"Jacques"},{"family":"Bastien","given":"Jacqueline"},{"family":"Grisot","given":"Lionel"},{"family":"Hugnet","given":"Christophe"},{"family":"Salandre","given":"Olivier"},{"family":"Sauzea","given":"Xavier"},{"family":"Moulin","given":"Gérard"}],"issued":{"date-parts":[["2021",10,18]]}}}],"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(Urban </w:t>
      </w:r>
      <w:r>
        <w:rPr>
          <w:rFonts w:eastAsia="Calibri"/>
          <w:b/>
          <w:bCs/>
          <w:i/>
          <w:iCs/>
          <w:szCs w:val="22"/>
          <w:lang w:val="fr" w:bidi="ar"/>
        </w:rPr>
        <w:t>et al</w:t>
      </w:r>
      <w:r>
        <w:rPr>
          <w:rFonts w:eastAsia="Calibri"/>
          <w:b/>
          <w:bCs/>
          <w:szCs w:val="22"/>
          <w:lang w:val="fr" w:bidi="ar"/>
        </w:rPr>
        <w:t>., 2021)</w:t>
      </w:r>
      <w:r>
        <w:rPr>
          <w:rFonts w:eastAsia="Calibri"/>
          <w:b/>
          <w:bCs/>
          <w:lang w:val="fr" w:bidi="ar"/>
        </w:rPr>
        <w:fldChar w:fldCharType="end"/>
      </w:r>
      <w:r>
        <w:rPr>
          <w:rFonts w:eastAsia="Calibri"/>
          <w:color w:val="000000"/>
          <w:lang w:val="fr" w:eastAsia="zh-CN"/>
        </w:rPr>
        <w:t xml:space="preserve"> </w:t>
      </w:r>
      <w:r>
        <w:rPr>
          <w:rFonts w:eastAsia="Calibri"/>
          <w:b/>
          <w:bCs/>
          <w:color w:val="000000"/>
          <w:lang w:val="fr" w:eastAsia="zh-CN"/>
        </w:rPr>
        <w:t xml:space="preserve">. </w:t>
      </w:r>
    </w:p>
    <w:p w14:paraId="4A588057" w14:textId="77777777" w:rsidR="00B611D1" w:rsidRDefault="00B611D1">
      <w:pPr>
        <w:spacing w:line="360" w:lineRule="auto"/>
        <w:jc w:val="both"/>
        <w:rPr>
          <w:rFonts w:eastAsia="Calibri"/>
          <w:b/>
          <w:bCs/>
          <w:color w:val="000000"/>
          <w:lang w:val="fr" w:eastAsia="zh-CN"/>
        </w:rPr>
      </w:pPr>
    </w:p>
    <w:p w14:paraId="40407906" w14:textId="77777777" w:rsidR="00B611D1" w:rsidRDefault="00B611D1">
      <w:pPr>
        <w:pStyle w:val="Paragraphedeliste"/>
        <w:keepNext/>
        <w:keepLines/>
        <w:numPr>
          <w:ilvl w:val="0"/>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55" w:name="_Toc201260050"/>
      <w:bookmarkEnd w:id="55"/>
    </w:p>
    <w:p w14:paraId="046FB8D8" w14:textId="77777777" w:rsidR="00B611D1" w:rsidRDefault="00B611D1">
      <w:pPr>
        <w:pStyle w:val="Paragraphedeliste"/>
        <w:keepNext/>
        <w:keepLines/>
        <w:numPr>
          <w:ilvl w:val="2"/>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56" w:name="_Toc201260051"/>
      <w:bookmarkEnd w:id="56"/>
    </w:p>
    <w:p w14:paraId="4D12EBE4" w14:textId="77777777" w:rsidR="00B611D1" w:rsidRDefault="00B611D1">
      <w:pPr>
        <w:pStyle w:val="Paragraphedeliste"/>
        <w:keepNext/>
        <w:keepLines/>
        <w:numPr>
          <w:ilvl w:val="2"/>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57" w:name="_Toc201260052"/>
      <w:bookmarkEnd w:id="57"/>
    </w:p>
    <w:p w14:paraId="69F07739" w14:textId="77777777" w:rsidR="00B611D1" w:rsidRDefault="00B611D1">
      <w:pPr>
        <w:pStyle w:val="Paragraphedeliste"/>
        <w:keepNext/>
        <w:keepLines/>
        <w:numPr>
          <w:ilvl w:val="2"/>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58" w:name="_Toc201260053"/>
      <w:bookmarkEnd w:id="58"/>
    </w:p>
    <w:p w14:paraId="491AA70A" w14:textId="77777777" w:rsidR="00B611D1" w:rsidRDefault="00B611D1">
      <w:pPr>
        <w:pStyle w:val="Paragraphedeliste"/>
        <w:keepNext/>
        <w:keepLines/>
        <w:numPr>
          <w:ilvl w:val="2"/>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59" w:name="_Toc201260054"/>
      <w:bookmarkEnd w:id="59"/>
    </w:p>
    <w:p w14:paraId="1E87029A" w14:textId="77777777" w:rsidR="00B611D1" w:rsidRDefault="00B611D1">
      <w:pPr>
        <w:pStyle w:val="Paragraphedeliste"/>
        <w:keepNext/>
        <w:keepLines/>
        <w:numPr>
          <w:ilvl w:val="2"/>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60" w:name="_Toc201260055"/>
      <w:bookmarkEnd w:id="60"/>
    </w:p>
    <w:p w14:paraId="3C7B8ADD" w14:textId="77777777" w:rsidR="00B611D1" w:rsidRDefault="00B611D1">
      <w:pPr>
        <w:pStyle w:val="Paragraphedeliste"/>
        <w:keepNext/>
        <w:keepLines/>
        <w:numPr>
          <w:ilvl w:val="2"/>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61" w:name="_Toc201260056"/>
      <w:bookmarkEnd w:id="61"/>
    </w:p>
    <w:p w14:paraId="6A8B0D9C" w14:textId="77777777" w:rsidR="00B611D1" w:rsidRDefault="00B611D1">
      <w:pPr>
        <w:pStyle w:val="Paragraphedeliste"/>
        <w:keepNext/>
        <w:keepLines/>
        <w:numPr>
          <w:ilvl w:val="2"/>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62" w:name="_Toc201260057"/>
      <w:bookmarkEnd w:id="62"/>
    </w:p>
    <w:p w14:paraId="739604E4" w14:textId="77777777" w:rsidR="00B611D1" w:rsidRDefault="00B611D1">
      <w:pPr>
        <w:pStyle w:val="Paragraphedeliste"/>
        <w:keepNext/>
        <w:keepLines/>
        <w:numPr>
          <w:ilvl w:val="3"/>
          <w:numId w:val="5"/>
        </w:numPr>
        <w:spacing w:before="40" w:line="360" w:lineRule="auto"/>
        <w:outlineLvl w:val="3"/>
        <w:rPr>
          <w:rFonts w:asciiTheme="majorHAnsi" w:eastAsiaTheme="majorEastAsia" w:hAnsiTheme="majorHAnsi" w:cstheme="majorBidi"/>
          <w:i/>
          <w:iCs/>
          <w:vanish/>
          <w:color w:val="365F91" w:themeColor="accent1" w:themeShade="BF"/>
          <w:lang w:val="fr" w:eastAsia="zh-CN"/>
        </w:rPr>
      </w:pPr>
      <w:bookmarkStart w:id="63" w:name="_Toc201260058"/>
      <w:bookmarkEnd w:id="63"/>
    </w:p>
    <w:p w14:paraId="5D469C42" w14:textId="77777777" w:rsidR="00B611D1" w:rsidRDefault="00FB7689">
      <w:pPr>
        <w:pStyle w:val="Titre4"/>
        <w:numPr>
          <w:ilvl w:val="3"/>
          <w:numId w:val="5"/>
        </w:numPr>
        <w:spacing w:line="360" w:lineRule="auto"/>
        <w:rPr>
          <w:rFonts w:ascii="Times New Roman" w:eastAsia="TimesNewRomanPS-BoldMT" w:hAnsi="Times New Roman" w:cs="Times New Roman"/>
          <w:b/>
          <w:bCs/>
          <w:i w:val="0"/>
          <w:iCs w:val="0"/>
          <w:color w:val="auto"/>
          <w:lang w:val="fr-FR" w:eastAsia="zh-CN"/>
        </w:rPr>
      </w:pPr>
      <w:bookmarkStart w:id="64" w:name="_Toc201260059"/>
      <w:r>
        <w:rPr>
          <w:rFonts w:ascii="Times New Roman" w:hAnsi="Times New Roman" w:cs="Times New Roman"/>
          <w:b/>
          <w:bCs/>
          <w:i w:val="0"/>
          <w:iCs w:val="0"/>
          <w:color w:val="auto"/>
          <w:lang w:val="fr" w:eastAsia="zh-CN"/>
        </w:rPr>
        <w:t>Environnementale</w:t>
      </w:r>
      <w:bookmarkEnd w:id="64"/>
    </w:p>
    <w:p w14:paraId="78E56C83" w14:textId="77777777" w:rsidR="00B611D1" w:rsidRDefault="00FB7689">
      <w:pPr>
        <w:pStyle w:val="Titre4"/>
        <w:numPr>
          <w:ilvl w:val="4"/>
          <w:numId w:val="5"/>
        </w:numPr>
        <w:spacing w:line="360" w:lineRule="auto"/>
        <w:rPr>
          <w:rFonts w:ascii="Times New Roman" w:eastAsia="TimesNewRomanPS-BoldMT" w:hAnsi="Times New Roman" w:cs="Times New Roman"/>
          <w:b/>
          <w:bCs/>
          <w:i w:val="0"/>
          <w:iCs w:val="0"/>
          <w:color w:val="auto"/>
          <w:lang w:eastAsia="zh-CN"/>
        </w:rPr>
      </w:pPr>
      <w:bookmarkStart w:id="65" w:name="_Toc201260060"/>
      <w:r>
        <w:rPr>
          <w:rFonts w:ascii="Times New Roman" w:hAnsi="Times New Roman" w:cs="Times New Roman"/>
          <w:b/>
          <w:bCs/>
          <w:i w:val="0"/>
          <w:iCs w:val="0"/>
          <w:color w:val="auto"/>
          <w:lang w:val="fr-FR"/>
        </w:rPr>
        <w:t>Contrôle de l’environnement</w:t>
      </w:r>
      <w:bookmarkEnd w:id="65"/>
    </w:p>
    <w:p w14:paraId="1480C3F2" w14:textId="77777777" w:rsidR="00B611D1" w:rsidRDefault="00FB7689">
      <w:pPr>
        <w:spacing w:line="360" w:lineRule="auto"/>
        <w:jc w:val="both"/>
        <w:rPr>
          <w:rFonts w:eastAsia="Calibri"/>
          <w:b/>
          <w:bCs/>
          <w:lang w:val="fr" w:eastAsia="zh-CN"/>
        </w:rPr>
      </w:pPr>
      <w:r>
        <w:rPr>
          <w:rFonts w:eastAsia="Calibri"/>
          <w:color w:val="000000"/>
          <w:lang w:val="fr" w:eastAsia="zh-CN"/>
        </w:rPr>
        <w:t>Il est essentiel de maintenir un environnement hospitalier propre, désinfecté et conforme aux normes d’hygiène en vigueur. Cela implique des procédures rigoureuses de nettoyage et de désinfection des chambres, des équipements médicaux, du mobilier, ainsi que de toutes les surfaces fréquemment touchées.</w:t>
      </w:r>
      <w:r>
        <w:rPr>
          <w:rFonts w:eastAsia="Calibri"/>
          <w:color w:val="000000"/>
          <w:lang w:val="fr-FR" w:eastAsia="zh-CN"/>
        </w:rPr>
        <w:t xml:space="preserve"> </w:t>
      </w:r>
      <w:r>
        <w:rPr>
          <w:rFonts w:eastAsia="Calibri"/>
          <w:color w:val="000000"/>
          <w:lang w:val="fr" w:eastAsia="zh-CN"/>
        </w:rPr>
        <w:t xml:space="preserve">En parallèle, une attention particulière doit être accordée à la qualité de l’air, à la ventilation des locaux, ainsi qu’à la gestion de l’eau, éléments souvent négligés mais susceptibles de favoriser la prolifération de certains </w:t>
      </w:r>
      <w:r>
        <w:rPr>
          <w:rFonts w:eastAsia="Calibri"/>
          <w:color w:val="000000"/>
          <w:lang w:val="fr-FR" w:eastAsia="zh-CN"/>
        </w:rPr>
        <w:t>micro-organisme</w:t>
      </w:r>
      <w:r>
        <w:rPr>
          <w:rFonts w:eastAsia="Calibri"/>
          <w:color w:val="000000"/>
          <w:lang w:val="fr" w:eastAsia="zh-CN"/>
        </w:rPr>
        <w:t xml:space="preserve"> pathogènes </w:t>
      </w:r>
      <w:r>
        <w:rPr>
          <w:rFonts w:eastAsia="Calibri"/>
          <w:b/>
          <w:bCs/>
          <w:lang w:val="fr" w:bidi="ar"/>
        </w:rPr>
        <w:fldChar w:fldCharType="begin"/>
      </w:r>
      <w:r>
        <w:rPr>
          <w:rFonts w:eastAsia="Calibri"/>
          <w:b/>
          <w:bCs/>
          <w:lang w:val="fr" w:bidi="ar"/>
        </w:rPr>
        <w:instrText xml:space="preserve"> ADDIN ZOTERO_ITEM CSL_CITATION {"citationID":"Gb8XtdrB","properties":{"formattedCitation":"(Chaib et al., 2016)","plainCitation":"(Chaib et al., 2016)","noteIndex":0},"citationItems":[{"id":344,"uris":["http://zotero.org/users/16279382/items/PAMN5S5R"],"itemData":{"id":344,"type":"article-journal","container-title":"International Journal of Innovation and Applied Studies","issue":"2","note":"publisher: International Journal of Innovation and Applied Studies","page":"472","source":"Google Scholar","title":"Les facteurs liés aux patients hospitalisés favorisant l'infection nosocomiale [The factors related to the patients hospitalized favoured nosocomial infections]","volume":"14","author":[{"family":"Chaib","given":"Yassine"},{"family":"ELanssari","given":"Anas"},{"family":"Aouane","given":"Mahjoub"},{"family":"Hamama","given":"Samir"},{"family":"Oujar","given":"Nabila"},{"family":"Chakhtoura","given":"Khalid"},{"family":"Chibani","given":"Abdelkader"},{"family":"Nehir","given":"Marieme"},{"family":"Soulaymani","given":"Abdelmajid"}],"issued":{"date-parts":[["2016"]]}}}],"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(Chaib </w:t>
      </w:r>
      <w:r>
        <w:rPr>
          <w:rFonts w:eastAsia="Calibri"/>
          <w:b/>
          <w:bCs/>
          <w:i/>
          <w:iCs/>
          <w:szCs w:val="22"/>
          <w:lang w:val="fr" w:bidi="ar"/>
        </w:rPr>
        <w:t>et al</w:t>
      </w:r>
      <w:r>
        <w:rPr>
          <w:rFonts w:eastAsia="Calibri"/>
          <w:b/>
          <w:bCs/>
          <w:szCs w:val="22"/>
          <w:lang w:val="fr" w:bidi="ar"/>
        </w:rPr>
        <w:t>., 2016)</w:t>
      </w:r>
      <w:r>
        <w:rPr>
          <w:rFonts w:eastAsia="Calibri"/>
          <w:b/>
          <w:bCs/>
          <w:lang w:val="fr" w:bidi="ar"/>
        </w:rPr>
        <w:fldChar w:fldCharType="end"/>
      </w:r>
      <w:r>
        <w:rPr>
          <w:rFonts w:eastAsia="Calibri"/>
          <w:b/>
          <w:bCs/>
          <w:lang w:val="fr" w:eastAsia="zh-CN"/>
        </w:rPr>
        <w:t>.</w:t>
      </w:r>
    </w:p>
    <w:p w14:paraId="2AE9D330" w14:textId="77777777" w:rsidR="00B611D1" w:rsidRDefault="00B611D1">
      <w:pPr>
        <w:pStyle w:val="Paragraphedeliste"/>
        <w:keepNext/>
        <w:keepLines/>
        <w:numPr>
          <w:ilvl w:val="0"/>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66" w:name="_Toc201260061"/>
      <w:bookmarkEnd w:id="66"/>
    </w:p>
    <w:p w14:paraId="67579BB9"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67" w:name="_Toc201260062"/>
      <w:bookmarkEnd w:id="67"/>
    </w:p>
    <w:p w14:paraId="26FDE665"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68" w:name="_Toc201260063"/>
      <w:bookmarkEnd w:id="68"/>
    </w:p>
    <w:p w14:paraId="757C7087"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69" w:name="_Toc201260064"/>
      <w:bookmarkEnd w:id="69"/>
    </w:p>
    <w:p w14:paraId="41F5E1F4"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70" w:name="_Toc201260065"/>
      <w:bookmarkEnd w:id="70"/>
    </w:p>
    <w:p w14:paraId="10EA31AC"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71" w:name="_Toc201260066"/>
      <w:bookmarkEnd w:id="71"/>
    </w:p>
    <w:p w14:paraId="038059C5"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72" w:name="_Toc201260067"/>
      <w:bookmarkEnd w:id="72"/>
    </w:p>
    <w:p w14:paraId="6E009C93"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73" w:name="_Toc201260068"/>
      <w:bookmarkEnd w:id="73"/>
    </w:p>
    <w:p w14:paraId="2883B495" w14:textId="77777777" w:rsidR="00B611D1" w:rsidRDefault="00B611D1">
      <w:pPr>
        <w:pStyle w:val="Paragraphedeliste"/>
        <w:keepNext/>
        <w:keepLines/>
        <w:numPr>
          <w:ilvl w:val="3"/>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74" w:name="_Toc201260069"/>
      <w:bookmarkEnd w:id="74"/>
    </w:p>
    <w:p w14:paraId="5FB3714C" w14:textId="77777777" w:rsidR="00B611D1" w:rsidRDefault="00B611D1">
      <w:pPr>
        <w:pStyle w:val="Paragraphedeliste"/>
        <w:keepNext/>
        <w:keepLines/>
        <w:numPr>
          <w:ilvl w:val="3"/>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75" w:name="_Toc201260070"/>
      <w:bookmarkEnd w:id="75"/>
    </w:p>
    <w:p w14:paraId="020E6128" w14:textId="77777777" w:rsidR="00B611D1" w:rsidRDefault="00B611D1">
      <w:pPr>
        <w:pStyle w:val="Paragraphedeliste"/>
        <w:keepNext/>
        <w:keepLines/>
        <w:numPr>
          <w:ilvl w:val="4"/>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76" w:name="_Toc201260071"/>
      <w:bookmarkEnd w:id="76"/>
    </w:p>
    <w:p w14:paraId="7CB1E843" w14:textId="77777777" w:rsidR="00B611D1" w:rsidRDefault="00FB7689">
      <w:pPr>
        <w:pStyle w:val="Titre4"/>
        <w:numPr>
          <w:ilvl w:val="4"/>
          <w:numId w:val="6"/>
        </w:numPr>
        <w:spacing w:line="360" w:lineRule="auto"/>
        <w:rPr>
          <w:rFonts w:eastAsia="TimesNewRomanPS-BoldMT"/>
          <w:b/>
          <w:bCs/>
          <w:i w:val="0"/>
          <w:iCs w:val="0"/>
          <w:color w:val="auto"/>
          <w:lang w:val="fr-FR"/>
        </w:rPr>
      </w:pPr>
      <w:bookmarkStart w:id="77" w:name="_Toc201260072"/>
      <w:r>
        <w:rPr>
          <w:b/>
          <w:bCs/>
          <w:i w:val="0"/>
          <w:iCs w:val="0"/>
          <w:color w:val="auto"/>
          <w:lang w:val="fr-FR"/>
        </w:rPr>
        <w:t>Surveillance et suivi</w:t>
      </w:r>
      <w:bookmarkEnd w:id="77"/>
    </w:p>
    <w:p w14:paraId="50283D0A" w14:textId="77777777" w:rsidR="00B611D1" w:rsidRDefault="00FB7689">
      <w:pPr>
        <w:spacing w:line="360" w:lineRule="auto"/>
        <w:ind w:left="360"/>
        <w:jc w:val="both"/>
        <w:rPr>
          <w:rFonts w:eastAsia="TimesNewRomanPS-BoldMT"/>
          <w:color w:val="000000"/>
          <w:lang w:val="fr-FR" w:eastAsia="zh-CN"/>
        </w:rPr>
      </w:pPr>
      <w:r>
        <w:rPr>
          <w:rFonts w:eastAsia="Calibri"/>
          <w:color w:val="000000"/>
          <w:lang w:val="fr" w:eastAsia="zh-CN"/>
        </w:rPr>
        <w:t xml:space="preserve">La mise en place d’un système efficace de surveillance des infections nosocomiales permet d’identifier précocement les foyers épidémiques, de suivre l’évolution des cas, et de détecter les facteurs de risque. Cette surveillance repose sur la collecte systématique de données, leur analyse, et la notification rapide des incidents aux autorités sanitaires compétentes. Grâce à cette démarche proactive, les établissements de santé peuvent réagir rapidement face aux épidémies et adapter leurs stratégies de prévention </w:t>
      </w:r>
      <w:r>
        <w:rPr>
          <w:rFonts w:eastAsia="Calibri"/>
          <w:b/>
          <w:bCs/>
          <w:lang w:val="fr" w:bidi="ar"/>
        </w:rPr>
        <w:fldChar w:fldCharType="begin"/>
      </w:r>
      <w:r>
        <w:rPr>
          <w:rFonts w:eastAsia="Calibri"/>
          <w:b/>
          <w:bCs/>
          <w:lang w:val="fr" w:bidi="ar"/>
        </w:rPr>
        <w:instrText xml:space="preserve"> ADDIN ZOTERO_ITEM CSL_CITATION {"citationID":"0r7T7eSJ","properties":{"formattedCitation":"(X. Li et al., 2024)","plainCitation":"(X. Li et al., 2024)","noteIndex":0},"citationItems":[{"id":355,"uris":["http://zotero.org/users/16279382/items/MP72WRVZ"],"itemData":{"id":355,"type":"article-journal","abstract":"The intensive care unit (ICU) caters to patients with severe illnesses or injuries who require constant medical attention. The core dimension of infection prevention and control for ICUs is infection surveillance, which analyses the risk factors of HAI and implements comprehensive interventions for HAI prevention and control. We aimed to investigate the potential risk factors for developing HAI in the ICU using real-time automatic nosocomial infection surveillance systems (RT-NISS) and analyse the effectiveness of RT-NISS coupled with comprehensive interventions on HAI prevention and control. Methods: A retrospective analysis was conducted using data from an RT-NISS for all inpatients in ICU from January 2021 to December 2022. Univariate and multivariate logistic regression analyses were performed to analyse potential risk factors for HAI in the ICU. Comprehensive interventions were implemented in 2022, and we compared the results of HAIs between 2021 and 2022 to evaluate the effect of the RT-NISS application combined with comprehensive interventions on HAI prevention and control. Results: The relative risk factors, observed as being a significantly higher risk of developing HAI, were hospitalization over 2 weeks, chronic lung diseases, chronic heart diseases, chronic renal diseases, current malignancy, hypohepatia, stroke, cerebrovascular accident, severe trauma, tracheal intubation and tracheostomy and urinary catheter. By implementing comprehensive interventions depending on infection surveillance by the RT-NISS in 2022, the prevalence proportion of HAIs of HAI was reduced from 12.67% in 2021 to 9.05% in 2022 (</w:instrText>
      </w:r>
      <w:r>
        <w:rPr>
          <w:rFonts w:eastAsia="Calibri"/>
          <w:b/>
          <w:bCs/>
          <w:lang w:val="fr" w:bidi="ar"/>
        </w:rPr>
        <w:instrText>²=15.465, p&lt;0.001). The prevalence proportion of hospital-acquired multidrug-resistant organisms was reduced from 5.78% in 2021 to 3.21% in 2022 (</w:instrText>
      </w:r>
      <w:r>
        <w:rPr>
          <w:rFonts w:eastAsia="Calibri"/>
          <w:b/>
          <w:bCs/>
          <w:lang w:val="fr" w:bidi="ar"/>
        </w:rPr>
        <w:instrText xml:space="preserve">²=19.085, p&lt;0.001). The prevalence proportion of HAI in four sites, including respiratory tract infection, gastrointestinal tract infection, surgical site infection, and bloodstream infection, was also significantly reduced from 2021 to 2022 (both p&lt;0.05). The incidence of ventilator-associated pneumonia in 2022 was lower than that in 2021 (15.02% vs. 9.19%, </w:instrText>
      </w:r>
      <w:r>
        <w:rPr>
          <w:rFonts w:eastAsia="Calibri"/>
          <w:b/>
          <w:bCs/>
          <w:lang w:val="fr" w:bidi="ar"/>
        </w:rPr>
        <w:instrText xml:space="preserve">²=17.627, p&lt;0.001). Conclusion: The adoption of an RT-NISS can adequately and accurately collect HAI case information to analyse the relative high-risk factors for developing HAIs in ICU. Furthermore, implementing comprehensive interventions derived from real-time automation surveillance of the RT-NISS will reduce the risk and prevalence proportion of HAIs in ICU.","container-title":"Frontiers in Public Health","DOI":"10.3389/fpubh.2024.1399067","ISSN":"2296-2565","journalAbbreviation":"Front. Public Health","language":"English","note":"publisher: Frontiers","source":"Frontiers","title":"Uses of a real-time automatic nosocomial infection surveillance system to support prevention and control of hospital-acquired infections in the ICU","URL":"https://www.frontiersin.org/journals/public-health/articles/10.3389/fpubh.2024.1399067/full","volume":"12","author":[{"family":"Li","given":"Xinying"},{"family":"Cai","given":"Peihong"},{"family":"Zhong","given":"Huiting"},{"family":"Yan","given":"Caili"},{"family":"Wen","given":"Ruiling"}],"accessed":{"date-parts":[["2025",6,10]]},"issued":{"date-parts":[["2024",9,13]]}}}],"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(X. Li </w:t>
      </w:r>
      <w:r>
        <w:rPr>
          <w:rFonts w:eastAsia="Calibri"/>
          <w:b/>
          <w:bCs/>
          <w:i/>
          <w:iCs/>
          <w:szCs w:val="22"/>
          <w:lang w:val="fr" w:bidi="ar"/>
        </w:rPr>
        <w:t>et al</w:t>
      </w:r>
      <w:r>
        <w:rPr>
          <w:rFonts w:eastAsia="Calibri"/>
          <w:b/>
          <w:bCs/>
          <w:szCs w:val="22"/>
          <w:lang w:val="fr" w:bidi="ar"/>
        </w:rPr>
        <w:t>., 2024)</w:t>
      </w:r>
      <w:r>
        <w:rPr>
          <w:rFonts w:eastAsia="Calibri"/>
          <w:b/>
          <w:bCs/>
          <w:lang w:val="fr" w:bidi="ar"/>
        </w:rPr>
        <w:fldChar w:fldCharType="end"/>
      </w:r>
      <w:r>
        <w:rPr>
          <w:rFonts w:eastAsia="Calibri"/>
          <w:b/>
          <w:bCs/>
          <w:color w:val="000000"/>
          <w:lang w:val="fr" w:eastAsia="zh-CN"/>
        </w:rPr>
        <w:t>.</w:t>
      </w:r>
    </w:p>
    <w:p w14:paraId="32BA8C5D" w14:textId="77777777" w:rsidR="00B611D1" w:rsidRDefault="00FB7689">
      <w:pPr>
        <w:spacing w:line="360" w:lineRule="auto"/>
        <w:ind w:left="360"/>
        <w:jc w:val="both"/>
        <w:rPr>
          <w:rFonts w:eastAsia="TimesNewRomanPS-BoldMT"/>
          <w:color w:val="000000"/>
          <w:lang w:val="fr-FR" w:eastAsia="zh-CN"/>
        </w:rPr>
      </w:pPr>
      <w:r>
        <w:rPr>
          <w:rFonts w:eastAsia="Calibri"/>
          <w:color w:val="000000"/>
          <w:lang w:val="fr" w:eastAsia="zh-CN"/>
        </w:rPr>
        <w:t>Cette mesure consiste à appliquer les recommandations fondamentales des CDC afin de garantir des soins de santé sûrs dans tous les contextes cliniques. Elle repose sur l’identification systématique des risques infectieux, l’élaboration de protocoles standards, et la surveillance continue de la conformité aux mesures d’hygiène. Elle inclut également l’évaluation régulière des pratiques, la formation continue du personnel, et la communication rapide et transparente des incidents. Grâce à cette stratégie intégrée, les établissements peuvent prévenir efficacement la propagation des agents pathogènes et assurer la sécurité des patients et du personnel de santé</w:t>
      </w:r>
      <w:r>
        <w:rPr>
          <w:rFonts w:eastAsia="Calibri"/>
          <w:b/>
          <w:bCs/>
          <w:color w:val="000000"/>
          <w:lang w:val="fr-FR" w:eastAsia="zh-CN"/>
        </w:rPr>
        <w:t xml:space="preserve"> </w:t>
      </w:r>
      <w:r>
        <w:rPr>
          <w:rFonts w:eastAsia="Calibri"/>
          <w:b/>
          <w:bCs/>
          <w:lang w:val="fr" w:bidi="ar"/>
        </w:rPr>
        <w:fldChar w:fldCharType="begin"/>
      </w:r>
      <w:r>
        <w:rPr>
          <w:rFonts w:eastAsia="Calibri"/>
          <w:b/>
          <w:bCs/>
          <w:lang w:val="fr" w:bidi="ar"/>
        </w:rPr>
        <w:instrText xml:space="preserve"> ADDIN ZOTERO_ITEM CSL_CITATION {"citationID":"j5OwWEYs","properties":{"formattedCitation":"(Alhumaid et al., 2021)","plainCitation":"(Alhumaid et al., 2021)","noteIndex":0},"citationItems":[{"id":357,"uris":["http://zotero.org/users/16279382/items/FRQVXGII"],"itemData":{"id":357,"type":"article-journal","abstract":"Knowledge of infection prevention and control (IPC) procedures among healthcare workers (HCWs) is crucial for effective IPC. Compliance with IPC measures has critical implications for HCWs safety, patient protection and the care environment.","container-title":"Antimicrobial Resistance &amp; Infection Control","DOI":"10.1186/s13756-021-00957-0","ISSN":"2047-2994","issue":"1","journalAbbreviation":"Antimicrob Resist Infect Control","language":"en","page":"86","source":"Springer Link","title":"Knowledge of infection prevention and control among healthcare workers and factors influencing compliance: a systematic review","title-short":"Knowledge of infection prevention and control among healthcare workers and factors influencing compliance","volume":"10","author":[{"family":"Alhumaid","given":"Saad"},{"family":"Al Mutair","given":"Abbas"},{"family":"Al Alawi","given":"Zainab"},{"family":"Alsuliman","given":"Murtadha"},{"family":"Ahmed","given":"Gasmelseed Y."},{"family":"Rabaan","given":"Ali A."},{"family":"Al-Tawfiq","given":"Jaffar A."},{"family":"Al-Omari","given":"Awad"}],"issued":{"date-parts":[["2021",6,3]]}}}],"schema":"https://github.com/citation-style-language/schema/raw/master/csl-citation.json"}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(Alhumaid </w:t>
      </w:r>
      <w:r>
        <w:rPr>
          <w:rFonts w:eastAsia="Calibri"/>
          <w:b/>
          <w:bCs/>
          <w:i/>
          <w:iCs/>
          <w:szCs w:val="22"/>
          <w:lang w:val="fr" w:bidi="ar"/>
        </w:rPr>
        <w:t>et al</w:t>
      </w:r>
      <w:r>
        <w:rPr>
          <w:rFonts w:eastAsia="Calibri"/>
          <w:b/>
          <w:bCs/>
          <w:szCs w:val="22"/>
          <w:lang w:val="fr" w:bidi="ar"/>
        </w:rPr>
        <w:t>., 2021)</w:t>
      </w:r>
      <w:r>
        <w:rPr>
          <w:rFonts w:eastAsia="Calibri"/>
          <w:b/>
          <w:bCs/>
          <w:lang w:val="fr" w:bidi="ar"/>
        </w:rPr>
        <w:fldChar w:fldCharType="end"/>
      </w:r>
      <w:r>
        <w:rPr>
          <w:rFonts w:eastAsia="Calibri"/>
          <w:b/>
          <w:bCs/>
          <w:color w:val="000000"/>
          <w:lang w:val="fr" w:eastAsia="zh-CN"/>
        </w:rPr>
        <w:t>.</w:t>
      </w:r>
    </w:p>
    <w:p w14:paraId="39A79C8F" w14:textId="77777777" w:rsidR="00B611D1" w:rsidRDefault="00B611D1">
      <w:pPr>
        <w:spacing w:after="200" w:line="360" w:lineRule="auto"/>
        <w:jc w:val="both"/>
        <w:rPr>
          <w:rFonts w:eastAsia="Calibri"/>
          <w:b/>
          <w:bCs/>
          <w:color w:val="000000"/>
          <w:lang w:val="fr" w:eastAsia="zh-CN"/>
        </w:rPr>
      </w:pPr>
    </w:p>
    <w:p w14:paraId="6E2DEC71" w14:textId="77777777" w:rsidR="00B611D1" w:rsidRDefault="00B611D1">
      <w:pPr>
        <w:spacing w:after="200" w:line="360" w:lineRule="auto"/>
        <w:jc w:val="both"/>
        <w:rPr>
          <w:rFonts w:eastAsia="Calibri"/>
          <w:color w:val="000000" w:themeColor="text1"/>
          <w:kern w:val="2"/>
          <w:lang w:val="fr-FR" w:eastAsia="zh-CN" w:bidi="ar"/>
        </w:rPr>
      </w:pPr>
    </w:p>
    <w:p w14:paraId="72D4AABA" w14:textId="77777777" w:rsidR="00B611D1" w:rsidRDefault="00B611D1">
      <w:pPr>
        <w:spacing w:after="200" w:line="360" w:lineRule="auto"/>
        <w:jc w:val="both"/>
        <w:rPr>
          <w:rFonts w:eastAsia="SimSun"/>
          <w:b/>
          <w:bCs/>
          <w:color w:val="1F497D" w:themeColor="text2"/>
          <w:lang w:val="fr-FR"/>
        </w:rPr>
      </w:pPr>
    </w:p>
    <w:p w14:paraId="63A68F30" w14:textId="77777777" w:rsidR="00B611D1" w:rsidRDefault="00B611D1">
      <w:pPr>
        <w:spacing w:after="200" w:line="360" w:lineRule="auto"/>
        <w:jc w:val="both"/>
        <w:rPr>
          <w:rFonts w:eastAsia="SimSun"/>
          <w:b/>
          <w:bCs/>
          <w:color w:val="1F497D" w:themeColor="text2"/>
          <w:lang w:val="fr-FR"/>
        </w:rPr>
      </w:pPr>
    </w:p>
    <w:p w14:paraId="07D01AC1" w14:textId="77777777" w:rsidR="00B611D1" w:rsidRDefault="00FB7689">
      <w:pPr>
        <w:spacing w:after="200" w:line="360" w:lineRule="auto"/>
        <w:jc w:val="both"/>
        <w:rPr>
          <w:rFonts w:eastAsia="Calibri"/>
          <w:kern w:val="2"/>
          <w:lang w:val="fr-FR" w:eastAsia="zh-CN" w:bidi="ar"/>
        </w:rPr>
      </w:pPr>
      <w:r>
        <w:rPr>
          <w:rFonts w:eastAsia="Calibri"/>
          <w:lang w:val="fr-FR" w:bidi="ar"/>
        </w:rPr>
        <w:t xml:space="preserve"> </w:t>
      </w:r>
    </w:p>
    <w:p w14:paraId="559F0A52" w14:textId="77777777" w:rsidR="00B611D1" w:rsidRDefault="00B611D1">
      <w:pPr>
        <w:spacing w:line="360" w:lineRule="auto"/>
        <w:jc w:val="both"/>
        <w:rPr>
          <w:lang w:val="fr-FR"/>
        </w:rPr>
      </w:pPr>
    </w:p>
    <w:p w14:paraId="515BCC12" w14:textId="77777777" w:rsidR="00B611D1" w:rsidRDefault="00B611D1">
      <w:pPr>
        <w:spacing w:line="360" w:lineRule="auto"/>
        <w:jc w:val="both"/>
        <w:rPr>
          <w:lang w:val="fr-FR"/>
        </w:rPr>
      </w:pPr>
    </w:p>
    <w:p w14:paraId="49B0B80A" w14:textId="77777777" w:rsidR="00B611D1" w:rsidRDefault="00B611D1">
      <w:pPr>
        <w:spacing w:line="360" w:lineRule="auto"/>
        <w:jc w:val="both"/>
        <w:rPr>
          <w:lang w:val="fr-FR"/>
        </w:rPr>
      </w:pPr>
    </w:p>
    <w:p w14:paraId="1B9127E2" w14:textId="77777777" w:rsidR="00B611D1" w:rsidRDefault="00B611D1">
      <w:pPr>
        <w:spacing w:line="360" w:lineRule="auto"/>
        <w:jc w:val="both"/>
        <w:rPr>
          <w:lang w:val="fr-FR"/>
        </w:rPr>
      </w:pPr>
    </w:p>
    <w:p w14:paraId="2AB3D12F" w14:textId="77777777" w:rsidR="00B611D1" w:rsidRDefault="00B611D1">
      <w:pPr>
        <w:jc w:val="both"/>
        <w:rPr>
          <w:lang w:val="fr-FR"/>
        </w:rPr>
      </w:pPr>
    </w:p>
    <w:p w14:paraId="4F6CC7DF" w14:textId="77777777" w:rsidR="00B611D1" w:rsidRDefault="00B611D1">
      <w:pPr>
        <w:jc w:val="both"/>
        <w:rPr>
          <w:lang w:val="fr-FR"/>
        </w:rPr>
      </w:pPr>
    </w:p>
    <w:p w14:paraId="1B3CA103" w14:textId="77777777" w:rsidR="00B611D1" w:rsidRDefault="00B611D1">
      <w:pPr>
        <w:jc w:val="both"/>
        <w:rPr>
          <w:lang w:val="fr-FR"/>
        </w:rPr>
      </w:pPr>
    </w:p>
    <w:p w14:paraId="7FF9B23F" w14:textId="77777777" w:rsidR="00B611D1" w:rsidRDefault="00B611D1">
      <w:pPr>
        <w:jc w:val="both"/>
        <w:rPr>
          <w:lang w:val="fr-FR"/>
        </w:rPr>
      </w:pPr>
    </w:p>
    <w:p w14:paraId="29382A00" w14:textId="77777777" w:rsidR="00B611D1" w:rsidRDefault="00B611D1">
      <w:pPr>
        <w:jc w:val="center"/>
        <w:rPr>
          <w:rFonts w:eastAsia="TimesNewRomanPS-BoldMT"/>
          <w:b/>
          <w:bCs/>
          <w:sz w:val="56"/>
          <w:szCs w:val="56"/>
          <w:lang w:val="fr-FR" w:eastAsia="zh-CN" w:bidi="ar"/>
          <w14:shadow w14:blurRad="60007" w14:dist="310007" w14:dir="7680000" w14:sx="100000" w14:sy="30000" w14:kx="1300200" w14:ky="0" w14:algn="ctr">
            <w14:srgbClr w14:val="000000">
              <w14:alpha w14:val="68000"/>
            </w14:srgbClr>
          </w14:shadow>
        </w:rPr>
      </w:pPr>
    </w:p>
    <w:p w14:paraId="6AB01970" w14:textId="77777777" w:rsidR="00B611D1" w:rsidRDefault="00B611D1">
      <w:pPr>
        <w:jc w:val="center"/>
        <w:rPr>
          <w:rFonts w:eastAsia="TimesNewRomanPS-BoldMT"/>
          <w:b/>
          <w:bCs/>
          <w:sz w:val="56"/>
          <w:szCs w:val="56"/>
          <w:lang w:val="fr-FR" w:eastAsia="zh-CN" w:bidi="ar"/>
          <w14:shadow w14:blurRad="60007" w14:dist="310007" w14:dir="7680000" w14:sx="100000" w14:sy="30000" w14:kx="1300200" w14:ky="0" w14:algn="ctr">
            <w14:srgbClr w14:val="000000">
              <w14:alpha w14:val="68000"/>
            </w14:srgbClr>
          </w14:shadow>
        </w:rPr>
      </w:pPr>
    </w:p>
    <w:p w14:paraId="00CCDCEB" w14:textId="77777777" w:rsidR="00B611D1" w:rsidRDefault="00B611D1">
      <w:pPr>
        <w:jc w:val="center"/>
        <w:rPr>
          <w:rFonts w:eastAsia="TimesNewRomanPS-BoldMT"/>
          <w:b/>
          <w:bCs/>
          <w:sz w:val="56"/>
          <w:szCs w:val="56"/>
          <w:lang w:val="fr-FR" w:eastAsia="zh-CN" w:bidi="ar"/>
          <w14:shadow w14:blurRad="60007" w14:dist="310007" w14:dir="7680000" w14:sx="100000" w14:sy="30000" w14:kx="1300200" w14:ky="0" w14:algn="ctr">
            <w14:srgbClr w14:val="000000">
              <w14:alpha w14:val="68000"/>
            </w14:srgbClr>
          </w14:shadow>
        </w:rPr>
      </w:pPr>
    </w:p>
    <w:p w14:paraId="4E43E72E" w14:textId="77777777" w:rsidR="00B611D1" w:rsidRDefault="00B611D1">
      <w:pPr>
        <w:jc w:val="center"/>
        <w:rPr>
          <w:rFonts w:eastAsia="TimesNewRomanPS-BoldMT"/>
          <w:b/>
          <w:bCs/>
          <w:sz w:val="56"/>
          <w:szCs w:val="56"/>
          <w:lang w:val="fr-FR" w:eastAsia="zh-CN" w:bidi="ar"/>
          <w14:shadow w14:blurRad="50800" w14:dist="38100" w14:dir="8100000" w14:sx="100000" w14:sy="100000" w14:kx="0" w14:ky="0" w14:algn="tr">
            <w14:srgbClr w14:val="000000">
              <w14:alpha w14:val="60000"/>
            </w14:srgbClr>
          </w14:shadow>
        </w:rPr>
      </w:pPr>
    </w:p>
    <w:p w14:paraId="1E08B850" w14:textId="77777777" w:rsidR="00B611D1" w:rsidRDefault="00B611D1">
      <w:pPr>
        <w:jc w:val="center"/>
        <w:rPr>
          <w:rFonts w:eastAsia="TimesNewRomanPS-BoldMT"/>
          <w:b/>
          <w:bCs/>
          <w:sz w:val="56"/>
          <w:szCs w:val="56"/>
          <w:lang w:val="fr-FR" w:eastAsia="zh-CN" w:bidi="ar"/>
          <w14:shadow w14:blurRad="50800" w14:dist="38100" w14:dir="8100000" w14:sx="100000" w14:sy="100000" w14:kx="0" w14:ky="0" w14:algn="tr">
            <w14:srgbClr w14:val="000000">
              <w14:alpha w14:val="60000"/>
            </w14:srgbClr>
          </w14:shadow>
        </w:rPr>
      </w:pPr>
    </w:p>
    <w:p w14:paraId="4F93A9E1" w14:textId="77777777" w:rsidR="00B611D1" w:rsidRDefault="00B611D1">
      <w:pPr>
        <w:jc w:val="center"/>
        <w:rPr>
          <w:rFonts w:eastAsia="TimesNewRomanPS-BoldMT"/>
          <w:b/>
          <w:bCs/>
          <w:sz w:val="56"/>
          <w:szCs w:val="56"/>
          <w:lang w:val="fr-FR" w:eastAsia="zh-CN" w:bidi="ar"/>
          <w14:shadow w14:blurRad="50800" w14:dist="38100" w14:dir="8100000" w14:sx="100000" w14:sy="100000" w14:kx="0" w14:ky="0" w14:algn="tr">
            <w14:srgbClr w14:val="000000">
              <w14:alpha w14:val="60000"/>
            </w14:srgbClr>
          </w14:shadow>
        </w:rPr>
      </w:pPr>
    </w:p>
    <w:p w14:paraId="6EE90E41" w14:textId="77777777" w:rsidR="00B611D1" w:rsidRDefault="00B611D1">
      <w:pPr>
        <w:jc w:val="center"/>
        <w:rPr>
          <w:rFonts w:eastAsia="TimesNewRomanPS-BoldMT"/>
          <w:b/>
          <w:bCs/>
          <w:sz w:val="56"/>
          <w:szCs w:val="56"/>
          <w:lang w:val="fr-FR" w:eastAsia="zh-CN" w:bidi="ar"/>
          <w14:shadow w14:blurRad="50800" w14:dist="38100" w14:dir="8100000" w14:sx="100000" w14:sy="100000" w14:kx="0" w14:ky="0" w14:algn="tr">
            <w14:srgbClr w14:val="000000">
              <w14:alpha w14:val="60000"/>
            </w14:srgbClr>
          </w14:shadow>
        </w:rPr>
      </w:pPr>
    </w:p>
    <w:p w14:paraId="7DD4B491" w14:textId="77777777" w:rsidR="00B611D1" w:rsidRDefault="00B611D1">
      <w:pPr>
        <w:jc w:val="center"/>
        <w:rPr>
          <w:rFonts w:eastAsia="TimesNewRomanPS-BoldMT"/>
          <w:b/>
          <w:bCs/>
          <w:sz w:val="56"/>
          <w:szCs w:val="56"/>
          <w:lang w:val="fr-FR" w:eastAsia="zh-CN" w:bidi="ar"/>
          <w14:shadow w14:blurRad="50800" w14:dist="38100" w14:dir="8100000" w14:sx="100000" w14:sy="100000" w14:kx="0" w14:ky="0" w14:algn="tr">
            <w14:srgbClr w14:val="000000">
              <w14:alpha w14:val="60000"/>
            </w14:srgbClr>
          </w14:shadow>
        </w:rPr>
      </w:pPr>
    </w:p>
    <w:p w14:paraId="642020AD" w14:textId="77777777" w:rsidR="00B611D1" w:rsidRDefault="00FB7689">
      <w:pPr>
        <w:jc w:val="center"/>
        <w:rPr>
          <w:b/>
          <w:bCs/>
          <w:sz w:val="56"/>
          <w:szCs w:val="56"/>
          <w:lang w:val="fr-FR"/>
          <w14:shadow w14:blurRad="50800" w14:dist="38100" w14:dir="8100000" w14:sx="100000" w14:sy="100000" w14:kx="0" w14:ky="0" w14:algn="tr">
            <w14:srgbClr w14:val="000000">
              <w14:alpha w14:val="60000"/>
            </w14:srgbClr>
          </w14:shadow>
        </w:rPr>
      </w:pPr>
      <w:r>
        <w:rPr>
          <w:rFonts w:eastAsia="TimesNewRomanPS-BoldMT"/>
          <w:b/>
          <w:bCs/>
          <w:sz w:val="56"/>
          <w:szCs w:val="56"/>
          <w:lang w:val="fr-FR" w:eastAsia="zh-CN" w:bidi="ar"/>
          <w14:shadow w14:blurRad="50800" w14:dist="38100" w14:dir="8100000" w14:sx="100000" w14:sy="100000" w14:kx="0" w14:ky="0" w14:algn="tr">
            <w14:srgbClr w14:val="000000">
              <w14:alpha w14:val="60000"/>
            </w14:srgbClr>
          </w14:shadow>
        </w:rPr>
        <w:t>Chapitre 02 :</w:t>
      </w:r>
    </w:p>
    <w:p w14:paraId="3F926C62" w14:textId="77777777" w:rsidR="00B611D1" w:rsidRDefault="00FB7689">
      <w:pPr>
        <w:jc w:val="center"/>
        <w:rPr>
          <w:b/>
          <w:bCs/>
          <w:sz w:val="56"/>
          <w:szCs w:val="56"/>
          <w:lang w:val="fr-FR"/>
          <w14:shadow w14:blurRad="50800" w14:dist="38100" w14:dir="8100000" w14:sx="100000" w14:sy="100000" w14:kx="0" w14:ky="0" w14:algn="tr">
            <w14:srgbClr w14:val="000000">
              <w14:alpha w14:val="60000"/>
            </w14:srgbClr>
          </w14:shadow>
        </w:rPr>
      </w:pPr>
      <w:r>
        <w:rPr>
          <w:b/>
          <w:bCs/>
          <w:sz w:val="56"/>
          <w:szCs w:val="56"/>
          <w:lang w:val="fr-FR"/>
          <w14:shadow w14:blurRad="50800" w14:dist="38100" w14:dir="8100000" w14:sx="100000" w14:sy="100000" w14:kx="0" w14:ky="0" w14:algn="tr">
            <w14:srgbClr w14:val="000000">
              <w14:alpha w14:val="60000"/>
            </w14:srgbClr>
          </w14:shadow>
        </w:rPr>
        <w:t>Surfaces inertes et transmission des infections nosocomiales</w:t>
      </w:r>
    </w:p>
    <w:p w14:paraId="6F54B5C7" w14:textId="77777777" w:rsidR="00B611D1" w:rsidRDefault="00B611D1">
      <w:pPr>
        <w:jc w:val="center"/>
        <w:rPr>
          <w:sz w:val="56"/>
          <w:szCs w:val="56"/>
          <w:lang w:val="fr-FR"/>
          <w14:shadow w14:blurRad="50800" w14:dist="38100" w14:dir="8100000" w14:sx="100000" w14:sy="100000" w14:kx="0" w14:ky="0" w14:algn="tr">
            <w14:srgbClr w14:val="000000">
              <w14:alpha w14:val="60000"/>
            </w14:srgbClr>
          </w14:shadow>
        </w:rPr>
      </w:pPr>
    </w:p>
    <w:p w14:paraId="1FCE8CC1" w14:textId="77777777" w:rsidR="00B611D1" w:rsidRDefault="00B611D1">
      <w:pPr>
        <w:jc w:val="both"/>
        <w:rPr>
          <w:lang w:val="fr-FR"/>
        </w:rPr>
      </w:pPr>
    </w:p>
    <w:p w14:paraId="51FA8C86" w14:textId="77777777" w:rsidR="00B611D1" w:rsidRDefault="00B611D1">
      <w:pPr>
        <w:jc w:val="both"/>
        <w:rPr>
          <w:lang w:val="fr-FR"/>
        </w:rPr>
      </w:pPr>
    </w:p>
    <w:p w14:paraId="13EDC44D" w14:textId="77777777" w:rsidR="00B611D1" w:rsidRDefault="00B611D1">
      <w:pPr>
        <w:jc w:val="both"/>
        <w:rPr>
          <w:lang w:val="fr-FR"/>
        </w:rPr>
      </w:pPr>
    </w:p>
    <w:p w14:paraId="23908CB9" w14:textId="77777777" w:rsidR="00B611D1" w:rsidRDefault="00B611D1">
      <w:pPr>
        <w:jc w:val="both"/>
        <w:rPr>
          <w:lang w:val="fr-FR"/>
        </w:rPr>
      </w:pPr>
    </w:p>
    <w:p w14:paraId="7B736B5F" w14:textId="77777777" w:rsidR="00B611D1" w:rsidRDefault="00B611D1">
      <w:pPr>
        <w:jc w:val="both"/>
        <w:rPr>
          <w:lang w:val="fr-FR"/>
        </w:rPr>
      </w:pPr>
    </w:p>
    <w:p w14:paraId="15EB175F" w14:textId="77777777" w:rsidR="00B611D1" w:rsidRDefault="00B611D1">
      <w:pPr>
        <w:jc w:val="both"/>
        <w:rPr>
          <w:lang w:val="fr-FR"/>
        </w:rPr>
      </w:pPr>
    </w:p>
    <w:p w14:paraId="76EC54BA" w14:textId="77777777" w:rsidR="00B611D1" w:rsidRDefault="00B611D1">
      <w:pPr>
        <w:jc w:val="both"/>
        <w:rPr>
          <w:lang w:val="fr-FR"/>
        </w:rPr>
      </w:pPr>
    </w:p>
    <w:p w14:paraId="637B4CC5" w14:textId="77777777" w:rsidR="00B611D1" w:rsidRDefault="00B611D1">
      <w:pPr>
        <w:jc w:val="both"/>
        <w:rPr>
          <w:lang w:val="fr-FR"/>
        </w:rPr>
      </w:pPr>
    </w:p>
    <w:p w14:paraId="0C3CFC4F" w14:textId="77777777" w:rsidR="00B611D1" w:rsidRDefault="00B611D1">
      <w:pPr>
        <w:jc w:val="both"/>
        <w:rPr>
          <w:lang w:val="fr-FR"/>
        </w:rPr>
      </w:pPr>
    </w:p>
    <w:p w14:paraId="1AA814E7" w14:textId="77777777" w:rsidR="00B611D1" w:rsidRDefault="00B611D1">
      <w:pPr>
        <w:jc w:val="both"/>
        <w:rPr>
          <w:lang w:val="fr-FR"/>
        </w:rPr>
      </w:pPr>
    </w:p>
    <w:p w14:paraId="3D36B038" w14:textId="77777777" w:rsidR="00B611D1" w:rsidRDefault="00B611D1">
      <w:pPr>
        <w:jc w:val="both"/>
        <w:rPr>
          <w:lang w:val="fr-FR"/>
        </w:rPr>
      </w:pPr>
    </w:p>
    <w:p w14:paraId="76132710" w14:textId="77777777" w:rsidR="00B611D1" w:rsidRDefault="00B611D1">
      <w:pPr>
        <w:jc w:val="both"/>
        <w:rPr>
          <w:b/>
          <w:bCs/>
          <w:sz w:val="28"/>
          <w:szCs w:val="28"/>
          <w:lang w:val="fr-FR"/>
        </w:rPr>
      </w:pPr>
    </w:p>
    <w:p w14:paraId="57CE7F08" w14:textId="77777777" w:rsidR="00B611D1" w:rsidRDefault="00B611D1">
      <w:pPr>
        <w:jc w:val="both"/>
        <w:rPr>
          <w:b/>
          <w:bCs/>
          <w:sz w:val="28"/>
          <w:szCs w:val="28"/>
          <w:lang w:val="fr-FR"/>
        </w:rPr>
      </w:pPr>
    </w:p>
    <w:p w14:paraId="27EC373D" w14:textId="77777777" w:rsidR="00B611D1" w:rsidRDefault="00B611D1">
      <w:pPr>
        <w:jc w:val="both"/>
        <w:rPr>
          <w:b/>
          <w:bCs/>
          <w:sz w:val="28"/>
          <w:szCs w:val="28"/>
          <w:lang w:val="fr-FR"/>
        </w:rPr>
      </w:pPr>
    </w:p>
    <w:p w14:paraId="2C0FF721" w14:textId="77777777" w:rsidR="00B611D1" w:rsidRDefault="00B611D1">
      <w:pPr>
        <w:jc w:val="both"/>
        <w:rPr>
          <w:b/>
          <w:bCs/>
          <w:sz w:val="28"/>
          <w:szCs w:val="28"/>
          <w:lang w:val="fr-FR"/>
        </w:rPr>
      </w:pPr>
    </w:p>
    <w:p w14:paraId="7B8869E7" w14:textId="77777777" w:rsidR="00B611D1" w:rsidRDefault="00B611D1">
      <w:pPr>
        <w:jc w:val="both"/>
        <w:rPr>
          <w:b/>
          <w:bCs/>
          <w:sz w:val="28"/>
          <w:szCs w:val="28"/>
          <w:lang w:val="fr-FR" w:eastAsia="zh-CN"/>
        </w:rPr>
      </w:pPr>
    </w:p>
    <w:p w14:paraId="3B53B69C" w14:textId="77777777" w:rsidR="00B611D1" w:rsidRDefault="00B611D1">
      <w:pPr>
        <w:jc w:val="both"/>
        <w:rPr>
          <w:b/>
          <w:bCs/>
          <w:sz w:val="28"/>
          <w:szCs w:val="28"/>
          <w:lang w:val="fr-FR" w:eastAsia="zh-CN"/>
        </w:rPr>
      </w:pPr>
    </w:p>
    <w:p w14:paraId="15914389" w14:textId="77777777" w:rsidR="00B611D1" w:rsidRDefault="00B611D1">
      <w:pPr>
        <w:jc w:val="both"/>
        <w:rPr>
          <w:b/>
          <w:bCs/>
          <w:sz w:val="28"/>
          <w:szCs w:val="28"/>
          <w:lang w:val="fr-FR" w:eastAsia="zh-CN"/>
        </w:rPr>
      </w:pPr>
    </w:p>
    <w:p w14:paraId="00D88F7A" w14:textId="77777777" w:rsidR="00B611D1" w:rsidRDefault="00B611D1">
      <w:pPr>
        <w:jc w:val="both"/>
        <w:rPr>
          <w:b/>
          <w:bCs/>
          <w:sz w:val="28"/>
          <w:szCs w:val="28"/>
          <w:lang w:val="fr-FR" w:eastAsia="zh-CN"/>
        </w:rPr>
      </w:pPr>
    </w:p>
    <w:p w14:paraId="0F04F159" w14:textId="77777777" w:rsidR="00B611D1" w:rsidRDefault="00B611D1">
      <w:pPr>
        <w:jc w:val="both"/>
        <w:rPr>
          <w:b/>
          <w:bCs/>
          <w:sz w:val="28"/>
          <w:szCs w:val="28"/>
          <w:lang w:val="fr-FR" w:eastAsia="zh-CN"/>
        </w:rPr>
      </w:pPr>
    </w:p>
    <w:p w14:paraId="4BAB9563" w14:textId="77777777" w:rsidR="00B611D1" w:rsidRDefault="00B611D1">
      <w:pPr>
        <w:pStyle w:val="Titre2"/>
        <w:ind w:left="0"/>
        <w:rPr>
          <w:rFonts w:eastAsia="Calibri"/>
          <w:lang w:val="fr-FR" w:eastAsia="zh-CN"/>
        </w:rPr>
      </w:pPr>
    </w:p>
    <w:p w14:paraId="108EC2D5" w14:textId="77777777" w:rsidR="00B611D1" w:rsidRDefault="00FB7689">
      <w:pPr>
        <w:pStyle w:val="Titre2"/>
        <w:numPr>
          <w:ilvl w:val="1"/>
          <w:numId w:val="1"/>
        </w:numPr>
        <w:rPr>
          <w:rFonts w:eastAsia="Calibri"/>
          <w:lang w:val="fr-FR"/>
        </w:rPr>
      </w:pPr>
      <w:bookmarkStart w:id="78" w:name="_Toc201260073"/>
      <w:r>
        <w:rPr>
          <w:rFonts w:eastAsia="Calibri"/>
          <w:lang w:val="fr-FR"/>
        </w:rPr>
        <w:t>Surfaces inertes et transmission des infections nosocomiales</w:t>
      </w:r>
      <w:bookmarkEnd w:id="78"/>
    </w:p>
    <w:p w14:paraId="4FD528AA" w14:textId="77777777" w:rsidR="00B611D1" w:rsidRDefault="00B611D1">
      <w:pPr>
        <w:rPr>
          <w:rFonts w:eastAsia="Calibri"/>
          <w:b/>
          <w:bCs/>
          <w:sz w:val="28"/>
          <w:szCs w:val="28"/>
          <w:lang w:val="fr-FR"/>
        </w:rPr>
      </w:pPr>
    </w:p>
    <w:p w14:paraId="3F85DFF1" w14:textId="77777777" w:rsidR="00B611D1" w:rsidRDefault="00FB7689">
      <w:pPr>
        <w:pStyle w:val="Titre3"/>
        <w:numPr>
          <w:ilvl w:val="2"/>
          <w:numId w:val="1"/>
        </w:numPr>
        <w:rPr>
          <w:rFonts w:eastAsia="Calibri"/>
        </w:rPr>
      </w:pPr>
      <w:bookmarkStart w:id="79" w:name="_Toc201260074"/>
      <w:r>
        <w:rPr>
          <w:rFonts w:eastAsia="Calibri"/>
        </w:rPr>
        <w:t>Définition de l’environnement hospitalier</w:t>
      </w:r>
      <w:bookmarkEnd w:id="79"/>
    </w:p>
    <w:p w14:paraId="0DED06C2" w14:textId="77777777" w:rsidR="00B611D1" w:rsidRDefault="00B611D1">
      <w:pPr>
        <w:jc w:val="both"/>
        <w:rPr>
          <w:rFonts w:eastAsia="Calibri"/>
          <w:b/>
          <w:bCs/>
        </w:rPr>
      </w:pPr>
    </w:p>
    <w:p w14:paraId="5928EAA9" w14:textId="77777777" w:rsidR="00B611D1" w:rsidRDefault="00FB7689">
      <w:pPr>
        <w:spacing w:line="360" w:lineRule="auto"/>
        <w:jc w:val="both"/>
        <w:rPr>
          <w:rFonts w:eastAsia="Calibri"/>
          <w:b/>
          <w:bCs/>
          <w:lang w:val="fr" w:bidi="ar"/>
        </w:rPr>
      </w:pPr>
      <w:r>
        <w:rPr>
          <w:rFonts w:eastAsia="Calibri"/>
          <w:lang w:val="fr-FR"/>
        </w:rPr>
        <w:t xml:space="preserve">L’environnement hospitalier désigne l’ensemble des éléments liquides, solides et gazeux susceptibles d’entrer en contact avec les patients, les visiteurs ou le personnel au sein d’un établissement de santé. Cet environnement peut être contaminé par divers micro-organisme potentiellement pathogènes et regroupe les surfaces, l'eau, l'air (médical ou atmosphérique), le linge, les dispositifs médicaux, les aliments, les déchets et les solutés (préparations injectables, solutions d'antiseptiques ...). Le niveau et la nature de cette contamination peuvent varier d’un établissement à l’autre, et même à l’intérieur d’un même hôpital, selon les services, les types de patients accueillis, les actes de soins réalisés, ainsi que la capacité des agents infectieux à survivre dans le milieu </w:t>
      </w:r>
      <w:r>
        <w:rPr>
          <w:rFonts w:eastAsia="Calibri"/>
          <w:b/>
          <w:bCs/>
          <w:lang w:val="fr" w:bidi="ar"/>
        </w:rPr>
        <w:fldChar w:fldCharType="begin"/>
      </w:r>
      <w:r>
        <w:rPr>
          <w:rFonts w:eastAsia="Calibri"/>
          <w:b/>
          <w:bCs/>
          <w:lang w:val="fr" w:bidi="ar"/>
        </w:rPr>
        <w:instrText xml:space="preserve"> ADDIN ZOTERO_ITEM CSL_CITATION {"citationID":"9bVIWmBI","properties":{"formattedCitation":"(El ayne Nabila et al., 2014)","plainCitation":"(El ayne Nabila et al., 2014)","noteIndex":0},"citationItems":[{"id":137,"uris":["http://zotero.org/users/16279382/items/XDQSF6ST"],"itemData":{"id":137,"type":"article-journal","container-title":"European Scientific Journal","issue":"9","note":"publisher: European Scientific Journal","source":"Google Scholar","title":"ROLE DE L'ENVIRONNEMENT HOSPITALIER DANS LA PREVENTION DES INFECTIONS NOSOCOMIALES: SURVEILLANCE DE LA FLORE DES SURFACES A L'HOPITAL EL IDRISSI DE KENITRA-MAROC","title-short":"ROLE DE L'ENVIRONNEMENT HOSPITALIER DANS LA PREVENTION DES INFECTIONS NOSOCOMIALES","volume":"10","author":[{"family":"El ayne Nabila","given":"Saouide"},{"family":"Adil","given":"Echchelh"},{"family":"Abedelaziz","given":"Chaouch"},{"family":"Nabila","given":"Auajjar"},{"family":"Samir","given":"Hamama"},{"family":"Abdelmajid","given":"Soulaymani"}],"issued":{"date-parts":[["2014"]]}}}],"schema":"https://github.com/citation-style-language/schema/raw/master/csl-citation.json"} </w:instrText>
      </w:r>
      <w:r>
        <w:rPr>
          <w:rFonts w:eastAsia="Calibri"/>
          <w:b/>
          <w:bCs/>
          <w:lang w:val="fr" w:bidi="ar"/>
        </w:rPr>
        <w:fldChar w:fldCharType="separate"/>
      </w:r>
      <w:r>
        <w:rPr>
          <w:rFonts w:eastAsia="Calibri"/>
          <w:b/>
          <w:bCs/>
          <w:lang w:val="fr" w:bidi="ar"/>
        </w:rPr>
        <w:t xml:space="preserve">(El ayne Nabila </w:t>
      </w:r>
      <w:r>
        <w:rPr>
          <w:rFonts w:eastAsia="Calibri"/>
          <w:b/>
          <w:bCs/>
          <w:i/>
          <w:iCs/>
          <w:lang w:val="fr" w:bidi="ar"/>
        </w:rPr>
        <w:t>et al</w:t>
      </w:r>
      <w:r>
        <w:rPr>
          <w:rFonts w:eastAsia="Calibri"/>
          <w:b/>
          <w:bCs/>
          <w:lang w:val="fr" w:bidi="ar"/>
        </w:rPr>
        <w:t>., 2014)</w:t>
      </w:r>
      <w:r>
        <w:rPr>
          <w:rFonts w:eastAsia="Calibri"/>
          <w:b/>
          <w:bCs/>
          <w:lang w:val="fr" w:bidi="ar"/>
        </w:rPr>
        <w:fldChar w:fldCharType="end"/>
      </w:r>
      <w:r>
        <w:rPr>
          <w:rFonts w:eastAsia="Calibri"/>
          <w:b/>
          <w:bCs/>
          <w:lang w:val="fr" w:bidi="ar"/>
        </w:rPr>
        <w:t>.</w:t>
      </w:r>
    </w:p>
    <w:p w14:paraId="11BF395A" w14:textId="77777777" w:rsidR="00B611D1" w:rsidRDefault="00FB7689">
      <w:pPr>
        <w:pStyle w:val="Titre3"/>
        <w:numPr>
          <w:ilvl w:val="2"/>
          <w:numId w:val="1"/>
        </w:numPr>
        <w:rPr>
          <w:rFonts w:eastAsia="Calibri"/>
          <w:lang w:val="fr-FR"/>
        </w:rPr>
      </w:pPr>
      <w:bookmarkStart w:id="80" w:name="_Toc201260075"/>
      <w:r>
        <w:rPr>
          <w:rFonts w:eastAsia="Calibri"/>
          <w:lang w:val="fr-FR"/>
        </w:rPr>
        <w:t xml:space="preserve">Le rôle des surfaces dans la survenue des infections </w:t>
      </w:r>
      <w:r>
        <w:rPr>
          <w:lang w:val="fr-FR"/>
        </w:rPr>
        <w:t>nosocomiales</w:t>
      </w:r>
      <w:bookmarkEnd w:id="80"/>
    </w:p>
    <w:p w14:paraId="7007F102" w14:textId="77777777" w:rsidR="00B611D1" w:rsidRDefault="00B611D1">
      <w:pPr>
        <w:jc w:val="both"/>
        <w:rPr>
          <w:rFonts w:eastAsia="Calibri"/>
          <w:b/>
          <w:bCs/>
          <w:lang w:val="fr-FR"/>
        </w:rPr>
      </w:pPr>
    </w:p>
    <w:p w14:paraId="7BB5C638" w14:textId="77777777" w:rsidR="00B611D1" w:rsidRDefault="00FB7689">
      <w:pPr>
        <w:spacing w:line="360" w:lineRule="auto"/>
        <w:jc w:val="both"/>
        <w:rPr>
          <w:lang w:val="fr-FR" w:eastAsia="zh-CN"/>
        </w:rPr>
      </w:pPr>
      <w:r>
        <w:rPr>
          <w:rFonts w:eastAsia="Calibri"/>
          <w:lang w:val="fr-FR"/>
        </w:rPr>
        <w:t xml:space="preserve">Bien que la charge microbienne présente sur les surfaces dans les environnements de soins soit généralement inférieure à celle observée sur la peau des patients ou sur les main des professionnels de santé </w:t>
      </w:r>
      <w:r>
        <w:rPr>
          <w:rFonts w:eastAsia="Calibri"/>
          <w:b/>
          <w:bCs/>
          <w:lang w:val="fr" w:bidi="ar"/>
        </w:rPr>
        <w:fldChar w:fldCharType="begin"/>
      </w:r>
      <w:r>
        <w:rPr>
          <w:rFonts w:eastAsia="Calibri"/>
          <w:b/>
          <w:bCs/>
          <w:lang w:val="fr" w:bidi="ar"/>
        </w:rPr>
        <w:instrText xml:space="preserve"> ADDIN ZOTERO_ITEM CSL_CITATION {"citationID":"27h7JK7G","properties":{"formattedCitation":"(Kramer &amp; Assadian, 2014)","plainCitation":"(Kramer &amp; Assadian, 2014)","noteIndex":0},"citationItems":[{"id":140,"uris":["http://zotero.org/users/16279382/items/38LLWDM7"],"itemData":{"id":140,"type":"chapter","abstract":"In healthcare settings microbial contaminated surfaces play an important role in indirect transmission of infection. Especially surfaces close to the patients’ environment may be touched at high frequencies, allowing transmission from animated sources to others via contaminated inanimate surfaces.","container-title":"Use of Biocidal Surfaces for Reduction of Healthcare Acquired Infections","event-place":"Cham","ISBN":"978-3-319-08057-4","language":"en","note":"DOI: 10.1007/978-3-319-08057-4_2","page":"7-26","publisher":"Springer International Publishing","publisher-place":"Cham","source":"Springer Link","title":"Survival of Microorganisms on Inanimate Surfaces","URL":"https://doi.org/10.1007/978-3-319-08057-4_2","author":[{"family":"Kramer","given":"Axel"},{"family":"Assadian","given":"Ojan"}],"editor":[{"family":"Borkow","given":"Gadi"}],"accessed":{"date-parts":[["2025",5,13]]},"issued":{"date-parts":[["2014"]]}}}],"schema":"https://github.com/citation-style-language/schema/raw/master/csl-citation.json"} </w:instrText>
      </w:r>
      <w:r>
        <w:rPr>
          <w:rFonts w:eastAsia="Calibri"/>
          <w:b/>
          <w:bCs/>
          <w:lang w:val="fr" w:bidi="ar"/>
        </w:rPr>
        <w:fldChar w:fldCharType="separate"/>
      </w:r>
      <w:r>
        <w:rPr>
          <w:rFonts w:eastAsia="Calibri"/>
          <w:b/>
          <w:bCs/>
          <w:lang w:val="fr" w:bidi="ar"/>
        </w:rPr>
        <w:t>(Kramer &amp; Assadian, 2014)</w:t>
      </w:r>
      <w:r>
        <w:rPr>
          <w:rFonts w:eastAsia="Calibri"/>
          <w:b/>
          <w:bCs/>
          <w:lang w:val="fr" w:bidi="ar"/>
        </w:rPr>
        <w:fldChar w:fldCharType="end"/>
      </w:r>
      <w:r>
        <w:rPr>
          <w:rFonts w:eastAsia="Calibri"/>
          <w:b/>
          <w:bCs/>
          <w:lang w:val="fr-FR" w:bidi="ar"/>
        </w:rPr>
        <w:t>.</w:t>
      </w:r>
      <w:r>
        <w:rPr>
          <w:rFonts w:eastAsia="Calibri"/>
          <w:lang w:val="fr-FR"/>
        </w:rPr>
        <w:t xml:space="preserve"> ces </w:t>
      </w:r>
      <w:r>
        <w:rPr>
          <w:lang w:val="fr-FR"/>
        </w:rPr>
        <w:t xml:space="preserve">surfaces inertes peuvent néanmoins jouent un rôle crucial dans la transmission des micro-organismes pathogènes responsables des infections associées aux soins </w:t>
      </w:r>
      <w:r>
        <w:rPr>
          <w:rFonts w:eastAsia="Calibri"/>
          <w:b/>
          <w:bCs/>
          <w:lang w:val="fr" w:bidi="ar"/>
        </w:rPr>
        <w:fldChar w:fldCharType="begin"/>
      </w:r>
      <w:r>
        <w:rPr>
          <w:rFonts w:eastAsia="Calibri"/>
          <w:b/>
          <w:bCs/>
          <w:lang w:val="fr" w:bidi="ar"/>
        </w:rPr>
        <w:instrText xml:space="preserve"> ADDIN ZOTERO_ITEM CSL_CITATION {"citationID":"7xCSaGSP","properties":{"formattedCitation":"(Hussein Omar, 2024)","plainCitation":"(Hussein Omar, 2024)","noteIndex":0},"citationItems":[{"id":139,"uris":["http://zotero.org/users/16279382/items/R6SJKTAD"],"itemData":{"id":139,"type":"article-journal","abstract":"Bacteria, especially Multidrug-resistant (MDR) isolates, can contaminate inanimate surfaces and equipment in intensive care unit (ICU) (such as bedrails, stethoscopes, medical charts, and ultrasound machines). Transmission of microbes from inanimate surfaces may play a major role in the colonization and infection of patients in ICUs. Healthcare worker hands and patient discharge both have the potential to spread germs, which can live for months on dry surfaces. (It was reported that the rate of environmental contamination is higher near infected individuals than it is near colonized patients, and that within the latter group, there is a link between the frequency of environmental contamination and culture-positive body locations) Incomprehensible sentence. In addition to acquiring germs from direct patient contact, healthcare personnel can pick them up through inanimate surfaces and equipment in the patient zone. Patient colonization or infection can occur if healthcare workers do not properly clean their hands before and after handling patients. Several pieces of equipment and frequently used objects in (ICU) include bacteria with antibiotic susceptibility profiles that are quite similar to those of germs isolated from patients. In light of the patient-zone concept and the potential consequences for bacterial pathogen cross-transmission to critically ill patients, this review aims to present up-to-date knowledge concerning the contamination of inanimate surfaces and equipment in ICUs.","container-title":"Academic Journal of Nawroz University","DOI":"10.25007/ajnu.v13n1a1889","ISSN":"2520-789X","issue":"1","journalAbbreviation":"ACAD J NAWROZ UNIV","language":"en","license":"https://creativecommons.org/licenses/by-nc-nd/4.0","page":"658-664","source":"DOI.org (Crossref)","title":"Bacterial Contamination on Electronic Surfaces in ICU","volume":"13","author":[{"family":"Hussein Omar","given":"Ayas"}],"issued":{"date-parts":[["2024",3,31]]}}}],"schema":"https://github.com/citation-style-language/schema/raw/master/csl-citation.json"} </w:instrText>
      </w:r>
      <w:r>
        <w:rPr>
          <w:rFonts w:eastAsia="Calibri"/>
          <w:b/>
          <w:bCs/>
          <w:lang w:val="fr" w:bidi="ar"/>
        </w:rPr>
        <w:fldChar w:fldCharType="separate"/>
      </w:r>
      <w:r>
        <w:rPr>
          <w:rFonts w:eastAsia="Calibri"/>
          <w:b/>
          <w:bCs/>
          <w:lang w:val="fr" w:bidi="ar"/>
        </w:rPr>
        <w:t>(Hussein Omar, 2024)</w:t>
      </w:r>
      <w:r>
        <w:rPr>
          <w:rFonts w:eastAsia="Calibri"/>
          <w:b/>
          <w:bCs/>
          <w:lang w:val="fr" w:bidi="ar"/>
        </w:rPr>
        <w:fldChar w:fldCharType="end"/>
      </w:r>
      <w:r>
        <w:rPr>
          <w:rFonts w:eastAsia="Calibri"/>
          <w:b/>
          <w:bCs/>
          <w:lang w:val="fr-FR"/>
        </w:rPr>
        <w:t xml:space="preserve">.  </w:t>
      </w:r>
      <w:r>
        <w:rPr>
          <w:rFonts w:eastAsia="Calibri"/>
          <w:lang w:val="fr-FR"/>
        </w:rPr>
        <w:t xml:space="preserve">Les bactéries peuvent s’y fixer et persister longtemps grâce à des interactions physico-chimiques, influencées à la fois par leurs propres caractéristiques et par celles des matériaux des surfaces </w:t>
      </w:r>
      <w:r>
        <w:rPr>
          <w:rFonts w:eastAsia="Calibri"/>
          <w:b/>
          <w:bCs/>
          <w:lang w:val="fr" w:bidi="ar"/>
        </w:rPr>
        <w:fldChar w:fldCharType="begin"/>
      </w:r>
      <w:r>
        <w:rPr>
          <w:rFonts w:eastAsia="Calibri"/>
          <w:b/>
          <w:bCs/>
          <w:lang w:val="fr" w:bidi="ar"/>
        </w:rPr>
        <w:instrText xml:space="preserve"> ADDIN ZOTERO_ITEM CSL_CITATION {"citationID":"AxiwY3y2","properties":{"formattedCitation":"(Carniello et al., 2018)","plainCitation":"(Carniello et al., 2018)","noteIndex":0},"citationItems":[{"id":142,"uris":["http://zotero.org/users/16279382/items/HB8F9WLN"],"itemData":{"id":142,"type":"article-journal","abstract":"Biofilm formation is initiated by adhesion of individual bacteria to a surface. However, surface adhesion alone is not sufficient to form the complex community architecture of a biofilm. Surface-sensing creates bacterial awareness of their adhering state on the surface and is essential to initiate the phenotypic and genotypic changes that characterize the transition from initial bacterial adhesion to a biofilm. Physico-chemistry has been frequently applied to explain initial bacterial adhesion phenomena, including bacterial mass transport, role of substratum surface properties in initial adhesion and the transition from reversible to irreversible adhesion. However, also emergent biofilm properties, such as production of extracellular-polymeric-substances (EPS), can be surface-programmed. This review presents a four-step, comprehensive description of the role of physico-chemistry from initial bacterial adhesion to surface-programmed biofilm growth: (1) bacterial mass transport towards a surface, (2) reversible bacterial adhesion and (3) transition to irreversible adhesion and (4) cell wall deformation and associated emergent properties. Bacterial transport mostly occurs from sedimentation or convective-diffusion, while initial bacterial adhesion can be described by surface thermodynamic and Derjaguin−Landau−Verwey−Overbeek (DLVO)-analyses, considering bacteria as smooth, inert colloidal particles. DLVO-analyses however, require precise indication of the bacterial cell surface, which is impossible due to the presence of bacterial surface tethers, creating a multi-scale roughness that impedes proper definition of the interaction distance in DLVO-analyses. Application of surface thermodynamics is also difficult, because initial bacterial adhesion is only an equilibrium phenomenon for a short period of time, when bacteria are attached to a substratum surface through few surface tethers. Physico-chemical bond-strengthening occurs in several minutes leading to irreversible adhesion due to progressive removal of interfacial water, conformational changes in cell surface proteins, re-orientation of bacteria on a surface and the progressive involvement of more tethers in adhesion. After initial bond-strengthening, adhesion forces arising from a substratum surface cause nanoscopic deformation of the bacterial cell wall against the elasticity of the rigid peptidoglycan layer positioned in the cell wall and the intracellular pressure of the cytoplasm. Cell wall deformation not only increases the contact area with a substratum surface, presenting another physico-chemical bond-strengthening mechanism, but is also accompanied by membrane surface tension changes. Membrane-located sensor molecules subsequently react to control emergent phenotypic and genotypic properties in biofilms, most notably adhesion-associated ones like EPS production. Moreover, also bacterial efflux pump systems may be activated or mechano-sensitive channels may be opened upon adhesion-induced cell wall deformation. The physico-chemical properties of the substratum surface thus control the response of initially adhering bacteria and through excretion of autoinducer molecules extend the awareness of their adhering state to other biofilm inhabitants who subsequently respond with similar emergent properties. Herewith, physico-chemistry is not only involved in initial bacterial adhesion to surfaces but also in what we here propose to call “surface-programmed” biofilm growth. This conclusion is pivotal for the development of new strategies to control biofilm formation on substratum surfaces, that have hitherto been largely confined to the initial bacterial adhesion phenomena.","container-title":"Advances in Colloid and Interface Science","DOI":"10.1016/j.cis.2018.10.005","ISSN":"0001-8686","journalAbbreviation":"Advances in Colloid and Interface Science","page":"1-14","source":"ScienceDirect","title":"Physico-chemistry from initial bacterial adhesion to surface-programmed biofilm growth","volume":"261","author":[{"family":"Carniello","given":"Vera"},{"family":"Peterson","given":"Brandon W."},{"family":"Mei","given":"Henny C.","non-dropping-particle":"van der"},{"family":"Busscher","given":"Henk J."}],"issued":{"date-parts":[["2018",11,1]]}}}],"schema":"https://github.com/citation-style-language/schema/raw/master/csl-citation.json"} </w:instrText>
      </w:r>
      <w:r>
        <w:rPr>
          <w:rFonts w:eastAsia="Calibri"/>
          <w:b/>
          <w:bCs/>
          <w:lang w:val="fr" w:bidi="ar"/>
        </w:rPr>
        <w:fldChar w:fldCharType="separate"/>
      </w:r>
      <w:r>
        <w:rPr>
          <w:rFonts w:eastAsia="Calibri"/>
          <w:b/>
          <w:bCs/>
          <w:lang w:val="fr" w:bidi="ar"/>
        </w:rPr>
        <w:t xml:space="preserve">(Carniello </w:t>
      </w:r>
      <w:r>
        <w:rPr>
          <w:rFonts w:eastAsia="Calibri"/>
          <w:b/>
          <w:bCs/>
          <w:i/>
          <w:iCs/>
          <w:lang w:val="fr" w:bidi="ar"/>
        </w:rPr>
        <w:t>et al</w:t>
      </w:r>
      <w:r>
        <w:rPr>
          <w:rFonts w:eastAsia="Calibri"/>
          <w:b/>
          <w:bCs/>
          <w:lang w:val="fr" w:bidi="ar"/>
        </w:rPr>
        <w:t>., 2018)</w:t>
      </w:r>
      <w:r>
        <w:rPr>
          <w:rFonts w:eastAsia="Calibri"/>
          <w:b/>
          <w:bCs/>
          <w:lang w:val="fr" w:bidi="ar"/>
        </w:rPr>
        <w:fldChar w:fldCharType="end"/>
      </w:r>
      <w:r>
        <w:rPr>
          <w:rFonts w:eastAsia="Calibri"/>
          <w:b/>
          <w:bCs/>
          <w:lang w:val="fr-FR"/>
        </w:rPr>
        <w:t xml:space="preserve">. </w:t>
      </w:r>
      <w:r>
        <w:rPr>
          <w:lang w:val="fr-FR"/>
        </w:rPr>
        <w:t>Cette adhésion transforme ces surfaces en réservoirs secondaires d’agents infectieux, surtout lorsque les protocoles de nettoyage et de désinfection sont insuffisants.</w:t>
      </w:r>
    </w:p>
    <w:p w14:paraId="07825326" w14:textId="77777777" w:rsidR="00B611D1" w:rsidRDefault="00FB7689">
      <w:pPr>
        <w:spacing w:line="360" w:lineRule="auto"/>
        <w:jc w:val="both"/>
        <w:rPr>
          <w:lang w:eastAsia="zh-CN"/>
        </w:rPr>
      </w:pPr>
      <w:r>
        <w:rPr>
          <w:lang w:val="fr-FR"/>
        </w:rPr>
        <w:t xml:space="preserve">Les surfaces les plus contaminées dans les milieux hospitaliers sont généralement celles fréquemment touchées, notamment près des patients, comme les barrières de lit, les tables, les oreillers et les matelas. </w:t>
      </w:r>
      <w:r>
        <w:rPr>
          <w:rStyle w:val="lev"/>
          <w:b w:val="0"/>
          <w:bCs w:val="0"/>
          <w:lang w:val="fr-FR"/>
        </w:rPr>
        <w:t>Dans ce contexte, notre attention se porte principalement sur les bactéries</w:t>
      </w:r>
      <w:r>
        <w:rPr>
          <w:lang w:val="fr-FR"/>
        </w:rPr>
        <w:t xml:space="preserve">, qui représentent les micro-organismes pathogènes les plus courants, tels que </w:t>
      </w:r>
      <w:r>
        <w:rPr>
          <w:rStyle w:val="Accentuation"/>
          <w:lang w:val="fr-FR"/>
        </w:rPr>
        <w:t>Staphylococcus aureus</w:t>
      </w:r>
      <w:r>
        <w:rPr>
          <w:lang w:val="fr-FR"/>
        </w:rPr>
        <w:t xml:space="preserve">, </w:t>
      </w:r>
      <w:r>
        <w:rPr>
          <w:rStyle w:val="Accentuation"/>
          <w:lang w:val="fr-FR"/>
        </w:rPr>
        <w:t>Enterococcus</w:t>
      </w:r>
      <w:r>
        <w:rPr>
          <w:lang w:val="fr-FR"/>
        </w:rPr>
        <w:t xml:space="preserve"> spp., et </w:t>
      </w:r>
      <w:r>
        <w:rPr>
          <w:rStyle w:val="Accentuation"/>
          <w:lang w:val="fr-FR"/>
        </w:rPr>
        <w:t>Acinetobacter baumannii</w:t>
      </w:r>
      <w:r>
        <w:rPr>
          <w:lang w:val="fr-FR"/>
        </w:rPr>
        <w:t xml:space="preserve"> </w:t>
      </w:r>
      <w:r>
        <w:rPr>
          <w:rFonts w:eastAsia="Calibri"/>
          <w:b/>
          <w:bCs/>
          <w:lang w:val="fr" w:bidi="ar"/>
        </w:rPr>
        <w:fldChar w:fldCharType="begin"/>
      </w:r>
      <w:r>
        <w:rPr>
          <w:rFonts w:eastAsia="Calibri"/>
          <w:b/>
          <w:bCs/>
          <w:lang w:val="fr" w:bidi="ar"/>
        </w:rPr>
        <w:instrText xml:space="preserve"> ADDIN ZOTERO_ITEM CSL_CITATION {"citationID":"GTIv1bvJ","properties":{"formattedCitation":"(Odoyo et al., 2023)","plainCitation":"(Odoyo et al., 2023)","noteIndex":0},"citationItems":[{"id":145,"uris":["http://zotero.org/users/16279382/items/XZYVPQSR"],"itemData":{"id":145,"type":"article-journal","abstract":"Healthcare-associated infections (HAIs) are often caused by multidrug-resistant (MDR) bacteria contaminating hospital environments which can cause outbreaks as well as sporadic transmission.","container-title":"Antimicrobial Resistance &amp; Infection Control","DOI":"10.1186/s13756-023-01227-x","ISSN":"2047-2994","issue":"1","journalAbbreviation":"Antimicrob Resist Infect Control","language":"en","page":"22","source":"Springer Link","title":"Environmental contamination across multiple hospital departments with multidrug-resistant bacteria pose an elevated risk of healthcare-associated infections in Kenyan hospitals","volume":"12","author":[{"family":"Odoyo","given":"Erick"},{"family":"Matano","given":"Daniel"},{"family":"Tiria","given":"Fredrick"},{"family":"Georges","given":"Martin"},{"family":"Kyanya","given":"Cecilia"},{"family":"Wahome","given":"Samuel"},{"family":"Mutai","given":"Winnie"},{"family":"Musila","given":"Lillian"}],"issued":{"date-parts":[["2023",3,29]]}}}],"schema":"https://github.com/citation-style-language/schema/raw/master/csl-citation.json"} </w:instrText>
      </w:r>
      <w:r>
        <w:rPr>
          <w:rFonts w:eastAsia="Calibri"/>
          <w:b/>
          <w:bCs/>
          <w:lang w:val="fr" w:bidi="ar"/>
        </w:rPr>
        <w:fldChar w:fldCharType="separate"/>
      </w:r>
      <w:r>
        <w:rPr>
          <w:rFonts w:eastAsia="Calibri"/>
          <w:b/>
          <w:bCs/>
          <w:lang w:val="fr" w:bidi="ar"/>
        </w:rPr>
        <w:t xml:space="preserve">(Odoyo </w:t>
      </w:r>
      <w:r>
        <w:rPr>
          <w:rFonts w:eastAsia="Calibri"/>
          <w:b/>
          <w:bCs/>
          <w:i/>
          <w:iCs/>
          <w:lang w:val="fr" w:bidi="ar"/>
        </w:rPr>
        <w:t>et al</w:t>
      </w:r>
      <w:r>
        <w:rPr>
          <w:rFonts w:eastAsia="Calibri"/>
          <w:b/>
          <w:bCs/>
          <w:lang w:val="fr" w:bidi="ar"/>
        </w:rPr>
        <w:t>., 2023)</w:t>
      </w:r>
      <w:r>
        <w:rPr>
          <w:rFonts w:eastAsia="Calibri"/>
          <w:b/>
          <w:bCs/>
          <w:lang w:val="fr" w:bidi="ar"/>
        </w:rPr>
        <w:fldChar w:fldCharType="end"/>
      </w:r>
      <w:r>
        <w:rPr>
          <w:rFonts w:eastAsia="Calibri"/>
          <w:b/>
          <w:bCs/>
          <w:lang w:val="fr-FR"/>
        </w:rPr>
        <w:t xml:space="preserve">. </w:t>
      </w:r>
      <w:r>
        <w:rPr>
          <w:lang w:val="fr-FR"/>
        </w:rPr>
        <w:t xml:space="preserve">Ces bactéries persistent dans l’environnement hospitalier en formant des biofilms, renforçant ainsi leur adhérence aux surfaces inertes et leur conférant une résistance accrue à la dessiccation ainsi qu’aux agents désinfectants et biocides. Cette capacité leur permet de survivre longtemps, même dans des conditions défavorables </w:t>
      </w:r>
      <w:r>
        <w:rPr>
          <w:rFonts w:eastAsia="Calibri"/>
          <w:b/>
          <w:bCs/>
          <w:lang w:val="fr" w:bidi="ar"/>
        </w:rPr>
        <w:fldChar w:fldCharType="begin"/>
      </w:r>
      <w:r>
        <w:rPr>
          <w:rFonts w:eastAsia="Calibri"/>
          <w:b/>
          <w:bCs/>
          <w:lang w:val="fr" w:bidi="ar"/>
        </w:rPr>
        <w:instrText xml:space="preserve"> ADDIN ZOTERO_ITEM CSL_CITATION {"citationID":"ATjCXJVj","properties":{"formattedCitation":"(Almatroudi, 2025)","plainCitation":"(Almatroudi, 2025)","noteIndex":0},"citationItems":[{"id":369,"uris":["http://zotero.org/users/16279382/items/NVII6A93"],"itemData":{"id":369,"type":"article-journal","abstract":"Biofilms are groups of microorganisms that stick together and form a protective layer, making them extremely difficult to eliminate with standard antibiotics. These biofilms often develop on medical devices, such as catheters and implants, or in wounds, causing long-lasting infections that are hard to treat and pose serious challenges in healthcare settings. This study investigates the structure of biofilms, how they protect bacteria from treatments, and their role in healthcare-associated infections. It highlights biofilms’ significant burden on healthcare systems, including prolonged hospital stays and increased treatment costs. To combat biofilm-related infections, the study explores innovative strategies such as nanoparticles that deliver targeted treatments, specialized enzymes that break down biofilms, and advanced coatings for medical devices that prevent biofilm formation. It also emphasizes the importance of early detection using advanced diagnostic tools, which can help tailor treatments to individual infections and improve outcomes. These advancements are vital for improving patient care, reducing infections, and creating safer healthcare environments. By addressing the challenges of biofilm-associated infections, this research contributes to developing better treatment options and more effective prevention strategies for patients and healthcare providers alike., Healthcare-associated infections pose a significant global health challenge, negatively impacting patient outcomes and burdening healthcare systems. A major contributing factor to healthcare-associated infections is the formation of biofilms, structured microbial communities encased in a self-produced extracellular polymeric substance matrix. Biofilms are critical in disease etiology and antibiotic resistance, complicating treatment and infection control efforts. Their inherent resistance mechanisms enable them to withstand antibiotic therapies, leading to recurrent infections and increased morbidity. This review explores the development of biofilms and their dual roles in health and disease. It highlights the structural and protective functions of the EPS matrix, which shields microbial populations from immune responses and antimicrobial agents. Key molecular mechanisms of biofilm resistance, including restricted antibiotic penetration, persister cell dormancy, and genetic adaptations, are identified as significant barriers to effective management. Biofilms are implicated in various clinical contexts, including chronic wounds, medical device-associated infections, oral health complications, and surgical site infections. Their prevalence in hospital environments exacerbates infection control challenges and underscores the urgent need for innovative preventive and therapeutic strategies. This review evaluates cutting-edge approaches such as DNase-mediated biofilm disruption, RNAIII-inhibiting peptides, DNABII proteins, bacteriophage therapies, antimicrobial peptides, nanoparticle-based solutions, antimicrobial coatings, and antimicrobial lock therapies. It also examines critical challenges associated with biofilm-related healthcare-associated infections, including diagnostic difficulties, disinfectant resistance, and economic implications. This review emphasizes the need for a multidisciplinary approach and underscores the importance of understanding biofilm dynamics, their role in disease pathogenesis, and the advancements in therapeutic strategies to combat biofilm-associated infections effectively in clinical settings. These insights aim to enhance treatment outcomes and reduce the burden of biofilm-related diseases.","container-title":"Biology","DOI":"10.3390/biology14020165","ISSN":"2079-7737","issue":"2","journalAbbreviation":"Biology (Basel)","note":"PMID: 40001933\nPMCID: PMC11852148","page":"165","source":"PubMed Central","title":"Biofilm Resilience: Molecular Mechanisms Driving Antibiotic Resistance in Clinical Contexts","title-short":"Biofilm Resilience","volume":"14","author":[{"family":"Almatroudi","given":"Ahmad"}],"issued":{"date-parts":[["2025",2,6]]}}}],"schema":"https://github.com/citation-style-language/schema/raw/master/csl-citation.json"} </w:instrText>
      </w:r>
      <w:r>
        <w:rPr>
          <w:rFonts w:eastAsia="Calibri"/>
          <w:b/>
          <w:bCs/>
          <w:lang w:val="fr" w:bidi="ar"/>
        </w:rPr>
        <w:fldChar w:fldCharType="separate"/>
      </w:r>
      <w:r>
        <w:rPr>
          <w:rFonts w:eastAsia="Calibri"/>
          <w:b/>
          <w:bCs/>
          <w:szCs w:val="22"/>
          <w:lang w:val="fr" w:bidi="ar"/>
        </w:rPr>
        <w:t>(Almatroudi, 2025)</w:t>
      </w:r>
      <w:r>
        <w:rPr>
          <w:rFonts w:eastAsia="Calibri"/>
          <w:b/>
          <w:bCs/>
          <w:lang w:val="fr" w:bidi="ar"/>
        </w:rPr>
        <w:fldChar w:fldCharType="end"/>
      </w:r>
      <w:r>
        <w:rPr>
          <w:lang w:val="fr-FR"/>
        </w:rPr>
        <w:t xml:space="preserve">. De plus, certaines espèces bactériennes peuvent former des spores en réponse à ces conditions hostiles, compliquant leur détection et élimination </w:t>
      </w:r>
      <w:r>
        <w:rPr>
          <w:rFonts w:eastAsia="Calibri"/>
          <w:b/>
          <w:bCs/>
          <w:lang w:val="fr" w:bidi="ar"/>
        </w:rPr>
        <w:fldChar w:fldCharType="begin"/>
      </w:r>
      <w:r>
        <w:rPr>
          <w:rFonts w:eastAsia="Calibri"/>
          <w:b/>
          <w:bCs/>
          <w:lang w:val="fr" w:bidi="ar"/>
        </w:rPr>
        <w:instrText xml:space="preserve"> ADDIN ZOTERO_ITEM CSL_CITATION {"citationID":"3JKaI4Ov","properties":{"formattedCitation":"(Kiersnowska et al., 2022)","plainCitation":"(Kiersnowska et al., 2022)","noteIndex":0},"citationItems":[{"id":372,"uris":["http://zotero.org/users/16279382/items/8SCNQWLS"],"itemData":{"id":372,"type":"article-journal","abstract":"Clostridioides difficile, due to its long survival time in a hospital environment, is considered to be one of the most frequent factors in healthcare-associated infections. Patient care requires not only rapid and accurate diagnosis, but also knowledge of individual risk factors for infections, e.g., with C. difficile, in various clinical conditions. The goal of this study was to analyse the degree of contamination of a hospital environment with C. difficile spores. Culturing was performed using C diff Banana BrothTM medium, which enables germination of the spores of these bacteria. Samples were collected from inanimate objects within a hospital environment in a specialist hospital in Poland. The results of the study demonstrated the presence of 18 positive samples of Clostridioides spp. (15.4%). Of these, C. difficile spores were detected in six samples, Clostridioides perfringens in eight samples, Clostridioides sporogenes in two samples and Clostridioides innocuum and Clostridioides baratii in one sample each. Among the six samples of C. difficile, a total of four strains which produce the B toxin were cultured. The binary toxin related to ribotype 027 was not detected in our study. Nosocomial infection risk management is a significant problem, mainly concerning the issues of hygiene maintenance, cleaning policy and quality control, and awareness of infection risk.","container-title":"International Journal of Environmental Research and Public Health","DOI":"10.3390/ijerph192315670","ISSN":"1660-4601","issue":"23","language":"en","license":"http://creativecommons.org/licenses/by/3.0/","note":"number: 23\npublisher: Multidisciplinary Digital Publishing Institute","page":"15670","source":"www.mdpi.com","title":"Detection and Analysis of Clostridioides difficile Spores in a Hospital Environment","volume":"19","author":[{"family":"Kiersnowska","given":"Zofia Maria"},{"family":"Lemiech-Mirowska","given":"Ewelina"},{"family":"Michałkiewicz","given":"Michał"},{"family":"Sierocka","given":"Aleksandra"},{"family":"Marczak","given":"Michał"}],"issued":{"date-parts":[["2022",1]]}}}],"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(Kiersnowska </w:t>
      </w:r>
      <w:r>
        <w:rPr>
          <w:rFonts w:eastAsia="Calibri"/>
          <w:b/>
          <w:bCs/>
          <w:i/>
          <w:iCs/>
          <w:szCs w:val="22"/>
          <w:lang w:val="fr" w:bidi="ar"/>
        </w:rPr>
        <w:t>et al</w:t>
      </w:r>
      <w:r>
        <w:rPr>
          <w:rFonts w:eastAsia="Calibri"/>
          <w:b/>
          <w:bCs/>
          <w:szCs w:val="22"/>
          <w:lang w:val="fr" w:bidi="ar"/>
        </w:rPr>
        <w:t>., 2022)</w:t>
      </w:r>
      <w:r>
        <w:rPr>
          <w:rFonts w:eastAsia="Calibri"/>
          <w:b/>
          <w:bCs/>
          <w:lang w:val="fr" w:bidi="ar"/>
        </w:rPr>
        <w:fldChar w:fldCharType="end"/>
      </w:r>
      <w:r>
        <w:t>.</w:t>
      </w:r>
    </w:p>
    <w:p w14:paraId="2DBC9593" w14:textId="77777777" w:rsidR="00B611D1" w:rsidRDefault="00B611D1">
      <w:pPr>
        <w:spacing w:line="360" w:lineRule="auto"/>
        <w:jc w:val="both"/>
        <w:rPr>
          <w:rFonts w:eastAsia="Calibri"/>
          <w:b/>
          <w:bCs/>
          <w:lang w:eastAsia="zh-CN"/>
        </w:rPr>
      </w:pPr>
    </w:p>
    <w:p w14:paraId="36C2E7CB" w14:textId="77777777" w:rsidR="00B611D1" w:rsidRDefault="00B611D1">
      <w:pPr>
        <w:spacing w:line="360" w:lineRule="auto"/>
        <w:jc w:val="both"/>
        <w:rPr>
          <w:rFonts w:eastAsia="Calibri"/>
          <w:b/>
          <w:bCs/>
          <w:lang w:eastAsia="zh-CN"/>
        </w:rPr>
      </w:pPr>
    </w:p>
    <w:p w14:paraId="6E4323D8" w14:textId="77777777" w:rsidR="00B611D1" w:rsidRDefault="00B611D1">
      <w:pPr>
        <w:spacing w:line="360" w:lineRule="auto"/>
        <w:jc w:val="both"/>
        <w:rPr>
          <w:rFonts w:eastAsia="Calibri"/>
          <w:b/>
          <w:bCs/>
          <w:lang w:eastAsia="zh-CN"/>
        </w:rPr>
      </w:pPr>
    </w:p>
    <w:p w14:paraId="20C31227" w14:textId="77777777" w:rsidR="00B611D1" w:rsidRDefault="00FB7689">
      <w:pPr>
        <w:pStyle w:val="Titre3"/>
        <w:numPr>
          <w:ilvl w:val="2"/>
          <w:numId w:val="1"/>
        </w:numPr>
      </w:pPr>
      <w:bookmarkStart w:id="81" w:name="_Toc201260076"/>
      <w:r>
        <w:rPr>
          <w:rFonts w:eastAsia="Calibri"/>
        </w:rPr>
        <w:t>La</w:t>
      </w:r>
      <w:r>
        <w:t xml:space="preserve"> persistance des micro-organismes</w:t>
      </w:r>
      <w:bookmarkEnd w:id="81"/>
    </w:p>
    <w:p w14:paraId="769C1F3B" w14:textId="77777777" w:rsidR="00B611D1" w:rsidRDefault="00FB7689">
      <w:pPr>
        <w:spacing w:line="360" w:lineRule="auto"/>
        <w:jc w:val="both"/>
        <w:rPr>
          <w:lang w:val="fr-FR"/>
        </w:rPr>
      </w:pPr>
      <w:r>
        <w:rPr>
          <w:lang w:val="fr-FR"/>
        </w:rPr>
        <w:t xml:space="preserve">La persistance des micro-organismes dans les surfaces varie considérablement en fonction de plusieurs facteurs, tels que le type de microbe, la température, le ph, l'humidité, la surface   </w:t>
      </w:r>
    </w:p>
    <w:p w14:paraId="5E671C0F" w14:textId="77777777" w:rsidR="00B611D1" w:rsidRDefault="00FB7689">
      <w:pPr>
        <w:spacing w:line="360" w:lineRule="auto"/>
        <w:jc w:val="both"/>
        <w:rPr>
          <w:rFonts w:eastAsia="Calibri"/>
          <w:lang w:val="fr-FR"/>
        </w:rPr>
      </w:pPr>
      <w:r>
        <w:rPr>
          <w:rFonts w:eastAsia="Calibri"/>
          <w:lang w:val="fr-FR"/>
        </w:rPr>
        <w:t xml:space="preserve">Des études récentes ont révélé que certaines espèces bactériennes, en particulier </w:t>
      </w:r>
      <w:r>
        <w:rPr>
          <w:rFonts w:eastAsia="Calibri"/>
          <w:i/>
          <w:iCs/>
          <w:lang w:val="fr-FR"/>
        </w:rPr>
        <w:t>Klebsiella pneumoniae</w:t>
      </w:r>
      <w:r>
        <w:rPr>
          <w:rFonts w:eastAsia="Calibri"/>
          <w:lang w:val="fr-FR"/>
        </w:rPr>
        <w:t xml:space="preserve">, présentent une capacité remarquable à survivre dans des conditions environnementales hostiles, atteignant jusqu’à 600 jours de viabilité sur des surfaces sèches. Cette résistance prolongée est souvent attribuée à la formation de biofilms secs, une structure protectrice qui permet aux micro-organismes d’échapper aux désinfectants courants et de résister au dessèchement </w:t>
      </w:r>
      <w:r>
        <w:rPr>
          <w:rFonts w:eastAsia="Calibri"/>
          <w:b/>
          <w:bCs/>
          <w:lang w:val="fr" w:bidi="ar"/>
        </w:rPr>
        <w:fldChar w:fldCharType="begin"/>
      </w:r>
      <w:r>
        <w:rPr>
          <w:rFonts w:eastAsia="Calibri"/>
          <w:b/>
          <w:bCs/>
          <w:lang w:val="fr" w:bidi="ar"/>
        </w:rPr>
        <w:instrText xml:space="preserve"> ADDIN ZOTERO_ITEM CSL_CITATION {"citationID":"NZj052rL","properties":{"formattedCitation":"(Centeleghe et al., 2023)","plainCitation":"(Centeleghe et al., 2023)","noteIndex":0},"citationItems":[{"id":155,"uris":["http://zotero.org/users/16279382/items/9C2LGHH6"],"itemData":{"id":155,"type":"article-journal","abstract":"Background\nDry surface biofilms (DSB) are widespread in healthcare settings presenting a challenge to cleaning and disinfection. Klebsiella pneumoniae has been a focus of attention due to antibiotic resistance and the emergence of hypervirulent strains. Few studies have demonstrated K pneumoniae survival on surfaces following desiccation.\nMethods\nDSB were formed over 12 days. Bacterial culturability and transfer were investigated following DSB incubation up to 4 weeks. Bacterial viability in DSB was investigated with live/dead staining using flow cytometry.\nResults\nK pneumoniae formed mature DSB. After 2 and 4 weeks of incubation, transfer from DSB was low (&lt;55%) and reduced further (&lt;21%) following wiping. Culturability at 2 and 4 weeks varied although viability remained high indicating viable but non culturable state (VBNC).\nDiscussion\nK pneumoniae was removed from surfaces by mechanical wiping as shown with DSB of other species. Although culturability was reduced over time, bacteria remained viable up to 4 weeks incubation, proving the need for robust cleaning regimens.\nConclusions\nThis is the first study confirming K pneumoniae survival on dry surfaces as a DSB. The presence of VBNC bacteria indicated that K pneumoniae can for extended periods, raising questions about its persistence on surfaces.","container-title":"American Journal of Infection Control","DOI":"10.1016/j.ajic.2023.02.009","ISSN":"0196-6553","issue":"10","journalAbbreviation":"American Journal of Infection Control","page":"1157-1162","source":"ScienceDirect","title":"&lt;i&gt;Klebsiella pneumoniae&lt;/i&gt; survives on surfaces as a dry biofilm","volume":"51","author":[{"family":"Centeleghe","given":"Isabella"},{"family":"Norville","given":"Philip"},{"family":"Hughes","given":"Louise"},{"family":"Maillard","given":"Jean-Yves"}],"issued":{"date-parts":[["2023",10,1]]}}}],"schema":"https://github.com/citation-style-language/schema/raw/master/csl-citation.json"} </w:instrText>
      </w:r>
      <w:r>
        <w:rPr>
          <w:rFonts w:eastAsia="Calibri"/>
          <w:b/>
          <w:bCs/>
          <w:lang w:val="fr" w:bidi="ar"/>
        </w:rPr>
        <w:fldChar w:fldCharType="separate"/>
      </w:r>
      <w:r>
        <w:rPr>
          <w:rFonts w:eastAsia="Calibri"/>
          <w:b/>
          <w:bCs/>
          <w:szCs w:val="22"/>
          <w:lang w:val="fr" w:bidi="ar"/>
        </w:rPr>
        <w:t>(Centeleghe et al., 2023)</w:t>
      </w:r>
      <w:r>
        <w:rPr>
          <w:rFonts w:eastAsia="Calibri"/>
          <w:b/>
          <w:bCs/>
          <w:lang w:val="fr" w:bidi="ar"/>
        </w:rPr>
        <w:fldChar w:fldCharType="end"/>
      </w:r>
      <w:r>
        <w:rPr>
          <w:rFonts w:eastAsia="Calibri"/>
          <w:b/>
          <w:bCs/>
          <w:lang w:val="fr-FR"/>
        </w:rPr>
        <w:t>.</w:t>
      </w:r>
      <w:r>
        <w:rPr>
          <w:rFonts w:eastAsia="Calibri"/>
          <w:lang w:val="fr-FR"/>
        </w:rPr>
        <w:t xml:space="preserve"> D’autres agents pathogènes opportunistes comme </w:t>
      </w:r>
      <w:r>
        <w:rPr>
          <w:rFonts w:eastAsia="Calibri"/>
          <w:i/>
          <w:iCs/>
          <w:lang w:val="fr-FR"/>
        </w:rPr>
        <w:t>Staphylococcus aureus</w:t>
      </w:r>
      <w:r>
        <w:rPr>
          <w:rFonts w:eastAsia="Calibri"/>
          <w:lang w:val="fr-FR"/>
        </w:rPr>
        <w:t xml:space="preserve"> (notamment les souches résistantes à la méthicilline – SARM),</w:t>
      </w:r>
      <w:r>
        <w:rPr>
          <w:rFonts w:eastAsia="Calibri"/>
          <w:i/>
          <w:iCs/>
          <w:lang w:val="fr-FR"/>
        </w:rPr>
        <w:t xml:space="preserve"> Enterococcus spp</w:t>
      </w:r>
      <w:r>
        <w:rPr>
          <w:rFonts w:eastAsia="Calibri"/>
          <w:lang w:val="fr-FR"/>
        </w:rPr>
        <w:t xml:space="preserve">. (y compris les souches résistantes à la vancomycine – VRE), </w:t>
      </w:r>
      <w:r>
        <w:rPr>
          <w:rFonts w:eastAsia="Calibri"/>
          <w:i/>
          <w:iCs/>
          <w:lang w:val="fr-FR"/>
        </w:rPr>
        <w:t>Acinetobacter baumannii</w:t>
      </w:r>
      <w:r>
        <w:rPr>
          <w:rFonts w:eastAsia="Calibri"/>
          <w:lang w:val="fr-FR"/>
        </w:rPr>
        <w:t xml:space="preserve">, </w:t>
      </w:r>
      <w:r>
        <w:rPr>
          <w:rFonts w:eastAsia="Calibri"/>
          <w:i/>
          <w:iCs/>
          <w:lang w:val="fr-FR"/>
        </w:rPr>
        <w:t>Pseudomonas aeruginosa</w:t>
      </w:r>
      <w:r>
        <w:rPr>
          <w:rFonts w:eastAsia="Calibri"/>
          <w:lang w:val="fr-FR"/>
        </w:rPr>
        <w:t xml:space="preserve">, </w:t>
      </w:r>
      <w:r>
        <w:rPr>
          <w:rFonts w:eastAsia="Calibri"/>
          <w:i/>
          <w:iCs/>
          <w:lang w:val="fr-FR"/>
        </w:rPr>
        <w:t>Escherichia coli</w:t>
      </w:r>
      <w:r>
        <w:rPr>
          <w:rFonts w:eastAsia="Calibri"/>
          <w:lang w:val="fr-FR"/>
        </w:rPr>
        <w:t xml:space="preserve">, </w:t>
      </w:r>
      <w:r>
        <w:rPr>
          <w:rFonts w:eastAsia="Calibri"/>
          <w:i/>
          <w:iCs/>
          <w:lang w:val="fr-FR"/>
        </w:rPr>
        <w:t>Serratia</w:t>
      </w:r>
      <w:r>
        <w:rPr>
          <w:rFonts w:eastAsia="Calibri"/>
          <w:lang w:val="fr-FR"/>
        </w:rPr>
        <w:t xml:space="preserve"> </w:t>
      </w:r>
      <w:r>
        <w:rPr>
          <w:rFonts w:eastAsia="Calibri"/>
          <w:i/>
          <w:iCs/>
          <w:lang w:val="fr-FR"/>
        </w:rPr>
        <w:t xml:space="preserve">marcescens </w:t>
      </w:r>
      <w:r>
        <w:rPr>
          <w:rFonts w:eastAsia="Calibri"/>
          <w:lang w:val="fr-FR"/>
        </w:rPr>
        <w:t xml:space="preserve">et </w:t>
      </w:r>
      <w:r>
        <w:rPr>
          <w:rFonts w:eastAsia="Calibri"/>
          <w:i/>
          <w:iCs/>
          <w:lang w:val="fr-FR"/>
        </w:rPr>
        <w:t>Shigella spp</w:t>
      </w:r>
      <w:r>
        <w:rPr>
          <w:rFonts w:eastAsia="Calibri"/>
          <w:lang w:val="fr-FR"/>
        </w:rPr>
        <w:t xml:space="preserve">. ont également démontré une capacité à persister sur les surfaces inanimées pendant des périodes allant de quelques jours à plusieurs mois, </w:t>
      </w:r>
      <w:r>
        <w:rPr>
          <w:lang w:val="fr-FR"/>
        </w:rPr>
        <w:t xml:space="preserve">tout en conservant </w:t>
      </w:r>
      <w:r>
        <w:rPr>
          <w:rFonts w:eastAsia="Calibri"/>
          <w:lang w:val="fr-FR"/>
        </w:rPr>
        <w:t xml:space="preserve">leur pouvoir pathogène pendant toute la durée de leur survie </w:t>
      </w:r>
      <w:r>
        <w:rPr>
          <w:rFonts w:eastAsia="Calibri"/>
          <w:b/>
          <w:bCs/>
          <w:lang w:val="en-US" w:bidi="ar"/>
        </w:rPr>
        <w:fldChar w:fldCharType="begin"/>
      </w:r>
      <w:r>
        <w:rPr>
          <w:rFonts w:eastAsia="Calibri"/>
          <w:b/>
          <w:bCs/>
          <w:lang w:val="fr" w:bidi="ar"/>
        </w:rPr>
        <w:instrText xml:space="preserve"> ADDIN ZOTERO_ITEM CSL_CITATION {"citationID":"PkkRdzhk","properties":{"formattedCitation":"(Porter et al., 2024)","plainCitation":"(Porter et al., 2024)","noteIndex":0},"citationItems":[{"id":134,"uris":["http://zotero.org/users/16279382/items/V8DIEBX8"],"itemData":{"id":134,"type":"article-journal","abstract":"Healthcare hygiene plays a crucial role in the prevention of healthcare-associated infections. Patients admitted to a room where the previous occupant had a multi-drug-resistant bacterial infection are at an increased risk of colonization and infection with the same organism. A 2006 systematic review by Kramer et al. found that certain pathogens can survive for months on dry surfaces. The aim of this review is to update Kramer et al.’s previous review and provide contemporary data on the survival of pathogens relevant to the healthcare environment. We systematically searched Ovid MEDLINE, CINAHL and Scopus databases for studies that described the survival time of common nosocomial pathogens in the environment. Pathogens included in the review were bacterial, viral, and fungal. Studies were independently screened against predetermined inclusion/exclusion criteria by two researchers. Conflicts were resolved by one of two senior researchers. A spreadsheet was developed for the data extraction. The search identified 1736 studies. Following removal of duplicates and application of the search criteria, the synthesis of results from 62 included studies were included. 117 organisms were reported. The longest surviving organism reported was Klebsiella pneumoniae which was found to have persisted for 600 days. Common pathogens of concern to infection prevention and control, can survive or persist on inanimate surfaces for months. This data supports the need for a risk-based approach to cleaning and disinfection practices, accompanied by appropriate training, audit and feedback which are proven to be effective when adopted in a ‘bundle’ approach.","container-title":"Journal of Hospital Infection","DOI":"10.1016/j.jhin.2024.01.023","ISSN":"0195-6701","journalAbbreviation":"Journal of Hospital Infection","page":"25-31","source":"ScienceDirect","title":"How long do nosocomial pathogens persist on inanimate surfaces? A scoping review","title-short":"How long do nosocomial pathogens persist on inanimate surfaces?","volume":"147","author":[{"family":"Porter","given":"L."},{"family":"Sultan","given":"O."},{"family":"Mitchell","given":"B. G."},{"family":"Jenney","given":"A."},{"family":"Kiernan","given":"M."},{"family":"Brewster","given":"D. J."},{"family":"Russo","given":"P. L."}],"issued":{"date-parts":[["2024",5,1]]}}}],"schema":"https://github.com/citation-style-language/schema/raw/master/csl-citation.json"} </w:instrText>
      </w:r>
      <w:r>
        <w:rPr>
          <w:rFonts w:eastAsia="Calibri"/>
          <w:b/>
          <w:bCs/>
          <w:lang w:val="en-US" w:bidi="ar"/>
        </w:rPr>
        <w:fldChar w:fldCharType="separate"/>
      </w:r>
      <w:r>
        <w:rPr>
          <w:rFonts w:eastAsia="Calibri"/>
          <w:b/>
          <w:bCs/>
          <w:lang w:val="fr" w:bidi="ar"/>
        </w:rPr>
        <w:t xml:space="preserve">(Porter </w:t>
      </w:r>
      <w:r>
        <w:rPr>
          <w:rFonts w:eastAsia="Calibri"/>
          <w:b/>
          <w:bCs/>
          <w:i/>
          <w:iCs/>
          <w:lang w:val="fr" w:bidi="ar"/>
        </w:rPr>
        <w:t>et al</w:t>
      </w:r>
      <w:r>
        <w:rPr>
          <w:rFonts w:eastAsia="Calibri"/>
          <w:b/>
          <w:bCs/>
          <w:lang w:val="fr" w:bidi="ar"/>
        </w:rPr>
        <w:t>., 2024)</w:t>
      </w:r>
      <w:r>
        <w:rPr>
          <w:rFonts w:eastAsia="Calibri"/>
          <w:b/>
          <w:bCs/>
          <w:lang w:val="en-US" w:bidi="ar"/>
        </w:rPr>
        <w:fldChar w:fldCharType="end"/>
      </w:r>
      <w:r>
        <w:rPr>
          <w:rFonts w:eastAsia="Calibri"/>
          <w:b/>
          <w:bCs/>
          <w:lang w:val="fr-FR" w:bidi="ar"/>
        </w:rPr>
        <w:t xml:space="preserve">. </w:t>
      </w:r>
      <w:r>
        <w:rPr>
          <w:rFonts w:eastAsia="Calibri"/>
          <w:lang w:val="fr-FR" w:bidi="ar"/>
        </w:rPr>
        <w:t>C</w:t>
      </w:r>
      <w:r>
        <w:rPr>
          <w:rFonts w:eastAsia="Calibri"/>
          <w:lang w:val="fr-FR"/>
        </w:rPr>
        <w:t xml:space="preserve">e qui facilite leur transmission indirecte via les mains du personnel soignant, les instruments médicaux ou les objets du quotidien comme les poignées de porte, les téléphones, ou même les documents en papier. </w:t>
      </w:r>
    </w:p>
    <w:p w14:paraId="34AC4E95" w14:textId="77777777" w:rsidR="00B611D1" w:rsidRDefault="00B611D1">
      <w:pPr>
        <w:spacing w:line="360" w:lineRule="auto"/>
        <w:jc w:val="both"/>
        <w:rPr>
          <w:rFonts w:eastAsia="Calibri"/>
          <w:lang w:val="fr-FR"/>
        </w:rPr>
      </w:pPr>
    </w:p>
    <w:p w14:paraId="514F6984" w14:textId="77777777" w:rsidR="00B611D1" w:rsidRDefault="00FB7689">
      <w:pPr>
        <w:pStyle w:val="Lgende"/>
        <w:keepNext/>
        <w:rPr>
          <w:b/>
          <w:bCs/>
          <w:i w:val="0"/>
          <w:iCs w:val="0"/>
          <w:color w:val="auto"/>
          <w:sz w:val="24"/>
          <w:szCs w:val="24"/>
          <w:lang w:val="fr-FR"/>
        </w:rPr>
      </w:pPr>
      <w:bookmarkStart w:id="82" w:name="_Toc201267817"/>
      <w:r>
        <w:rPr>
          <w:b/>
          <w:bCs/>
          <w:i w:val="0"/>
          <w:iCs w:val="0"/>
          <w:color w:val="auto"/>
          <w:sz w:val="24"/>
          <w:szCs w:val="24"/>
          <w:lang w:val="fr-FR"/>
        </w:rPr>
        <w:t xml:space="preserve">Tableau </w:t>
      </w:r>
      <w:r>
        <w:rPr>
          <w:b/>
          <w:bCs/>
          <w:i w:val="0"/>
          <w:iCs w:val="0"/>
          <w:color w:val="auto"/>
          <w:sz w:val="24"/>
          <w:szCs w:val="24"/>
        </w:rPr>
        <w:fldChar w:fldCharType="begin"/>
      </w:r>
      <w:r>
        <w:rPr>
          <w:b/>
          <w:bCs/>
          <w:i w:val="0"/>
          <w:iCs w:val="0"/>
          <w:color w:val="auto"/>
          <w:sz w:val="24"/>
          <w:szCs w:val="24"/>
          <w:lang w:val="fr-FR"/>
        </w:rPr>
        <w:instrText xml:space="preserve"> SEQ Tableau \* ARABIC </w:instrText>
      </w:r>
      <w:r>
        <w:rPr>
          <w:b/>
          <w:bCs/>
          <w:i w:val="0"/>
          <w:iCs w:val="0"/>
          <w:color w:val="auto"/>
          <w:sz w:val="24"/>
          <w:szCs w:val="24"/>
        </w:rPr>
        <w:fldChar w:fldCharType="separate"/>
      </w:r>
      <w:r>
        <w:rPr>
          <w:b/>
          <w:bCs/>
          <w:i w:val="0"/>
          <w:iCs w:val="0"/>
          <w:color w:val="auto"/>
          <w:sz w:val="24"/>
          <w:szCs w:val="24"/>
          <w:lang w:val="fr-FR"/>
        </w:rPr>
        <w:t>1</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persistance des bactéries sur des surfaces inanimées</w:t>
      </w:r>
      <w:r>
        <w:rPr>
          <w:b/>
          <w:bCs/>
          <w:i w:val="0"/>
          <w:iCs w:val="0"/>
          <w:color w:val="auto"/>
          <w:sz w:val="24"/>
          <w:szCs w:val="24"/>
          <w:lang w:val="fr-FR"/>
        </w:rPr>
        <w:t xml:space="preserve"> (Kramer &amp; Assadian, 2014).</w:t>
      </w:r>
      <w:bookmarkEnd w:id="82"/>
    </w:p>
    <w:tbl>
      <w:tblPr>
        <w:tblStyle w:val="GridTable1Light2"/>
        <w:tblW w:w="10167" w:type="dxa"/>
        <w:tblLook w:val="04A0" w:firstRow="1" w:lastRow="0" w:firstColumn="1" w:lastColumn="0" w:noHBand="0" w:noVBand="1"/>
      </w:tblPr>
      <w:tblGrid>
        <w:gridCol w:w="4320"/>
        <w:gridCol w:w="5847"/>
      </w:tblGrid>
      <w:tr w:rsidR="00B611D1" w14:paraId="6501F7DE" w14:textId="77777777" w:rsidTr="00B611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0" w:type="dxa"/>
            <w:vAlign w:val="center"/>
          </w:tcPr>
          <w:p w14:paraId="6E8FE06A" w14:textId="77777777" w:rsidR="00B611D1" w:rsidRDefault="00FB7689">
            <w:pPr>
              <w:spacing w:after="200" w:line="276" w:lineRule="auto"/>
              <w:jc w:val="center"/>
              <w:rPr>
                <w:rFonts w:asciiTheme="majorBidi" w:hAnsiTheme="majorBidi" w:cstheme="majorBidi"/>
                <w:kern w:val="2"/>
                <w:lang w:val="fr-FR"/>
              </w:rPr>
            </w:pPr>
            <w:r>
              <w:rPr>
                <w:rFonts w:asciiTheme="majorBidi" w:eastAsia="MS Mincho" w:hAnsiTheme="majorBidi" w:cstheme="majorBidi" w:hint="eastAsia"/>
                <w:kern w:val="2"/>
                <w:lang w:val="fr-FR" w:eastAsia="zh-CN" w:bidi="ar"/>
              </w:rPr>
              <w:t>Micro-organisme</w:t>
            </w:r>
          </w:p>
        </w:tc>
        <w:tc>
          <w:tcPr>
            <w:tcW w:w="5847" w:type="dxa"/>
            <w:vAlign w:val="center"/>
          </w:tcPr>
          <w:p w14:paraId="20A13F31" w14:textId="77777777" w:rsidR="00B611D1" w:rsidRDefault="00FB7689">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kern w:val="2"/>
                <w:lang w:val="fr-FR"/>
              </w:rPr>
            </w:pPr>
            <w:r>
              <w:rPr>
                <w:rFonts w:asciiTheme="majorBidi" w:eastAsia="MS Mincho" w:hAnsiTheme="majorBidi" w:cstheme="majorBidi" w:hint="eastAsia"/>
                <w:kern w:val="2"/>
                <w:lang w:val="fr-FR" w:eastAsia="zh-CN" w:bidi="ar"/>
              </w:rPr>
              <w:t>Dur</w:t>
            </w:r>
            <w:r>
              <w:rPr>
                <w:rFonts w:asciiTheme="majorBidi" w:eastAsia="MS Mincho" w:hAnsiTheme="majorBidi" w:cstheme="majorBidi" w:hint="eastAsia"/>
                <w:kern w:val="2"/>
                <w:lang w:val="fr-FR" w:eastAsia="zh-CN" w:bidi="ar"/>
              </w:rPr>
              <w:t>é</w:t>
            </w:r>
            <w:r>
              <w:rPr>
                <w:rFonts w:asciiTheme="majorBidi" w:eastAsia="MS Mincho" w:hAnsiTheme="majorBidi" w:cstheme="majorBidi" w:hint="eastAsia"/>
                <w:kern w:val="2"/>
                <w:lang w:val="fr-FR" w:eastAsia="zh-CN" w:bidi="ar"/>
              </w:rPr>
              <w:t>e de survie (environnement)</w:t>
            </w:r>
          </w:p>
        </w:tc>
      </w:tr>
      <w:tr w:rsidR="00B611D1" w:rsidRPr="00855AAA" w14:paraId="300B74F1"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178EDAEA"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Acinetobacter spp.</w:t>
            </w:r>
          </w:p>
        </w:tc>
        <w:tc>
          <w:tcPr>
            <w:tcW w:w="5847" w:type="dxa"/>
          </w:tcPr>
          <w:p w14:paraId="5E70FFA0"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3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1 an (</w:t>
            </w:r>
            <w:r>
              <w:rPr>
                <w:rFonts w:asciiTheme="majorBidi" w:eastAsia="MS Mincho" w:hAnsiTheme="majorBidi" w:cstheme="majorBidi" w:hint="eastAsia"/>
                <w:i/>
                <w:iCs/>
                <w:kern w:val="2"/>
                <w:lang w:val="fr-FR" w:eastAsia="zh-CN" w:bidi="ar"/>
              </w:rPr>
              <w:t>in vitro</w:t>
            </w:r>
            <w:r>
              <w:rPr>
                <w:rFonts w:asciiTheme="majorBidi" w:eastAsia="MS Mincho" w:hAnsiTheme="majorBidi" w:cstheme="majorBidi" w:hint="eastAsia"/>
                <w:kern w:val="2"/>
                <w:lang w:val="fr-FR" w:eastAsia="zh-CN" w:bidi="ar"/>
              </w:rPr>
              <w:t>), 36 jours avec biofilm</w:t>
            </w:r>
          </w:p>
        </w:tc>
      </w:tr>
      <w:tr w:rsidR="00B611D1" w14:paraId="03E010F4"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429216E5"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 xml:space="preserve">Clostridium difficile </w:t>
            </w:r>
            <w:r>
              <w:rPr>
                <w:rFonts w:asciiTheme="majorBidi" w:eastAsia="MS Mincho" w:hAnsiTheme="majorBidi" w:cstheme="majorBidi" w:hint="eastAsia"/>
                <w:kern w:val="2"/>
                <w:lang w:val="fr-FR" w:eastAsia="zh-CN" w:bidi="ar"/>
              </w:rPr>
              <w:t>(spores)</w:t>
            </w:r>
          </w:p>
        </w:tc>
        <w:tc>
          <w:tcPr>
            <w:tcW w:w="5847" w:type="dxa"/>
          </w:tcPr>
          <w:p w14:paraId="798524C2"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5 mois</w:t>
            </w:r>
          </w:p>
        </w:tc>
      </w:tr>
      <w:tr w:rsidR="00B611D1" w14:paraId="43037C16"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45F71876"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Chlamydia psittaci</w:t>
            </w:r>
          </w:p>
        </w:tc>
        <w:tc>
          <w:tcPr>
            <w:tcW w:w="5847" w:type="dxa"/>
          </w:tcPr>
          <w:p w14:paraId="33724D12"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15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plusieurs mois</w:t>
            </w:r>
          </w:p>
        </w:tc>
      </w:tr>
      <w:tr w:rsidR="00B611D1" w14:paraId="476EC56D"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77BC3BF2"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Corynebacterium diphtheriae</w:t>
            </w:r>
          </w:p>
        </w:tc>
        <w:tc>
          <w:tcPr>
            <w:tcW w:w="5847" w:type="dxa"/>
          </w:tcPr>
          <w:p w14:paraId="0B549898"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7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6 mois</w:t>
            </w:r>
          </w:p>
        </w:tc>
      </w:tr>
      <w:tr w:rsidR="00B611D1" w14:paraId="102E1BD9"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7F98C800"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Escherichia coli</w:t>
            </w:r>
          </w:p>
        </w:tc>
        <w:tc>
          <w:tcPr>
            <w:tcW w:w="5847" w:type="dxa"/>
          </w:tcPr>
          <w:p w14:paraId="233DAD4D"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1,5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16 mois</w:t>
            </w:r>
          </w:p>
        </w:tc>
      </w:tr>
      <w:tr w:rsidR="00B611D1" w14:paraId="7ADD1271"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53EF0223"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Enterococcus spp.</w:t>
            </w:r>
          </w:p>
        </w:tc>
        <w:tc>
          <w:tcPr>
            <w:tcW w:w="5847" w:type="dxa"/>
          </w:tcPr>
          <w:p w14:paraId="1331DC4C"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5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30 mois</w:t>
            </w:r>
          </w:p>
        </w:tc>
      </w:tr>
      <w:tr w:rsidR="00B611D1" w14:paraId="1E289478"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0E197A28"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Haemophilus influenzae</w:t>
            </w:r>
          </w:p>
        </w:tc>
        <w:tc>
          <w:tcPr>
            <w:tcW w:w="5847" w:type="dxa"/>
          </w:tcPr>
          <w:p w14:paraId="027002D0"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12 jours</w:t>
            </w:r>
          </w:p>
        </w:tc>
      </w:tr>
      <w:tr w:rsidR="00B611D1" w14:paraId="7A0964B8"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15D48E33"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Klebsiella spp.</w:t>
            </w:r>
          </w:p>
        </w:tc>
        <w:tc>
          <w:tcPr>
            <w:tcW w:w="5847" w:type="dxa"/>
          </w:tcPr>
          <w:p w14:paraId="165FF367"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2 heures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&gt;30 mois</w:t>
            </w:r>
          </w:p>
        </w:tc>
      </w:tr>
      <w:tr w:rsidR="00B611D1" w:rsidRPr="00855AAA" w14:paraId="334776F4"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5569F0C9"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Listeria spp.</w:t>
            </w:r>
          </w:p>
        </w:tc>
        <w:tc>
          <w:tcPr>
            <w:tcW w:w="5847" w:type="dxa"/>
          </w:tcPr>
          <w:p w14:paraId="5C47384B"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1 jour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plusieurs mois, 141 jours dans l</w:t>
            </w:r>
            <w:r>
              <w:rPr>
                <w:rFonts w:asciiTheme="majorBidi" w:eastAsia="MS Mincho" w:hAnsiTheme="majorBidi" w:cstheme="majorBidi" w:hint="eastAsia"/>
                <w:kern w:val="2"/>
                <w:lang w:val="fr-FR" w:eastAsia="zh-CN" w:bidi="ar"/>
              </w:rPr>
              <w:t>’</w:t>
            </w:r>
            <w:r>
              <w:rPr>
                <w:rFonts w:asciiTheme="majorBidi" w:eastAsia="MS Mincho" w:hAnsiTheme="majorBidi" w:cstheme="majorBidi" w:hint="eastAsia"/>
                <w:kern w:val="2"/>
                <w:lang w:val="fr-FR" w:eastAsia="zh-CN" w:bidi="ar"/>
              </w:rPr>
              <w:t>eau</w:t>
            </w:r>
          </w:p>
        </w:tc>
      </w:tr>
      <w:tr w:rsidR="00B611D1" w14:paraId="16CA7C53"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57AB4315"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Mycobacterium bovis</w:t>
            </w:r>
          </w:p>
        </w:tc>
        <w:tc>
          <w:tcPr>
            <w:tcW w:w="5847" w:type="dxa"/>
          </w:tcPr>
          <w:p w14:paraId="603971AA"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&gt; 2 mois</w:t>
            </w:r>
          </w:p>
        </w:tc>
      </w:tr>
      <w:tr w:rsidR="00B611D1" w14:paraId="71FF91AF"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71102F67"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Mycobacterium tuberculosis</w:t>
            </w:r>
          </w:p>
        </w:tc>
        <w:tc>
          <w:tcPr>
            <w:tcW w:w="5847" w:type="dxa"/>
          </w:tcPr>
          <w:p w14:paraId="14F7658D"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1 jour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4 mois</w:t>
            </w:r>
          </w:p>
        </w:tc>
      </w:tr>
      <w:tr w:rsidR="00B611D1" w14:paraId="56DF905B"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7484E101"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Neisseria gonorrhoeae</w:t>
            </w:r>
          </w:p>
        </w:tc>
        <w:tc>
          <w:tcPr>
            <w:tcW w:w="5847" w:type="dxa"/>
          </w:tcPr>
          <w:p w14:paraId="28B8DC13"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1</w:t>
            </w:r>
            <w:r>
              <w:rPr>
                <w:rFonts w:asciiTheme="majorBidi" w:eastAsia="MS Mincho" w:hAnsiTheme="majorBidi" w:cstheme="majorBidi" w:hint="eastAsia"/>
                <w:kern w:val="2"/>
                <w:lang w:val="fr-FR" w:eastAsia="zh-CN" w:bidi="ar"/>
              </w:rPr>
              <w:t>–</w:t>
            </w:r>
            <w:r>
              <w:rPr>
                <w:rFonts w:asciiTheme="majorBidi" w:eastAsia="MS Mincho" w:hAnsiTheme="majorBidi" w:cstheme="majorBidi" w:hint="eastAsia"/>
                <w:kern w:val="2"/>
                <w:lang w:val="fr-FR" w:eastAsia="zh-CN" w:bidi="ar"/>
              </w:rPr>
              <w:t>3 jours</w:t>
            </w:r>
          </w:p>
        </w:tc>
      </w:tr>
      <w:tr w:rsidR="00B611D1" w14:paraId="01ED9E62"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59B1C986"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Proteus vulgaris</w:t>
            </w:r>
          </w:p>
        </w:tc>
        <w:tc>
          <w:tcPr>
            <w:tcW w:w="5847" w:type="dxa"/>
          </w:tcPr>
          <w:p w14:paraId="148D0B0D"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1</w:t>
            </w:r>
            <w:r>
              <w:rPr>
                <w:rFonts w:asciiTheme="majorBidi" w:eastAsia="MS Mincho" w:hAnsiTheme="majorBidi" w:cstheme="majorBidi" w:hint="eastAsia"/>
                <w:kern w:val="2"/>
                <w:lang w:val="fr-FR" w:eastAsia="zh-CN" w:bidi="ar"/>
              </w:rPr>
              <w:t>–</w:t>
            </w:r>
            <w:r>
              <w:rPr>
                <w:rFonts w:asciiTheme="majorBidi" w:eastAsia="MS Mincho" w:hAnsiTheme="majorBidi" w:cstheme="majorBidi" w:hint="eastAsia"/>
                <w:kern w:val="2"/>
                <w:lang w:val="fr-FR" w:eastAsia="zh-CN" w:bidi="ar"/>
              </w:rPr>
              <w:t>2 jours</w:t>
            </w:r>
          </w:p>
        </w:tc>
      </w:tr>
      <w:tr w:rsidR="00B611D1" w:rsidRPr="00855AAA" w14:paraId="69C9E225"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13E1D2F9"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Pseudomonas aeruginosa</w:t>
            </w:r>
          </w:p>
        </w:tc>
        <w:tc>
          <w:tcPr>
            <w:tcW w:w="5847" w:type="dxa"/>
          </w:tcPr>
          <w:p w14:paraId="596744DE"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6 h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16 mois ; sur sol sec : 5 semaines</w:t>
            </w:r>
          </w:p>
        </w:tc>
      </w:tr>
      <w:tr w:rsidR="00B611D1" w:rsidRPr="00855AAA" w14:paraId="1DE47A6C"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00F59C0F"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Salmonella spp.</w:t>
            </w:r>
          </w:p>
        </w:tc>
        <w:tc>
          <w:tcPr>
            <w:tcW w:w="5847" w:type="dxa"/>
          </w:tcPr>
          <w:p w14:paraId="69708D2A"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1 jour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1 an selon les esp</w:t>
            </w:r>
            <w:r>
              <w:rPr>
                <w:rFonts w:asciiTheme="majorBidi" w:eastAsia="MS Mincho" w:hAnsiTheme="majorBidi" w:cstheme="majorBidi" w:hint="eastAsia"/>
                <w:kern w:val="2"/>
                <w:lang w:val="fr-FR" w:eastAsia="zh-CN" w:bidi="ar"/>
              </w:rPr>
              <w:t>è</w:t>
            </w:r>
            <w:r>
              <w:rPr>
                <w:rFonts w:asciiTheme="majorBidi" w:eastAsia="MS Mincho" w:hAnsiTheme="majorBidi" w:cstheme="majorBidi" w:hint="eastAsia"/>
                <w:kern w:val="2"/>
                <w:lang w:val="fr-FR" w:eastAsia="zh-CN" w:bidi="ar"/>
              </w:rPr>
              <w:t>ces</w:t>
            </w:r>
          </w:p>
        </w:tc>
      </w:tr>
      <w:tr w:rsidR="00B611D1" w:rsidRPr="00855AAA" w14:paraId="56855001"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61395155"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Serratia marcescens</w:t>
            </w:r>
          </w:p>
        </w:tc>
        <w:tc>
          <w:tcPr>
            <w:tcW w:w="5847" w:type="dxa"/>
          </w:tcPr>
          <w:p w14:paraId="6EF20A62"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3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2 mois ; sur sol sec : 5 semaines</w:t>
            </w:r>
          </w:p>
        </w:tc>
      </w:tr>
      <w:tr w:rsidR="00B611D1" w:rsidRPr="00855AAA" w14:paraId="6299A9A5"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535B20B0"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Shigella spp.</w:t>
            </w:r>
          </w:p>
        </w:tc>
        <w:tc>
          <w:tcPr>
            <w:tcW w:w="5847" w:type="dxa"/>
          </w:tcPr>
          <w:p w14:paraId="6A01D01C"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2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5 mois ; 3</w:t>
            </w:r>
            <w:r>
              <w:rPr>
                <w:rFonts w:asciiTheme="majorBidi" w:eastAsia="MS Mincho" w:hAnsiTheme="majorBidi" w:cstheme="majorBidi" w:hint="eastAsia"/>
                <w:kern w:val="2"/>
                <w:lang w:val="fr-FR" w:eastAsia="zh-CN" w:bidi="ar"/>
              </w:rPr>
              <w:t>–</w:t>
            </w:r>
            <w:r>
              <w:rPr>
                <w:rFonts w:asciiTheme="majorBidi" w:eastAsia="MS Mincho" w:hAnsiTheme="majorBidi" w:cstheme="majorBidi" w:hint="eastAsia"/>
                <w:kern w:val="2"/>
                <w:lang w:val="fr-FR" w:eastAsia="zh-CN" w:bidi="ar"/>
              </w:rPr>
              <w:t>11 jours dans l</w:t>
            </w:r>
            <w:r>
              <w:rPr>
                <w:rFonts w:asciiTheme="majorBidi" w:eastAsia="MS Mincho" w:hAnsiTheme="majorBidi" w:cstheme="majorBidi" w:hint="eastAsia"/>
                <w:kern w:val="2"/>
                <w:lang w:val="fr-FR" w:eastAsia="zh-CN" w:bidi="ar"/>
              </w:rPr>
              <w:t>’</w:t>
            </w:r>
            <w:r>
              <w:rPr>
                <w:rFonts w:asciiTheme="majorBidi" w:eastAsia="MS Mincho" w:hAnsiTheme="majorBidi" w:cstheme="majorBidi" w:hint="eastAsia"/>
                <w:kern w:val="2"/>
                <w:lang w:val="fr-FR" w:eastAsia="zh-CN" w:bidi="ar"/>
              </w:rPr>
              <w:t>eau</w:t>
            </w:r>
          </w:p>
        </w:tc>
      </w:tr>
      <w:tr w:rsidR="00B611D1" w:rsidRPr="00855AAA" w14:paraId="57C9A490"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3C0E193A" w14:textId="77777777" w:rsidR="00B611D1" w:rsidRDefault="00FB7689">
            <w:pPr>
              <w:spacing w:after="200" w:line="276" w:lineRule="auto"/>
              <w:jc w:val="center"/>
              <w:rPr>
                <w:rFonts w:asciiTheme="majorBidi" w:hAnsiTheme="majorBidi" w:cstheme="majorBidi"/>
                <w:b w:val="0"/>
                <w:bCs w:val="0"/>
                <w:kern w:val="2"/>
                <w:lang w:val="fr-FR"/>
              </w:rPr>
            </w:pPr>
            <w:r>
              <w:rPr>
                <w:rFonts w:asciiTheme="majorBidi" w:eastAsia="MS Mincho" w:hAnsiTheme="majorBidi" w:cstheme="majorBidi" w:hint="eastAsia"/>
                <w:i/>
                <w:iCs/>
                <w:kern w:val="2"/>
                <w:lang w:val="fr-FR" w:eastAsia="zh-CN" w:bidi="ar"/>
              </w:rPr>
              <w:t>Staphylococcus aureus</w:t>
            </w:r>
            <w:r>
              <w:rPr>
                <w:rFonts w:asciiTheme="majorBidi" w:eastAsia="MS Mincho" w:hAnsiTheme="majorBidi" w:cstheme="majorBidi" w:hint="eastAsia"/>
                <w:kern w:val="2"/>
                <w:lang w:val="fr-FR" w:eastAsia="zh-CN" w:bidi="ar"/>
              </w:rPr>
              <w:t xml:space="preserve"> (incluant SARM)</w:t>
            </w:r>
          </w:p>
        </w:tc>
        <w:tc>
          <w:tcPr>
            <w:tcW w:w="5847" w:type="dxa"/>
          </w:tcPr>
          <w:p w14:paraId="03EA8A55"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7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1 an ; 9</w:t>
            </w:r>
            <w:r>
              <w:rPr>
                <w:rFonts w:asciiTheme="majorBidi" w:eastAsia="MS Mincho" w:hAnsiTheme="majorBidi" w:cstheme="majorBidi" w:hint="eastAsia"/>
                <w:kern w:val="2"/>
                <w:lang w:val="fr-FR" w:eastAsia="zh-CN" w:bidi="ar"/>
              </w:rPr>
              <w:t>–</w:t>
            </w:r>
            <w:r>
              <w:rPr>
                <w:rFonts w:asciiTheme="majorBidi" w:eastAsia="MS Mincho" w:hAnsiTheme="majorBidi" w:cstheme="majorBidi" w:hint="eastAsia"/>
                <w:kern w:val="2"/>
                <w:lang w:val="fr-FR" w:eastAsia="zh-CN" w:bidi="ar"/>
              </w:rPr>
              <w:t>12 jours (surfaces plastiques)</w:t>
            </w:r>
          </w:p>
        </w:tc>
      </w:tr>
      <w:tr w:rsidR="00B611D1" w14:paraId="0DE550A7"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6DBAFF4D"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Streptococcus pneumoniae</w:t>
            </w:r>
          </w:p>
        </w:tc>
        <w:tc>
          <w:tcPr>
            <w:tcW w:w="5847" w:type="dxa"/>
          </w:tcPr>
          <w:p w14:paraId="39E128C1"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1 jour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30 mois</w:t>
            </w:r>
          </w:p>
        </w:tc>
      </w:tr>
      <w:tr w:rsidR="00B611D1" w14:paraId="6765A8AA"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3153D6A8"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Streptococcus pyogenes</w:t>
            </w:r>
          </w:p>
        </w:tc>
        <w:tc>
          <w:tcPr>
            <w:tcW w:w="5847" w:type="dxa"/>
          </w:tcPr>
          <w:p w14:paraId="785EC983"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3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6,5 mois</w:t>
            </w:r>
          </w:p>
        </w:tc>
      </w:tr>
      <w:tr w:rsidR="00B611D1" w14:paraId="153CEAA3" w14:textId="77777777" w:rsidTr="00B611D1">
        <w:tc>
          <w:tcPr>
            <w:cnfStyle w:val="001000000000" w:firstRow="0" w:lastRow="0" w:firstColumn="1" w:lastColumn="0" w:oddVBand="0" w:evenVBand="0" w:oddHBand="0" w:evenHBand="0" w:firstRowFirstColumn="0" w:firstRowLastColumn="0" w:lastRowFirstColumn="0" w:lastRowLastColumn="0"/>
            <w:tcW w:w="4320" w:type="dxa"/>
          </w:tcPr>
          <w:p w14:paraId="4204682F" w14:textId="77777777" w:rsidR="00B611D1" w:rsidRDefault="00FB7689">
            <w:pPr>
              <w:spacing w:after="200" w:line="276" w:lineRule="auto"/>
              <w:jc w:val="center"/>
              <w:rPr>
                <w:rFonts w:asciiTheme="majorBidi" w:hAnsiTheme="majorBidi" w:cstheme="majorBidi"/>
                <w:b w:val="0"/>
                <w:bCs w:val="0"/>
                <w:i/>
                <w:iCs/>
                <w:kern w:val="2"/>
                <w:lang w:val="fr-FR"/>
              </w:rPr>
            </w:pPr>
            <w:r>
              <w:rPr>
                <w:rFonts w:asciiTheme="majorBidi" w:eastAsia="MS Mincho" w:hAnsiTheme="majorBidi" w:cstheme="majorBidi" w:hint="eastAsia"/>
                <w:i/>
                <w:iCs/>
                <w:kern w:val="2"/>
                <w:lang w:val="fr-FR" w:eastAsia="zh-CN" w:bidi="ar"/>
              </w:rPr>
              <w:t>Ent</w:t>
            </w:r>
            <w:r>
              <w:rPr>
                <w:rFonts w:asciiTheme="majorBidi" w:eastAsia="MS Mincho" w:hAnsiTheme="majorBidi" w:cstheme="majorBidi" w:hint="eastAsia"/>
                <w:i/>
                <w:iCs/>
                <w:kern w:val="2"/>
                <w:lang w:val="fr-FR" w:eastAsia="zh-CN" w:bidi="ar"/>
              </w:rPr>
              <w:t>é</w:t>
            </w:r>
            <w:r>
              <w:rPr>
                <w:rFonts w:asciiTheme="majorBidi" w:eastAsia="MS Mincho" w:hAnsiTheme="majorBidi" w:cstheme="majorBidi" w:hint="eastAsia"/>
                <w:i/>
                <w:iCs/>
                <w:kern w:val="2"/>
                <w:lang w:val="fr-FR" w:eastAsia="zh-CN" w:bidi="ar"/>
              </w:rPr>
              <w:t>rocoques spp.</w:t>
            </w:r>
          </w:p>
        </w:tc>
        <w:tc>
          <w:tcPr>
            <w:tcW w:w="5847" w:type="dxa"/>
          </w:tcPr>
          <w:p w14:paraId="3E1DB887" w14:textId="77777777" w:rsidR="00B611D1" w:rsidRDefault="00FB7689">
            <w:pPr>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lang w:val="fr-FR"/>
              </w:rPr>
            </w:pPr>
            <w:r>
              <w:rPr>
                <w:rFonts w:asciiTheme="majorBidi" w:eastAsia="MS Mincho" w:hAnsiTheme="majorBidi" w:cstheme="majorBidi" w:hint="eastAsia"/>
                <w:kern w:val="2"/>
                <w:lang w:val="fr-FR" w:eastAsia="zh-CN" w:bidi="ar"/>
              </w:rPr>
              <w:t xml:space="preserve">5 jours </w:t>
            </w:r>
            <w:r>
              <w:rPr>
                <w:rFonts w:asciiTheme="majorBidi" w:eastAsia="MS Mincho" w:hAnsiTheme="majorBidi" w:cstheme="majorBidi" w:hint="eastAsia"/>
                <w:kern w:val="2"/>
                <w:lang w:val="fr-FR" w:eastAsia="zh-CN" w:bidi="ar"/>
              </w:rPr>
              <w:t>à</w:t>
            </w:r>
            <w:r>
              <w:rPr>
                <w:rFonts w:asciiTheme="majorBidi" w:eastAsia="MS Mincho" w:hAnsiTheme="majorBidi" w:cstheme="majorBidi" w:hint="eastAsia"/>
                <w:kern w:val="2"/>
                <w:lang w:val="fr-FR" w:eastAsia="zh-CN" w:bidi="ar"/>
              </w:rPr>
              <w:t xml:space="preserve"> 30 mois</w:t>
            </w:r>
          </w:p>
        </w:tc>
      </w:tr>
    </w:tbl>
    <w:p w14:paraId="5D022FA7" w14:textId="77777777" w:rsidR="00B611D1" w:rsidRDefault="00B611D1">
      <w:pPr>
        <w:spacing w:after="200"/>
        <w:rPr>
          <w:b/>
          <w:bCs/>
          <w:lang w:val="fr-FR"/>
        </w:rPr>
      </w:pPr>
    </w:p>
    <w:p w14:paraId="37EAFB9A" w14:textId="77777777" w:rsidR="00B611D1" w:rsidRDefault="00FB7689">
      <w:pPr>
        <w:pStyle w:val="Titre3"/>
        <w:numPr>
          <w:ilvl w:val="2"/>
          <w:numId w:val="1"/>
        </w:numPr>
        <w:spacing w:line="360" w:lineRule="auto"/>
        <w:rPr>
          <w:lang w:val="fr-FR"/>
        </w:rPr>
      </w:pPr>
      <w:bookmarkStart w:id="83" w:name="_Toc201260077"/>
      <w:r>
        <w:rPr>
          <w:lang w:val="fr-FR"/>
        </w:rPr>
        <w:t>Principaux germes retrouvés dans l’environnement hospitalier</w:t>
      </w:r>
      <w:bookmarkEnd w:id="83"/>
    </w:p>
    <w:p w14:paraId="4CC305EE" w14:textId="77777777" w:rsidR="00B611D1" w:rsidRDefault="00FB7689">
      <w:pPr>
        <w:spacing w:after="200" w:line="360" w:lineRule="auto"/>
        <w:jc w:val="both"/>
        <w:rPr>
          <w:lang w:val="fr-FR"/>
        </w:rPr>
      </w:pPr>
      <w:r>
        <w:rPr>
          <w:lang w:val="fr-FR"/>
        </w:rPr>
        <w:t xml:space="preserve">En milieu hospitalier, les infections associées aux soins sont principalement causées par une diversité de micro-organismes, parmi lesquels on retrouve les bactéries, les virus et les champignons. Toutefois, il est important de souligner que les bactéries sont responsables de la grande majorité de ces infections, représentant plus de 90 % des cas recensés </w:t>
      </w:r>
      <w:r>
        <w:rPr>
          <w:rFonts w:eastAsia="Calibri"/>
          <w:b/>
          <w:bCs/>
          <w:lang w:val="fr" w:bidi="ar"/>
        </w:rPr>
        <w:fldChar w:fldCharType="begin"/>
      </w:r>
      <w:r>
        <w:rPr>
          <w:rFonts w:eastAsia="Calibri"/>
          <w:b/>
          <w:bCs/>
          <w:lang w:val="fr" w:bidi="ar"/>
        </w:rPr>
        <w:instrText xml:space="preserve"> ADDIN ZOTERO_ITEM CSL_CITATION {"citationID":"UT8PVOeu","properties":{"formattedCitation":"(Belay et al., 2024)","plainCitation":"(Belay et al., 2024)","noteIndex":0},"citationItems":[{"id":147,"uris":["http://zotero.org/users/16279382/items/S5N48IFB"],"itemData":{"id":147,"type":"article-journal","abstract":"Introduction:Healthcare-associated infections, primarily caused by microorganisms, are widespread in healthcare facilities. These infections pose a significant challenge, especially in low and middle-income countries, and have a detrimental impact on patient outcomes. It is crucial to assess the level of microbial load and associated factors to prevent the spread of these infections. The objective of this study was to assess the microbial load and identify the factors associated with it in various wards at Jimma Medical Center.Method:A cross-sectional study conducted at Jimma Medical Center. Indoor air samples were collected using the settle plate method with a 1/1/1 scheme. Inanimate surfaces and medical equipment were sampled using Swabs from a 10 × 10 cm area. A total of 268 samples were collected from 10 rooms. Pertinent information regarding the associated factors was gathered using an observational checklist. A multiple linear regression model was used to identify any associations with the microbial load.Result:Out of the total samples, 181 (67.5%) tested positive for culture, and 270 microbes were isolated. The average load of bacteria and fungi in the indoor air ranged from 124.4 to 1607 and 96 to 814.6 Colony-forming unit (CFU)/m3, respectively. The mean total aerobic colony counts of bacteria and fungi from all surfaces in the wards ranged from 5.25 to 43.3 CFU/cm2. Crowdedness [β = 2.748 (95% Confidence Interval (CI): 1.057-4.44)], the presence of waste material [β = 1.747 (95% CI: 0.213-3.282)], and an unclean room [β = 2.505 (95% CI: 0.990-4.019)] were significantly associated with the microbial load.Conclusion:The microbial load detected in indoor air, inanimate surfaces and medical equipment was posing potential health risks. Consequently, it is recommended to implement regular microbial surveillance of the hospital environment and enhance the infection prevention program to mitigate these concerns.","container-title":"Environmental Health Insights","DOI":"10.1177/11786302241266052","ISSN":"1178-6302","journalAbbreviation":"Environ�Health�Insights","language":"EN","note":"publisher: SAGE Publications Ltd STM","page":"11786302241266052","source":"SAGE Journals","title":"Investigating Microbial Contamination of Indoor Air, Environmental Surfaces, and Medical Equipment in a Southwestern Ethiopia Hospital","volume":"18","author":[{"family":"Belay","given":"Mekdes Mekonen"},{"family":"Ambelu","given":"Argaw"},{"family":"Mekonen","given":"Seblework"},{"family":"Karbana","given":"Gedeno"},{"family":"Yemane","given":"Bethlehem"}],"issued":{"date-parts":[["2024",11,1]]}}}],"schema":"https://github.com/citation-style-language/schema/raw/master/csl-citation.json"} </w:instrText>
      </w:r>
      <w:r>
        <w:rPr>
          <w:rFonts w:eastAsia="Calibri"/>
          <w:b/>
          <w:bCs/>
          <w:lang w:val="fr" w:bidi="ar"/>
        </w:rPr>
        <w:fldChar w:fldCharType="separate"/>
      </w:r>
      <w:r>
        <w:rPr>
          <w:rFonts w:eastAsia="Calibri"/>
          <w:b/>
          <w:bCs/>
          <w:szCs w:val="22"/>
          <w:lang w:val="fr" w:bidi="ar"/>
        </w:rPr>
        <w:t>(Belay et al., 2024)</w:t>
      </w:r>
      <w:r>
        <w:rPr>
          <w:rFonts w:eastAsia="Calibri"/>
          <w:b/>
          <w:bCs/>
          <w:lang w:val="fr" w:bidi="ar"/>
        </w:rPr>
        <w:fldChar w:fldCharType="end"/>
      </w:r>
      <w:r>
        <w:rPr>
          <w:b/>
          <w:bCs/>
          <w:lang w:val="fr-FR"/>
        </w:rPr>
        <w:t>.</w:t>
      </w:r>
      <w:r>
        <w:rPr>
          <w:lang w:val="fr-FR"/>
        </w:rPr>
        <w:t xml:space="preserve"> </w:t>
      </w:r>
    </w:p>
    <w:p w14:paraId="70C76422" w14:textId="77777777" w:rsidR="00B611D1" w:rsidRDefault="00FB7689">
      <w:pPr>
        <w:pStyle w:val="Lgende"/>
        <w:keepNext/>
        <w:rPr>
          <w:b/>
          <w:bCs/>
          <w:i w:val="0"/>
          <w:iCs w:val="0"/>
          <w:color w:val="auto"/>
          <w:sz w:val="24"/>
          <w:szCs w:val="24"/>
          <w:lang w:val="fr-FR"/>
        </w:rPr>
      </w:pPr>
      <w:bookmarkStart w:id="84" w:name="_Toc201267818"/>
      <w:r>
        <w:rPr>
          <w:b/>
          <w:bCs/>
          <w:i w:val="0"/>
          <w:iCs w:val="0"/>
          <w:color w:val="auto"/>
          <w:sz w:val="24"/>
          <w:szCs w:val="24"/>
          <w:lang w:val="fr-FR"/>
        </w:rPr>
        <w:t xml:space="preserve">Tableau </w:t>
      </w:r>
      <w:r>
        <w:rPr>
          <w:b/>
          <w:bCs/>
          <w:i w:val="0"/>
          <w:iCs w:val="0"/>
          <w:color w:val="auto"/>
          <w:sz w:val="24"/>
          <w:szCs w:val="24"/>
        </w:rPr>
        <w:fldChar w:fldCharType="begin"/>
      </w:r>
      <w:r>
        <w:rPr>
          <w:b/>
          <w:bCs/>
          <w:i w:val="0"/>
          <w:iCs w:val="0"/>
          <w:color w:val="auto"/>
          <w:sz w:val="24"/>
          <w:szCs w:val="24"/>
          <w:lang w:val="fr-FR"/>
        </w:rPr>
        <w:instrText xml:space="preserve"> SEQ Tableau \* ARABIC </w:instrText>
      </w:r>
      <w:r>
        <w:rPr>
          <w:b/>
          <w:bCs/>
          <w:i w:val="0"/>
          <w:iCs w:val="0"/>
          <w:color w:val="auto"/>
          <w:sz w:val="24"/>
          <w:szCs w:val="24"/>
        </w:rPr>
        <w:fldChar w:fldCharType="separate"/>
      </w:r>
      <w:r>
        <w:rPr>
          <w:b/>
          <w:bCs/>
          <w:i w:val="0"/>
          <w:iCs w:val="0"/>
          <w:color w:val="auto"/>
          <w:sz w:val="24"/>
          <w:szCs w:val="24"/>
          <w:lang w:val="fr-FR"/>
        </w:rPr>
        <w:t>2</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Bactéries responsables des infections nosocomiales</w:t>
      </w:r>
      <w:r>
        <w:rPr>
          <w:b/>
          <w:bCs/>
          <w:i w:val="0"/>
          <w:iCs w:val="0"/>
          <w:color w:val="auto"/>
          <w:sz w:val="24"/>
          <w:szCs w:val="24"/>
          <w:lang w:val="fr-FR"/>
        </w:rPr>
        <w:t xml:space="preserve"> (Figarella </w:t>
      </w:r>
      <w:r>
        <w:rPr>
          <w:b/>
          <w:bCs/>
          <w:color w:val="auto"/>
          <w:sz w:val="24"/>
          <w:szCs w:val="24"/>
          <w:lang w:val="fr-FR"/>
        </w:rPr>
        <w:t>et al</w:t>
      </w:r>
      <w:r>
        <w:rPr>
          <w:b/>
          <w:bCs/>
          <w:i w:val="0"/>
          <w:iCs w:val="0"/>
          <w:color w:val="auto"/>
          <w:sz w:val="24"/>
          <w:szCs w:val="24"/>
          <w:lang w:val="fr-FR"/>
        </w:rPr>
        <w:t>., 2004).</w:t>
      </w:r>
      <w:bookmarkEnd w:id="84"/>
    </w:p>
    <w:tbl>
      <w:tblPr>
        <w:tblStyle w:val="Grilledutableau"/>
        <w:tblW w:w="1052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0" w:type="dxa"/>
          <w:right w:w="100" w:type="dxa"/>
        </w:tblCellMar>
        <w:tblLook w:val="04A0" w:firstRow="1" w:lastRow="0" w:firstColumn="1" w:lastColumn="0" w:noHBand="0" w:noVBand="1"/>
      </w:tblPr>
      <w:tblGrid>
        <w:gridCol w:w="2247"/>
        <w:gridCol w:w="1980"/>
        <w:gridCol w:w="2250"/>
        <w:gridCol w:w="2770"/>
        <w:gridCol w:w="1280"/>
      </w:tblGrid>
      <w:tr w:rsidR="00B611D1" w14:paraId="2DD54EE7"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2C59630A"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b/>
                <w:bCs/>
                <w:lang w:val="en-US" w:eastAsia="zh-CN" w:bidi="ar"/>
              </w:rPr>
              <w:t>Bactérie</w:t>
            </w:r>
          </w:p>
          <w:p w14:paraId="7C3945AE"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b/>
                <w:bCs/>
                <w:lang w:val="en-US" w:eastAsia="zh-CN" w:bidi="ar"/>
              </w:rPr>
              <w:t>responsable</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3C331641"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b/>
                <w:bCs/>
                <w:lang w:val="en-US" w:eastAsia="zh-CN" w:bidi="ar"/>
              </w:rPr>
              <w:t>Localisation</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0EE980C7"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b/>
                <w:bCs/>
                <w:lang w:val="en-US" w:eastAsia="zh-CN" w:bidi="ar"/>
              </w:rPr>
              <w:t>Réservoir</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2EFDF882"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b/>
                <w:bCs/>
                <w:lang w:val="en-US" w:eastAsia="zh-CN" w:bidi="ar"/>
              </w:rPr>
              <w:t>Transmission</w:t>
            </w: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60335F21"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b/>
                <w:bCs/>
                <w:lang w:val="en-US" w:eastAsia="zh-CN" w:bidi="ar"/>
              </w:rPr>
              <w:t>Fréquence</w:t>
            </w:r>
          </w:p>
        </w:tc>
      </w:tr>
      <w:tr w:rsidR="00B611D1" w14:paraId="7891A35C"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6B40CC8E"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Staphylococcus</w:t>
            </w:r>
          </w:p>
          <w:p w14:paraId="2FF45F38"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aureus</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4CF5B618"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Plaies, peau, sang</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09578CE4"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Peau, nez</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7EC4B5F4"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Mains, air ambiant,</w:t>
            </w:r>
          </w:p>
          <w:p w14:paraId="5B855B82"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cathéters</w:t>
            </w: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26146C76"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10%</w:t>
            </w:r>
          </w:p>
        </w:tc>
      </w:tr>
      <w:tr w:rsidR="00B611D1" w14:paraId="3282CE95"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0634FEFB"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Staphylococcus</w:t>
            </w:r>
          </w:p>
          <w:p w14:paraId="3A268EB8"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coagulase négative</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743DF0C6"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Cathéters, sang</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074AC429"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Intestin</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5A53FF7B"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Mains, air ambiant,</w:t>
            </w:r>
          </w:p>
          <w:p w14:paraId="637D006D"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cathéters</w:t>
            </w: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4D864145"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02%</w:t>
            </w:r>
          </w:p>
        </w:tc>
      </w:tr>
      <w:tr w:rsidR="00B611D1" w14:paraId="1BC2BDBF"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5F3BEDCA"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Entérocoques</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191E390C"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Urines, plais</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377F52F5"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Intestin</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2A9E536D"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Mains, sonde</w:t>
            </w:r>
          </w:p>
          <w:p w14:paraId="16F34EF2"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urinaires</w:t>
            </w: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0F28654C"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09%</w:t>
            </w:r>
          </w:p>
        </w:tc>
      </w:tr>
      <w:tr w:rsidR="00B611D1" w14:paraId="573629D2"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18F61784"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Escherichia coli</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33F0CF3D"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Urines, sang</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384B180D"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Intestin</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33E669BD"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Mains, sonde</w:t>
            </w:r>
          </w:p>
          <w:p w14:paraId="29734849"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urinaires</w:t>
            </w: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46A8DD14"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19%</w:t>
            </w:r>
          </w:p>
        </w:tc>
      </w:tr>
      <w:tr w:rsidR="00B611D1" w14:paraId="49B5E1B3"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53EF4A29"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Klebsiella</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1DFCDDD0"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Appareil</w:t>
            </w:r>
          </w:p>
          <w:p w14:paraId="08D64304"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respiratoire</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1ED5AAC0"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Intestin</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0604475E"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Mains, liquides</w:t>
            </w: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6D329CCA"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08%</w:t>
            </w:r>
          </w:p>
        </w:tc>
      </w:tr>
      <w:tr w:rsidR="00B611D1" w14:paraId="1906A20F"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61A074A8"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Enterobacter</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63A828B2"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Plaies</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452E226F"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Intestin</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15EBDA23"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color w:val="000000"/>
                <w:lang w:val="en-US" w:eastAsia="zh-CN" w:bidi="ar"/>
              </w:rPr>
              <w:t>Mains, liquides</w:t>
            </w: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141C3414"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04%</w:t>
            </w:r>
          </w:p>
        </w:tc>
      </w:tr>
      <w:tr w:rsidR="00B611D1" w14:paraId="49E5781F"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2E83D52B"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Proteus</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1295A38C"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Urines</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11AFEBEF"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Intestin</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24FADA89"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color w:val="000000"/>
                <w:lang w:val="en-US" w:eastAsia="zh-CN" w:bidi="ar"/>
              </w:rPr>
              <w:t>Mains, liquides</w:t>
            </w: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469E81C7"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07%</w:t>
            </w:r>
          </w:p>
        </w:tc>
      </w:tr>
      <w:tr w:rsidR="00B611D1" w14:paraId="4217882C" w14:textId="77777777">
        <w:tc>
          <w:tcPr>
            <w:tcW w:w="2247" w:type="dxa"/>
            <w:tcBorders>
              <w:top w:val="single" w:sz="2" w:space="0" w:color="auto"/>
              <w:left w:val="single" w:sz="2" w:space="0" w:color="auto"/>
              <w:bottom w:val="single" w:sz="2" w:space="0" w:color="auto"/>
              <w:right w:val="single" w:sz="2" w:space="0" w:color="auto"/>
            </w:tcBorders>
            <w:shd w:val="clear" w:color="auto" w:fill="auto"/>
            <w:vAlign w:val="center"/>
          </w:tcPr>
          <w:p w14:paraId="033E2C62"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i/>
                <w:iCs/>
                <w:lang w:val="en-US" w:eastAsia="zh-CN" w:bidi="ar"/>
              </w:rPr>
              <w:t>Pseudomonas</w:t>
            </w:r>
          </w:p>
        </w:tc>
        <w:tc>
          <w:tcPr>
            <w:tcW w:w="1980" w:type="dxa"/>
            <w:tcBorders>
              <w:top w:val="single" w:sz="2" w:space="0" w:color="auto"/>
              <w:left w:val="single" w:sz="2" w:space="0" w:color="auto"/>
              <w:bottom w:val="single" w:sz="2" w:space="0" w:color="auto"/>
              <w:right w:val="single" w:sz="2" w:space="0" w:color="auto"/>
            </w:tcBorders>
            <w:shd w:val="clear" w:color="auto" w:fill="auto"/>
            <w:vAlign w:val="center"/>
          </w:tcPr>
          <w:p w14:paraId="03396D65" w14:textId="77777777" w:rsidR="00B611D1" w:rsidRDefault="00FB7689">
            <w:pPr>
              <w:spacing w:after="200" w:line="276" w:lineRule="auto"/>
              <w:jc w:val="center"/>
              <w:rPr>
                <w:rFonts w:asciiTheme="majorBidi" w:hAnsiTheme="majorBidi" w:cstheme="majorBidi" w:hint="default"/>
                <w:lang w:val="fr-FR"/>
              </w:rPr>
            </w:pPr>
            <w:r>
              <w:rPr>
                <w:rFonts w:asciiTheme="majorBidi" w:eastAsia="Calibri" w:hAnsiTheme="majorBidi" w:cstheme="majorBidi" w:hint="default"/>
                <w:lang w:val="fr-FR" w:eastAsia="zh-CN" w:bidi="ar"/>
              </w:rPr>
              <w:t>Urines, sang,</w:t>
            </w:r>
          </w:p>
          <w:p w14:paraId="4D265B3D" w14:textId="77777777" w:rsidR="00B611D1" w:rsidRDefault="00FB7689">
            <w:pPr>
              <w:spacing w:after="200" w:line="276" w:lineRule="auto"/>
              <w:jc w:val="center"/>
              <w:rPr>
                <w:rFonts w:asciiTheme="majorBidi" w:hAnsiTheme="majorBidi" w:cstheme="majorBidi" w:hint="default"/>
                <w:lang w:val="fr-FR"/>
              </w:rPr>
            </w:pPr>
            <w:r>
              <w:rPr>
                <w:rFonts w:asciiTheme="majorBidi" w:eastAsia="Calibri" w:hAnsiTheme="majorBidi" w:cstheme="majorBidi" w:hint="default"/>
                <w:lang w:val="fr-FR" w:eastAsia="zh-CN" w:bidi="ar"/>
              </w:rPr>
              <w:t>plaies, appareil</w:t>
            </w:r>
          </w:p>
          <w:p w14:paraId="53870FB1" w14:textId="77777777" w:rsidR="00B611D1" w:rsidRDefault="00FB7689">
            <w:pPr>
              <w:spacing w:after="200" w:line="276" w:lineRule="auto"/>
              <w:jc w:val="center"/>
              <w:rPr>
                <w:rFonts w:asciiTheme="majorBidi" w:hAnsiTheme="majorBidi" w:cstheme="majorBidi" w:hint="default"/>
                <w:lang w:val="fr-FR"/>
              </w:rPr>
            </w:pPr>
            <w:r>
              <w:rPr>
                <w:rFonts w:asciiTheme="majorBidi" w:eastAsia="Calibri" w:hAnsiTheme="majorBidi" w:cstheme="majorBidi" w:hint="default"/>
                <w:lang w:val="fr-FR" w:eastAsia="zh-CN" w:bidi="ar"/>
              </w:rPr>
              <w:t>respiratoire</w:t>
            </w:r>
          </w:p>
        </w:tc>
        <w:tc>
          <w:tcPr>
            <w:tcW w:w="2250" w:type="dxa"/>
            <w:tcBorders>
              <w:top w:val="single" w:sz="2" w:space="0" w:color="auto"/>
              <w:left w:val="single" w:sz="2" w:space="0" w:color="auto"/>
              <w:bottom w:val="single" w:sz="2" w:space="0" w:color="auto"/>
              <w:right w:val="single" w:sz="2" w:space="0" w:color="auto"/>
            </w:tcBorders>
            <w:shd w:val="clear" w:color="auto" w:fill="auto"/>
            <w:vAlign w:val="center"/>
          </w:tcPr>
          <w:p w14:paraId="7F71D802"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Milieu</w:t>
            </w:r>
          </w:p>
          <w:p w14:paraId="4D78B558"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humides</w:t>
            </w:r>
          </w:p>
        </w:tc>
        <w:tc>
          <w:tcPr>
            <w:tcW w:w="2770" w:type="dxa"/>
            <w:tcBorders>
              <w:top w:val="single" w:sz="2" w:space="0" w:color="auto"/>
              <w:left w:val="single" w:sz="2" w:space="0" w:color="auto"/>
              <w:bottom w:val="single" w:sz="2" w:space="0" w:color="auto"/>
              <w:right w:val="single" w:sz="2" w:space="0" w:color="auto"/>
            </w:tcBorders>
            <w:shd w:val="clear" w:color="auto" w:fill="auto"/>
            <w:vAlign w:val="center"/>
          </w:tcPr>
          <w:p w14:paraId="2AD1CB1C" w14:textId="77777777" w:rsidR="00B611D1" w:rsidRDefault="00FB7689">
            <w:pPr>
              <w:spacing w:after="200" w:line="276" w:lineRule="auto"/>
              <w:jc w:val="center"/>
              <w:rPr>
                <w:rFonts w:asciiTheme="majorBidi" w:hAnsiTheme="majorBidi" w:cstheme="majorBidi" w:hint="default"/>
              </w:rPr>
            </w:pPr>
            <w:r>
              <w:rPr>
                <w:rFonts w:asciiTheme="majorBidi" w:eastAsia="SimSun" w:hAnsiTheme="majorBidi" w:cstheme="majorBidi" w:hint="default"/>
                <w:color w:val="000000"/>
                <w:kern w:val="0"/>
                <w:lang w:val="en-US" w:eastAsia="zh-CN" w:bidi="ar"/>
              </w:rPr>
              <w:t>Matériel médicale,</w:t>
            </w:r>
          </w:p>
          <w:p w14:paraId="4D69B85A" w14:textId="77777777" w:rsidR="00B611D1" w:rsidRDefault="00FB7689">
            <w:pPr>
              <w:spacing w:after="200" w:line="276" w:lineRule="auto"/>
              <w:jc w:val="center"/>
              <w:rPr>
                <w:rFonts w:asciiTheme="majorBidi" w:hAnsiTheme="majorBidi" w:cstheme="majorBidi" w:hint="default"/>
              </w:rPr>
            </w:pPr>
            <w:r>
              <w:rPr>
                <w:rFonts w:asciiTheme="majorBidi" w:eastAsia="SimSun" w:hAnsiTheme="majorBidi" w:cstheme="majorBidi" w:hint="default"/>
                <w:color w:val="000000"/>
                <w:kern w:val="0"/>
                <w:lang w:val="en-US" w:eastAsia="zh-CN" w:bidi="ar"/>
              </w:rPr>
              <w:t>mains</w:t>
            </w:r>
          </w:p>
          <w:p w14:paraId="6BD243F6" w14:textId="77777777" w:rsidR="00B611D1" w:rsidRDefault="00B611D1">
            <w:pPr>
              <w:spacing w:after="200" w:line="276" w:lineRule="auto"/>
              <w:jc w:val="center"/>
              <w:rPr>
                <w:rFonts w:asciiTheme="majorBidi" w:hAnsiTheme="majorBidi" w:cstheme="majorBidi" w:hint="default"/>
              </w:rPr>
            </w:pPr>
          </w:p>
        </w:tc>
        <w:tc>
          <w:tcPr>
            <w:tcW w:w="1280" w:type="dxa"/>
            <w:tcBorders>
              <w:top w:val="single" w:sz="2" w:space="0" w:color="auto"/>
              <w:left w:val="single" w:sz="2" w:space="0" w:color="auto"/>
              <w:bottom w:val="single" w:sz="2" w:space="0" w:color="auto"/>
              <w:right w:val="single" w:sz="2" w:space="0" w:color="auto"/>
            </w:tcBorders>
            <w:shd w:val="clear" w:color="auto" w:fill="auto"/>
            <w:vAlign w:val="center"/>
          </w:tcPr>
          <w:p w14:paraId="7C862A73" w14:textId="77777777" w:rsidR="00B611D1" w:rsidRDefault="00FB7689">
            <w:pPr>
              <w:spacing w:after="200" w:line="276" w:lineRule="auto"/>
              <w:jc w:val="center"/>
              <w:rPr>
                <w:rFonts w:asciiTheme="majorBidi" w:hAnsiTheme="majorBidi" w:cstheme="majorBidi" w:hint="default"/>
              </w:rPr>
            </w:pPr>
            <w:r>
              <w:rPr>
                <w:rFonts w:asciiTheme="majorBidi" w:eastAsia="Calibri" w:hAnsiTheme="majorBidi" w:cstheme="majorBidi" w:hint="default"/>
                <w:lang w:val="en-US" w:eastAsia="zh-CN" w:bidi="ar"/>
              </w:rPr>
              <w:t>09%</w:t>
            </w:r>
          </w:p>
        </w:tc>
      </w:tr>
    </w:tbl>
    <w:p w14:paraId="1BCFC658" w14:textId="77777777" w:rsidR="00B611D1" w:rsidRDefault="00B611D1">
      <w:pPr>
        <w:spacing w:after="200"/>
        <w:jc w:val="both"/>
        <w:rPr>
          <w:b/>
          <w:bCs/>
          <w:color w:val="000000" w:themeColor="text1"/>
          <w:sz w:val="28"/>
          <w:szCs w:val="28"/>
          <w:lang w:val="fr-FR"/>
        </w:rPr>
      </w:pPr>
    </w:p>
    <w:p w14:paraId="0CF8E6F4" w14:textId="77777777" w:rsidR="00B611D1" w:rsidRDefault="00FB7689">
      <w:pPr>
        <w:pStyle w:val="Titre4"/>
        <w:numPr>
          <w:ilvl w:val="3"/>
          <w:numId w:val="1"/>
        </w:numPr>
        <w:spacing w:line="360" w:lineRule="auto"/>
        <w:rPr>
          <w:rFonts w:asciiTheme="majorBidi" w:hAnsiTheme="majorBidi"/>
          <w:b/>
          <w:bCs/>
          <w:i w:val="0"/>
          <w:iCs w:val="0"/>
          <w:color w:val="000000" w:themeColor="text1"/>
          <w:lang w:val="fr-FR"/>
        </w:rPr>
      </w:pPr>
      <w:bookmarkStart w:id="85" w:name="_Toc201260078"/>
      <w:r>
        <w:rPr>
          <w:rFonts w:asciiTheme="majorBidi" w:hAnsiTheme="majorBidi"/>
          <w:b/>
          <w:bCs/>
          <w:i w:val="0"/>
          <w:iCs w:val="0"/>
          <w:color w:val="000000" w:themeColor="text1"/>
          <w:lang w:val="fr-FR"/>
        </w:rPr>
        <w:t>Bacilles Gram négatif Fermentaires</w:t>
      </w:r>
      <w:bookmarkEnd w:id="85"/>
    </w:p>
    <w:p w14:paraId="43C0CEF8" w14:textId="77777777" w:rsidR="00B611D1" w:rsidRDefault="00FB7689">
      <w:pPr>
        <w:pStyle w:val="Titre4"/>
        <w:numPr>
          <w:ilvl w:val="4"/>
          <w:numId w:val="1"/>
        </w:numPr>
        <w:spacing w:line="360" w:lineRule="auto"/>
        <w:rPr>
          <w:rFonts w:asciiTheme="majorBidi" w:hAnsiTheme="majorBidi"/>
          <w:b/>
          <w:bCs/>
          <w:i w:val="0"/>
          <w:iCs w:val="0"/>
          <w:color w:val="000000" w:themeColor="text1"/>
          <w:lang w:val="fr-FR"/>
        </w:rPr>
      </w:pPr>
      <w:bookmarkStart w:id="86" w:name="_Toc201260079"/>
      <w:r>
        <w:rPr>
          <w:rFonts w:asciiTheme="majorBidi" w:hAnsiTheme="majorBidi"/>
          <w:b/>
          <w:bCs/>
          <w:i w:val="0"/>
          <w:iCs w:val="0"/>
          <w:color w:val="000000" w:themeColor="text1"/>
        </w:rPr>
        <w:t>Entérobactéries</w:t>
      </w:r>
      <w:bookmarkEnd w:id="86"/>
    </w:p>
    <w:p w14:paraId="56D0E000" w14:textId="77777777" w:rsidR="00B611D1" w:rsidRDefault="00B611D1">
      <w:pPr>
        <w:pStyle w:val="Paragraphedeliste"/>
        <w:keepNext/>
        <w:keepLines/>
        <w:numPr>
          <w:ilvl w:val="1"/>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87" w:name="_Toc201260080"/>
      <w:bookmarkEnd w:id="87"/>
    </w:p>
    <w:p w14:paraId="262E4D06"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88" w:name="_Toc201260081"/>
      <w:bookmarkEnd w:id="88"/>
    </w:p>
    <w:p w14:paraId="594D9DAB"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89" w:name="_Toc201260082"/>
      <w:bookmarkEnd w:id="89"/>
    </w:p>
    <w:p w14:paraId="11A695B2"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90" w:name="_Toc201260083"/>
      <w:bookmarkEnd w:id="90"/>
    </w:p>
    <w:p w14:paraId="3EC988B5" w14:textId="77777777" w:rsidR="00B611D1" w:rsidRDefault="00B611D1">
      <w:pPr>
        <w:pStyle w:val="Paragraphedeliste"/>
        <w:keepNext/>
        <w:keepLines/>
        <w:numPr>
          <w:ilvl w:val="2"/>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91" w:name="_Toc201260084"/>
      <w:bookmarkEnd w:id="91"/>
    </w:p>
    <w:p w14:paraId="548E66B0" w14:textId="77777777" w:rsidR="00B611D1" w:rsidRDefault="00B611D1">
      <w:pPr>
        <w:pStyle w:val="Paragraphedeliste"/>
        <w:keepNext/>
        <w:keepLines/>
        <w:numPr>
          <w:ilvl w:val="3"/>
          <w:numId w:val="6"/>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92" w:name="_Toc201260085"/>
      <w:bookmarkEnd w:id="92"/>
    </w:p>
    <w:p w14:paraId="76064D18" w14:textId="77777777" w:rsidR="00B611D1" w:rsidRDefault="00FB7689">
      <w:pPr>
        <w:pStyle w:val="Titre4"/>
        <w:numPr>
          <w:ilvl w:val="4"/>
          <w:numId w:val="6"/>
        </w:numPr>
        <w:spacing w:line="360" w:lineRule="auto"/>
        <w:rPr>
          <w:rFonts w:ascii="Times New Roman" w:hAnsi="Times New Roman" w:cs="Times New Roman"/>
          <w:b/>
          <w:bCs/>
          <w:color w:val="auto"/>
          <w:lang w:val="fr-FR"/>
        </w:rPr>
      </w:pPr>
      <w:bookmarkStart w:id="93" w:name="_Toc201260086"/>
      <w:r>
        <w:rPr>
          <w:rFonts w:ascii="Times New Roman" w:hAnsi="Times New Roman" w:cs="Times New Roman"/>
          <w:b/>
          <w:bCs/>
          <w:color w:val="auto"/>
          <w:lang w:val="fr-FR"/>
        </w:rPr>
        <w:t>Escherichia coli</w:t>
      </w:r>
      <w:bookmarkEnd w:id="93"/>
    </w:p>
    <w:p w14:paraId="6AC885C8" w14:textId="77777777" w:rsidR="00B611D1" w:rsidRDefault="00FB7689">
      <w:pPr>
        <w:spacing w:line="360" w:lineRule="auto"/>
        <w:jc w:val="both"/>
        <w:rPr>
          <w:lang w:val="fr-FR"/>
        </w:rPr>
      </w:pPr>
      <w:r>
        <w:rPr>
          <w:rFonts w:eastAsia="TimesNewRomanPS-ItalicMT"/>
          <w:i/>
          <w:iCs/>
          <w:lang w:val="fr-FR" w:eastAsia="zh-CN" w:bidi="ar"/>
        </w:rPr>
        <w:t>Escherichia coli</w:t>
      </w:r>
      <w:r>
        <w:rPr>
          <w:rFonts w:eastAsia="SimSun"/>
          <w:lang w:val="fr-FR" w:eastAsia="zh-CN" w:bidi="ar"/>
        </w:rPr>
        <w:t>,</w:t>
      </w:r>
      <w:r>
        <w:rPr>
          <w:rFonts w:eastAsia="SimSun"/>
          <w:i/>
          <w:iCs/>
          <w:lang w:val="fr-FR" w:eastAsia="zh-CN" w:bidi="ar"/>
        </w:rPr>
        <w:t xml:space="preserve"> s</w:t>
      </w:r>
      <w:r>
        <w:rPr>
          <w:rFonts w:eastAsia="SimSun"/>
          <w:lang w:val="fr-FR" w:eastAsia="zh-CN" w:bidi="ar"/>
        </w:rPr>
        <w:t>ouvent désignée sous le nom de "colibacille", est une bactérie à</w:t>
      </w:r>
      <w:r>
        <w:rPr>
          <w:rFonts w:eastAsia="sans-serif"/>
          <w:shd w:val="clear" w:color="auto" w:fill="FFFFFF"/>
          <w:lang w:val="fr-FR"/>
        </w:rPr>
        <w:t xml:space="preserve"> Gram-négatifs anaérobies facultatifs appartenant à la famille des Enterobacteriaceae</w:t>
      </w:r>
      <w:r>
        <w:rPr>
          <w:rFonts w:eastAsia="TimesNewRomanPS-ItalicMT"/>
          <w:i/>
          <w:iCs/>
          <w:color w:val="000000"/>
          <w:lang w:val="fr-FR" w:eastAsia="zh-CN" w:bidi="ar"/>
        </w:rPr>
        <w:t xml:space="preserve">. </w:t>
      </w:r>
      <w:r>
        <w:rPr>
          <w:rFonts w:eastAsia="SimSun"/>
          <w:color w:val="000000"/>
          <w:lang w:val="fr-FR" w:eastAsia="zh-CN" w:bidi="ar"/>
        </w:rPr>
        <w:t xml:space="preserve">Elle est considérée comme un résident normal de la flore intestinale chez les humains et de la plupart des animaux à sang chaud. </w:t>
      </w:r>
      <w:r>
        <w:rPr>
          <w:rFonts w:eastAsia="SimSun"/>
          <w:color w:val="000000"/>
          <w:lang w:val="fr-FR" w:eastAsia="zh-CN"/>
        </w:rPr>
        <w:t xml:space="preserve">Et pourtant, certaines souches pathogènes peuvent provoquer des maladies intestinales et extra-intestinales </w:t>
      </w:r>
      <w:r>
        <w:rPr>
          <w:rFonts w:eastAsia="Calibri"/>
          <w:b/>
          <w:bCs/>
          <w:color w:val="000000"/>
          <w:lang w:val="fr" w:bidi="ar"/>
        </w:rPr>
        <w:fldChar w:fldCharType="begin"/>
      </w:r>
      <w:r>
        <w:rPr>
          <w:rFonts w:eastAsia="Calibri"/>
          <w:b/>
          <w:bCs/>
          <w:color w:val="000000"/>
          <w:lang w:val="fr" w:bidi="ar"/>
        </w:rPr>
        <w:instrText xml:space="preserve"> ADDIN ZOTERO_ITEM CSL_CITATION {"citationID":"x4cbyM68","properties":{"formattedCitation":"(Gomes et al., 2016)","plainCitation":"(Gomes et al., 2016)","noteIndex":0},"citationItems":[{"id":301,"uris":["http://zotero.org/users/16279382/items/7A9YDM3L"],"itemData":{"id":301,"type":"article-journal","abstract":"ABSTRAITLa plupart des souches d'Escherichia coli vivent de manière inoffensive dans l'intestin et provoquent rarement des maladies chez les personnes en bonne santé. Néanmoins, plusieurs souches pathogènes peuvent provoquer des diarrhées ou des maladies extra-intestinales, tant chez les personnes en bonne santé que chez les personnes immunodéprimées. Les maladies diarrhéiques constituent un grave problème de santé publique et une cause majeure de morbidité et de mortalité chez les nourrissons et les jeunes enfants, en particulier dans les pays en développement. Les souches d'E. coli responsables de diarrhées ont évolué en acquérant, par transfert horizontal de gènes, un ensemble particulier de caractéristiques qui ont persisté chez l'hôte. Selon le groupe de déterminants de virulence acquis, des combinaisons spécifiques ont été formées, déterminant les pathotypes d' E. coli actuellement connus , collectivement appelés E. coli diarrhéogènes . Dans cette revue, nous avons rassemblé des informations sur les définitions, les sérotypes, les lignées, les mécanismes de virulence, l'épidémiologie et le diagnostic actuels des principaux pathotypes d'E. coli diarrhéogènes .Mots-clés : Escherichia coli ; Diarrhée ; Mécanismes pathogènes ; Facteur de virulence ; Épidémiologie","container-title":"Brazilian Journal of Microbiology","DOI":"https://doi.org/10.1016/j.bjm.2016.10.015","ISSN":"1517-8382, 1678-4405","journalAbbreviation":"Braz. J. Microbiol.","language":"en","note":"publisher: Sociedade Brasileira de Microbiologia","page":"3-30","source":"SciELO","title":"Diarrheagenic &lt;i&gt;Escherichia coli&lt;/i&gt;","volume":"47","author":[{"family":"Gomes","given":"Tânia A. T."},{"family":"Elias","given":"Waldir P."},{"family":"Scaletsky","given":"Isabel C. A."},{"family":"Guth","given":"Beatriz E. C."},{"family":"Rodrigues","given":"Juliana F."},{"family":"Piazza","given":"Roxane M. F."},{"family":"Ferreira","given":"Luís C. S."},{"family":"Martinez","given":"Marina B."}],"issued":{"date-parts":[["2016",12]]}}}],"schema":"https://github.com/citation-style-language/schema/raw/master/csl-citation.json"} </w:instrText>
      </w:r>
      <w:r>
        <w:rPr>
          <w:rFonts w:eastAsia="Calibri"/>
          <w:b/>
          <w:bCs/>
          <w:color w:val="000000"/>
          <w:lang w:val="fr" w:bidi="ar"/>
        </w:rPr>
        <w:fldChar w:fldCharType="separate"/>
      </w:r>
      <w:r>
        <w:rPr>
          <w:rFonts w:eastAsia="Calibri"/>
          <w:b/>
          <w:bCs/>
          <w:lang w:val="fr" w:bidi="ar"/>
        </w:rPr>
        <w:t xml:space="preserve">(Gomes </w:t>
      </w:r>
      <w:r>
        <w:rPr>
          <w:rFonts w:eastAsia="Calibri"/>
          <w:b/>
          <w:bCs/>
          <w:i/>
          <w:iCs/>
          <w:lang w:val="fr" w:bidi="ar"/>
        </w:rPr>
        <w:t>et al</w:t>
      </w:r>
      <w:r>
        <w:rPr>
          <w:rFonts w:eastAsia="Calibri"/>
          <w:b/>
          <w:bCs/>
          <w:lang w:val="fr" w:bidi="ar"/>
        </w:rPr>
        <w:t>., 2016)</w:t>
      </w:r>
      <w:r>
        <w:rPr>
          <w:rFonts w:eastAsia="Calibri"/>
          <w:b/>
          <w:bCs/>
          <w:color w:val="000000"/>
          <w:lang w:val="fr" w:bidi="ar"/>
        </w:rPr>
        <w:fldChar w:fldCharType="end"/>
      </w:r>
      <w:r>
        <w:rPr>
          <w:rFonts w:eastAsia="Calibri"/>
          <w:b/>
          <w:bCs/>
          <w:color w:val="000000"/>
          <w:lang w:val="fr" w:bidi="ar"/>
        </w:rPr>
        <w:t>.</w:t>
      </w:r>
      <w:r>
        <w:rPr>
          <w:rFonts w:eastAsia="Calibri"/>
          <w:b/>
          <w:bCs/>
          <w:color w:val="000000"/>
          <w:lang w:val="fr-FR" w:bidi="ar"/>
        </w:rPr>
        <w:t xml:space="preserve"> </w:t>
      </w:r>
      <w:r>
        <w:rPr>
          <w:rFonts w:eastAsia="Calibri"/>
          <w:color w:val="000000"/>
          <w:kern w:val="2"/>
          <w:lang w:val="fr" w:eastAsia="zh-CN" w:bidi="ar"/>
        </w:rPr>
        <w:t>Morphologiquement</w:t>
      </w:r>
      <w:r>
        <w:rPr>
          <w:rFonts w:eastAsia="Calibri"/>
          <w:color w:val="000000"/>
          <w:kern w:val="2"/>
          <w:lang w:val="fr-FR" w:eastAsia="zh-CN" w:bidi="ar"/>
        </w:rPr>
        <w:t xml:space="preserve"> </w:t>
      </w:r>
      <w:r>
        <w:rPr>
          <w:rFonts w:eastAsia="Calibri"/>
          <w:color w:val="000000"/>
          <w:kern w:val="2"/>
          <w:lang w:val="fr" w:eastAsia="zh-CN" w:bidi="ar"/>
        </w:rPr>
        <w:t xml:space="preserve">est une bactérie mince et allongée, mesurant généralement entre 2 et 4 micromètres de long par 0,4 à 0,6 micromètre de large. Elle présente une forme fine et allongée avec une extrémité arrondie </w:t>
      </w:r>
      <w:r>
        <w:rPr>
          <w:rFonts w:eastAsia="Calibri"/>
          <w:b/>
          <w:bCs/>
          <w:color w:val="000000"/>
          <w:kern w:val="2"/>
          <w:lang w:val="fr" w:eastAsia="zh-CN" w:bidi="ar"/>
        </w:rPr>
        <w:t xml:space="preserve">(Figure </w:t>
      </w:r>
      <w:r>
        <w:rPr>
          <w:rFonts w:eastAsia="Calibri"/>
          <w:b/>
          <w:bCs/>
          <w:color w:val="000000"/>
          <w:kern w:val="2"/>
          <w:lang w:val="fr-FR" w:eastAsia="zh-CN" w:bidi="ar"/>
        </w:rPr>
        <w:t>1</w:t>
      </w:r>
      <w:r>
        <w:rPr>
          <w:rFonts w:eastAsia="Calibri"/>
          <w:b/>
          <w:bCs/>
          <w:color w:val="000000"/>
          <w:kern w:val="2"/>
          <w:lang w:val="fr" w:eastAsia="zh-CN" w:bidi="ar"/>
        </w:rPr>
        <w:t>)</w:t>
      </w:r>
      <w:r>
        <w:rPr>
          <w:rFonts w:eastAsia="Calibri"/>
          <w:color w:val="000000"/>
          <w:kern w:val="2"/>
          <w:lang w:val="fr" w:eastAsia="zh-CN" w:bidi="ar"/>
        </w:rPr>
        <w:t>. La bactérie est mobile grâce à des flagelles périphériques qui l'entourent, permettant ainsi sa motilité</w:t>
      </w:r>
      <w:r>
        <w:rPr>
          <w:rFonts w:eastAsia="Calibri"/>
          <w:color w:val="000000"/>
          <w:kern w:val="2"/>
          <w:lang w:val="fr-FR" w:eastAsia="zh-CN" w:bidi="ar"/>
        </w:rPr>
        <w:t xml:space="preserve"> </w:t>
      </w:r>
      <w:r>
        <w:rPr>
          <w:rFonts w:eastAsia="Calibri"/>
          <w:b/>
          <w:bCs/>
          <w:color w:val="000000"/>
          <w:kern w:val="2"/>
          <w:lang w:val="fr" w:eastAsia="zh-CN" w:bidi="ar"/>
        </w:rPr>
        <w:fldChar w:fldCharType="begin"/>
      </w:r>
      <w:r>
        <w:rPr>
          <w:rFonts w:eastAsia="Calibri"/>
          <w:b/>
          <w:bCs/>
          <w:color w:val="000000"/>
          <w:kern w:val="2"/>
          <w:lang w:val="fr" w:eastAsia="zh-CN" w:bidi="ar"/>
        </w:rPr>
        <w:instrText xml:space="preserve"> ADDIN ZOTERO_ITEM CSL_CITATION {"citationID":"LdToYjzy","properties":{"formattedCitation":"(Diassana, 2018)","plainCitation":"(Diassana, 2018)","noteIndex":0},"citationItems":[{"id":377,"uris":["http://zotero.org/users/16279382/items/T25N2G8G"],"itemData":{"id":377,"type":"thesis","genre":"PhD Thesis","publisher":"thèse de doctorat, Université des Sciences des Techniques et des …","source":"Google Scholar","title":"Identification des souches D’Escherichia coli dans les selles en rapport avec la malnutrition a dioro","author":[{"family":"Diassana","given":"Abraham"}],"issued":{"date-parts":[["2018"]]}}}],"schema":"https://github.com/citation-style-language/schema/raw/master/csl-citation.json"} </w:instrText>
      </w:r>
      <w:r>
        <w:rPr>
          <w:rFonts w:eastAsia="Calibri"/>
          <w:b/>
          <w:bCs/>
          <w:color w:val="000000"/>
          <w:kern w:val="2"/>
          <w:lang w:val="fr" w:eastAsia="zh-CN" w:bidi="ar"/>
        </w:rPr>
        <w:fldChar w:fldCharType="separate"/>
      </w:r>
      <w:r>
        <w:rPr>
          <w:rFonts w:eastAsia="Calibri"/>
          <w:b/>
          <w:bCs/>
          <w:kern w:val="2"/>
          <w:szCs w:val="22"/>
          <w:lang w:val="fr" w:eastAsia="zh-CN" w:bidi="ar"/>
        </w:rPr>
        <w:t>(Diassana, 2018)</w:t>
      </w:r>
      <w:r>
        <w:rPr>
          <w:rFonts w:eastAsia="Calibri"/>
          <w:b/>
          <w:bCs/>
          <w:color w:val="000000"/>
          <w:kern w:val="2"/>
          <w:lang w:val="fr" w:eastAsia="zh-CN" w:bidi="ar"/>
        </w:rPr>
        <w:fldChar w:fldCharType="end"/>
      </w:r>
      <w:r>
        <w:rPr>
          <w:rFonts w:eastAsia="Calibri"/>
          <w:b/>
          <w:bCs/>
          <w:color w:val="000000"/>
          <w:kern w:val="2"/>
          <w:lang w:val="fr-FR" w:eastAsia="zh-CN" w:bidi="ar"/>
        </w:rPr>
        <w:t>.</w:t>
      </w:r>
      <w:r>
        <w:rPr>
          <w:rFonts w:eastAsia="Calibri"/>
          <w:color w:val="000000"/>
          <w:kern w:val="2"/>
          <w:lang w:val="fr-FR" w:eastAsia="zh-CN" w:bidi="ar"/>
        </w:rPr>
        <w:t xml:space="preserve"> </w:t>
      </w:r>
    </w:p>
    <w:p w14:paraId="29C1316F" w14:textId="77777777" w:rsidR="00B611D1" w:rsidRDefault="00FB7689">
      <w:pPr>
        <w:spacing w:after="200" w:line="360" w:lineRule="auto"/>
        <w:jc w:val="center"/>
        <w:rPr>
          <w:rFonts w:eastAsia="Calibri"/>
          <w:color w:val="000000"/>
          <w:kern w:val="2"/>
          <w:lang w:val="fr-FR" w:eastAsia="zh-CN" w:bidi="ar"/>
        </w:rPr>
      </w:pPr>
      <w:r>
        <w:rPr>
          <w:rFonts w:eastAsia="Calibri"/>
          <w:noProof/>
          <w:color w:val="000000"/>
          <w:kern w:val="2"/>
          <w:lang w:val="fr-FR" w:eastAsia="zh-CN" w:bidi="ar"/>
        </w:rPr>
        <w:drawing>
          <wp:inline distT="0" distB="0" distL="0" distR="0" wp14:anchorId="46B7806E" wp14:editId="08C6E8FC">
            <wp:extent cx="3837305" cy="2728595"/>
            <wp:effectExtent l="0" t="0" r="0" b="1905"/>
            <wp:docPr id="4056263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626368" name="Picture 1"/>
                    <pic:cNvPicPr>
                      <a:picLocks noChangeAspect="1"/>
                    </pic:cNvPicPr>
                  </pic:nvPicPr>
                  <pic:blipFill>
                    <a:blip r:embed="rId36"/>
                    <a:stretch>
                      <a:fillRect/>
                    </a:stretch>
                  </pic:blipFill>
                  <pic:spPr>
                    <a:xfrm>
                      <a:off x="0" y="0"/>
                      <a:ext cx="3848887" cy="2736510"/>
                    </a:xfrm>
                    <a:prstGeom prst="rect">
                      <a:avLst/>
                    </a:prstGeom>
                  </pic:spPr>
                </pic:pic>
              </a:graphicData>
            </a:graphic>
          </wp:inline>
        </w:drawing>
      </w:r>
    </w:p>
    <w:p w14:paraId="739238D3" w14:textId="77777777" w:rsidR="00B611D1" w:rsidRDefault="00FB7689">
      <w:pPr>
        <w:pStyle w:val="Lgende"/>
        <w:jc w:val="center"/>
        <w:rPr>
          <w:b/>
          <w:bCs/>
          <w:i w:val="0"/>
          <w:iCs w:val="0"/>
          <w:color w:val="auto"/>
          <w:sz w:val="24"/>
          <w:szCs w:val="24"/>
          <w:lang w:val="en-US"/>
        </w:rPr>
      </w:pPr>
      <w:bookmarkStart w:id="94" w:name="_Toc201269645"/>
      <w:bookmarkStart w:id="95" w:name="_Toc201260087"/>
      <w:r>
        <w:rPr>
          <w:b/>
          <w:bCs/>
          <w:i w:val="0"/>
          <w:iCs w:val="0"/>
          <w:color w:val="auto"/>
          <w:sz w:val="24"/>
          <w:szCs w:val="24"/>
          <w:lang w:val="en-US"/>
        </w:rPr>
        <w:t xml:space="preserve">Figure </w:t>
      </w:r>
      <w:r>
        <w:rPr>
          <w:b/>
          <w:bCs/>
          <w:i w:val="0"/>
          <w:iCs w:val="0"/>
          <w:color w:val="auto"/>
          <w:sz w:val="24"/>
          <w:szCs w:val="24"/>
        </w:rPr>
        <w:fldChar w:fldCharType="begin"/>
      </w:r>
      <w:r>
        <w:rPr>
          <w:b/>
          <w:bCs/>
          <w:i w:val="0"/>
          <w:iCs w:val="0"/>
          <w:color w:val="auto"/>
          <w:sz w:val="24"/>
          <w:szCs w:val="24"/>
          <w:lang w:val="en-US"/>
        </w:rPr>
        <w:instrText xml:space="preserve"> SEQ Figure \* ARABIC </w:instrText>
      </w:r>
      <w:r>
        <w:rPr>
          <w:b/>
          <w:bCs/>
          <w:i w:val="0"/>
          <w:iCs w:val="0"/>
          <w:color w:val="auto"/>
          <w:sz w:val="24"/>
          <w:szCs w:val="24"/>
        </w:rPr>
        <w:fldChar w:fldCharType="separate"/>
      </w:r>
      <w:r>
        <w:rPr>
          <w:b/>
          <w:bCs/>
          <w:i w:val="0"/>
          <w:iCs w:val="0"/>
          <w:color w:val="auto"/>
          <w:sz w:val="24"/>
          <w:szCs w:val="24"/>
          <w:lang w:val="en-US"/>
        </w:rPr>
        <w:t>1</w:t>
      </w:r>
      <w:r>
        <w:rPr>
          <w:b/>
          <w:bCs/>
          <w:i w:val="0"/>
          <w:iCs w:val="0"/>
          <w:color w:val="auto"/>
          <w:sz w:val="24"/>
          <w:szCs w:val="24"/>
        </w:rPr>
        <w:fldChar w:fldCharType="end"/>
      </w:r>
      <w:r>
        <w:rPr>
          <w:b/>
          <w:bCs/>
          <w:i w:val="0"/>
          <w:iCs w:val="0"/>
          <w:color w:val="auto"/>
          <w:sz w:val="24"/>
          <w:szCs w:val="24"/>
          <w:lang w:val="en-US"/>
        </w:rPr>
        <w:t xml:space="preserve"> : </w:t>
      </w:r>
      <w:r>
        <w:rPr>
          <w:color w:val="auto"/>
          <w:sz w:val="24"/>
          <w:szCs w:val="24"/>
          <w:lang w:val="en-US"/>
        </w:rPr>
        <w:t>Escherichia coli</w:t>
      </w:r>
      <w:r>
        <w:rPr>
          <w:b/>
          <w:bCs/>
          <w:i w:val="0"/>
          <w:iCs w:val="0"/>
          <w:color w:val="auto"/>
          <w:sz w:val="24"/>
          <w:szCs w:val="24"/>
          <w:lang w:val="en-US"/>
        </w:rPr>
        <w:t xml:space="preserve"> (John william, 2010)</w:t>
      </w:r>
      <w:bookmarkEnd w:id="94"/>
    </w:p>
    <w:p w14:paraId="4B9AFE1F" w14:textId="77777777" w:rsidR="00B611D1" w:rsidRDefault="00B611D1">
      <w:pPr>
        <w:rPr>
          <w:lang w:val="en-US"/>
        </w:rPr>
      </w:pPr>
    </w:p>
    <w:p w14:paraId="1413D4B0" w14:textId="77777777" w:rsidR="00B611D1" w:rsidRDefault="00FB7689">
      <w:pPr>
        <w:pStyle w:val="Titre4"/>
        <w:numPr>
          <w:ilvl w:val="4"/>
          <w:numId w:val="6"/>
        </w:numPr>
        <w:spacing w:line="360" w:lineRule="auto"/>
        <w:rPr>
          <w:rFonts w:ascii="Times New Roman" w:hAnsi="Times New Roman" w:cs="Times New Roman"/>
          <w:b/>
          <w:bCs/>
          <w:color w:val="auto"/>
          <w:lang w:val="fr-FR" w:eastAsia="zh-CN" w:bidi="ar"/>
        </w:rPr>
      </w:pPr>
      <w:r>
        <w:rPr>
          <w:rFonts w:ascii="Times New Roman" w:hAnsi="Times New Roman" w:cs="Times New Roman"/>
          <w:b/>
          <w:bCs/>
          <w:color w:val="auto"/>
          <w:lang w:val="fr-FR" w:eastAsia="zh-CN" w:bidi="ar"/>
        </w:rPr>
        <w:t>Klebsiella pneumoniae</w:t>
      </w:r>
      <w:bookmarkEnd w:id="95"/>
    </w:p>
    <w:p w14:paraId="57D32D37" w14:textId="77777777" w:rsidR="00B611D1" w:rsidRDefault="00FB7689">
      <w:pPr>
        <w:spacing w:after="200" w:line="360" w:lineRule="auto"/>
        <w:jc w:val="both"/>
        <w:rPr>
          <w:rFonts w:eastAsia="Calibri"/>
          <w:b/>
          <w:bCs/>
          <w:color w:val="000000"/>
          <w:lang w:val="fr-FR" w:bidi="ar"/>
        </w:rPr>
      </w:pPr>
      <w:r>
        <w:rPr>
          <w:rFonts w:eastAsia="Calibri"/>
          <w:kern w:val="2"/>
          <w:lang w:val="fr" w:eastAsia="zh-CN" w:bidi="ar"/>
        </w:rPr>
        <w:t xml:space="preserve">Ce sont des </w:t>
      </w:r>
      <w:r>
        <w:rPr>
          <w:rFonts w:eastAsia="Calibri"/>
          <w:kern w:val="2"/>
          <w:lang w:val="fr-FR" w:eastAsia="zh-CN" w:bidi="ar"/>
        </w:rPr>
        <w:t>entéro</w:t>
      </w:r>
      <w:r>
        <w:rPr>
          <w:rFonts w:eastAsia="Calibri"/>
          <w:kern w:val="2"/>
          <w:lang w:val="fr" w:eastAsia="zh-CN" w:bidi="ar"/>
        </w:rPr>
        <w:t xml:space="preserve">bactéries toujours immobiles, généralement entourées d’une capsule </w:t>
      </w:r>
      <w:r>
        <w:rPr>
          <w:rFonts w:eastAsia="Calibri"/>
          <w:kern w:val="2"/>
          <w:lang w:val="fr-FR" w:eastAsia="zh-CN" w:bidi="ar"/>
        </w:rPr>
        <w:t>polysaccharide</w:t>
      </w:r>
      <w:r>
        <w:rPr>
          <w:rFonts w:eastAsia="Calibri"/>
          <w:kern w:val="2"/>
          <w:lang w:val="fr" w:eastAsia="zh-CN" w:bidi="ar"/>
        </w:rPr>
        <w:t xml:space="preserve"> épaisse qui leur confère une protection contre la phagocytose</w:t>
      </w:r>
      <w:r>
        <w:rPr>
          <w:rFonts w:eastAsia="Calibri"/>
          <w:kern w:val="2"/>
          <w:lang w:val="fr-FR" w:eastAsia="zh-CN" w:bidi="ar"/>
        </w:rPr>
        <w:t xml:space="preserve"> </w:t>
      </w:r>
      <w:r>
        <w:rPr>
          <w:rFonts w:eastAsia="Calibri"/>
          <w:b/>
          <w:bCs/>
          <w:color w:val="000000"/>
          <w:lang w:val="fr" w:bidi="ar"/>
        </w:rPr>
        <w:fldChar w:fldCharType="begin"/>
      </w:r>
      <w:r>
        <w:rPr>
          <w:rFonts w:eastAsia="Calibri"/>
          <w:b/>
          <w:bCs/>
          <w:color w:val="000000"/>
          <w:lang w:val="fr" w:bidi="ar"/>
        </w:rPr>
        <w:instrText xml:space="preserve"> ADDIN ZOTERO_ITEM CSL_CITATION {"citationID":"4bI0luvS","properties":{"formattedCitation":"(Paczosa &amp; Mecsas, 2016)","plainCitation":"(Paczosa &amp; Mecsas, 2016)","noteIndex":0},"citationItems":[{"id":303,"uris":["http://zotero.org/users/16279382/items/QQ4GDQNC"],"itemData":{"id":303,"type":"article-journal","abstract":"RÉSUMÉKlebsiella pneumoniae est responsable d'un large éventail d'infections, notamment des pneumonies, des infections urinaires, des bactériémies et des abcès hépatiques. Historiquement, K. pneumoniae a causé des infections graves, principalement chez les personnes immunodéprimées, mais l'émergence et la propagation récentes de souches hypervirulentes ont élargi le nombre de personnes susceptibles d'être infectées, incluant désormais les personnes saines et immunosuffisantes. De plus, les souches de K. pneumoniae sont devenues de plus en plus résistantes aux antibiotiques, rendant leur traitement très difficile. L'émergence de souches hypervirulentes et résistantes aux antibiotiques a donné lieu à plusieurs études récentes. Des travaux ont décrit la propagation mondiale d'une souche pharmacorésistante et d'un axe de défense de l'hôte, l'interleukine-17 (IL-17), essentiel au contrôle de l'infection. Quatre facteurs, la capsule, le lipopolysaccharide, les fimbriae et les sidérophores, ont été bien étudiés et jouent un rôle important dans la virulence dans au moins un modèle d'infection. Plusieurs autres facteurs, moins bien caractérisés, sont également importants dans au moins un modèle d'infection. Cependant, il existe une hétérogénéité significative entre les souches de K. pneumoniae , et tous les facteurs ne jouent pas le même rôle critique dans toutes les souches virulentes de Klebsiella . Des études récentes ont identifié des facteurs de virulence supplémentaires pour K. pneumoniae et ont permis de mieux comprendre les facteurs importants pour la croissance de ce pathogène dans divers sites tissulaires. Nombre de ces gènes codent des protéines qui interviennent dans le métabolisme et la régulation de la transcription. Cependant, il reste encore beaucoup à faire pour caractériser ces facteurs nouvellement découverts, comprendre comment les infections diffèrent entre les patients sains et les patients immunodéprimés, et identifier des cibles bactériennes ou hôtes attractives pour le traitement de ces infections.","container-title":"Microbiology and Molecular Biology Reviews","DOI":"10.1128/mmbr.00078-15","issue":"3","note":"publisher: American Society for Microbiology","page":"629-661","source":"journals.asm.org (Atypon)","title":"Klebsiella pneumoniae: Going on the Offense with a Strong Defense","title-short":"Klebsiella pneumoniae","volume":"80","author":[{"family":"Paczosa","given":"Michelle K."},{"family":"Mecsas","given":"Joan"}],"issued":{"date-parts":[["2016",6,15]]}}}],"schema":"https://github.com/citation-style-language/schema/raw/master/csl-citation.json"}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(Paczosa &amp; Mecsas, 2016)</w:t>
      </w:r>
      <w:r>
        <w:rPr>
          <w:rFonts w:eastAsia="Calibri"/>
          <w:b/>
          <w:bCs/>
          <w:color w:val="000000"/>
          <w:lang w:val="fr" w:bidi="ar"/>
        </w:rPr>
        <w:fldChar w:fldCharType="end"/>
      </w:r>
      <w:r>
        <w:rPr>
          <w:rFonts w:eastAsia="Calibri"/>
          <w:kern w:val="2"/>
          <w:lang w:val="fr" w:eastAsia="zh-CN" w:bidi="ar"/>
        </w:rPr>
        <w:t xml:space="preserve">. L’une des espèces les plus fréquemment est </w:t>
      </w:r>
      <w:r>
        <w:rPr>
          <w:rFonts w:eastAsia="Calibri"/>
          <w:i/>
          <w:iCs/>
          <w:kern w:val="2"/>
          <w:lang w:val="fr" w:eastAsia="zh-CN" w:bidi="ar"/>
        </w:rPr>
        <w:t>Klebsiella pneumoniae</w:t>
      </w:r>
      <w:r>
        <w:rPr>
          <w:rFonts w:eastAsia="Calibri"/>
          <w:kern w:val="2"/>
          <w:lang w:val="fr" w:eastAsia="zh-CN" w:bidi="ar"/>
        </w:rPr>
        <w:t xml:space="preserve">, un pathogène opportuniste hautement contagieux, souvent impliqué dans des infections nosocomiales sévères, en particulier en unités de soins intensifs. En laboratoire, </w:t>
      </w:r>
      <w:r>
        <w:rPr>
          <w:rFonts w:eastAsia="Calibri"/>
          <w:i/>
          <w:iCs/>
          <w:kern w:val="2"/>
          <w:lang w:val="fr" w:eastAsia="zh-CN" w:bidi="ar"/>
        </w:rPr>
        <w:t>K. pneumoniae</w:t>
      </w:r>
      <w:r>
        <w:rPr>
          <w:rFonts w:eastAsia="Calibri"/>
          <w:kern w:val="2"/>
          <w:lang w:val="fr" w:eastAsia="zh-CN" w:bidi="ar"/>
        </w:rPr>
        <w:t xml:space="preserve"> se présente sous forme de bacilles droits, mesurant entre 0,5 à 2 µm de large et de 1 à 6 µm de long </w:t>
      </w:r>
      <w:r>
        <w:rPr>
          <w:rFonts w:eastAsia="Calibri"/>
          <w:b/>
          <w:bCs/>
          <w:kern w:val="2"/>
          <w:lang w:val="fr" w:eastAsia="zh-CN" w:bidi="ar"/>
        </w:rPr>
        <w:t xml:space="preserve">(Figure </w:t>
      </w:r>
      <w:r>
        <w:rPr>
          <w:rFonts w:eastAsia="Calibri"/>
          <w:b/>
          <w:bCs/>
          <w:kern w:val="2"/>
          <w:lang w:val="fr-FR" w:eastAsia="zh-CN" w:bidi="ar"/>
        </w:rPr>
        <w:t>2</w:t>
      </w:r>
      <w:r>
        <w:rPr>
          <w:rFonts w:eastAsia="Calibri"/>
          <w:b/>
          <w:bCs/>
          <w:kern w:val="2"/>
          <w:lang w:val="fr" w:eastAsia="zh-CN" w:bidi="ar"/>
        </w:rPr>
        <w:t>)</w:t>
      </w:r>
      <w:r>
        <w:rPr>
          <w:rFonts w:eastAsia="Calibri"/>
          <w:kern w:val="2"/>
          <w:lang w:val="fr" w:eastAsia="zh-CN" w:bidi="ar"/>
        </w:rPr>
        <w:t>. En culture, ses colonies sont typiquement rondes, convexes et visqueuses, un aspect caractéristique dû à la production abondante de capsule</w:t>
      </w:r>
      <w:r>
        <w:rPr>
          <w:rFonts w:eastAsia="Calibri"/>
          <w:kern w:val="2"/>
          <w:lang w:val="fr-FR" w:eastAsia="zh-CN" w:bidi="ar"/>
        </w:rPr>
        <w:t xml:space="preserve"> </w:t>
      </w:r>
      <w:r>
        <w:rPr>
          <w:rFonts w:eastAsia="Calibri"/>
          <w:b/>
          <w:bCs/>
          <w:color w:val="000000"/>
          <w:lang w:val="fr" w:bidi="ar"/>
        </w:rPr>
        <w:fldChar w:fldCharType="begin"/>
      </w:r>
      <w:r>
        <w:rPr>
          <w:rFonts w:eastAsia="Calibri"/>
          <w:b/>
          <w:bCs/>
          <w:color w:val="000000"/>
          <w:lang w:val="fr" w:bidi="ar"/>
        </w:rPr>
        <w:instrText xml:space="preserve"> ADDIN ZOTERO_ITEM CSL_CITATION {"citationID":"2ogtwUio","properties":{"formattedCitation":"(Khayar, 2011)","plainCitation":"(Khayar, 2011)","noteIndex":0},"citationItems":[{"id":378,"uris":["http://zotero.org/users/16279382/items/UENVLBDF"],"itemData":{"id":378,"type":"article-journal","container-title":"Rabat: Université Mohammed V de Rabat","issue":"99","source":"Google Scholar","title":"Comportement des entérobactéries isolées des urines vis-à-vis de l’amoxicilline–acide clavulanique, l’imipénème et l’ertapénème [thèse]","author":[{"family":"Khayar","given":"Y."}],"issued":{"date-parts":[["2011"]]}}}],"schema":"https://github.com/citation-style-language/schema/raw/master/csl-citation.json"} </w:instrText>
      </w:r>
      <w:r>
        <w:rPr>
          <w:rFonts w:eastAsia="Calibri"/>
          <w:b/>
          <w:bCs/>
          <w:color w:val="000000"/>
          <w:lang w:val="fr" w:bidi="ar"/>
        </w:rPr>
        <w:fldChar w:fldCharType="separate"/>
      </w:r>
      <w:r>
        <w:rPr>
          <w:rFonts w:eastAsia="Calibri"/>
          <w:b/>
          <w:bCs/>
          <w:color w:val="000000"/>
          <w:szCs w:val="22"/>
          <w:lang w:val="fr" w:bidi="ar"/>
        </w:rPr>
        <w:t>(Khayar, 2011)</w:t>
      </w:r>
      <w:r>
        <w:rPr>
          <w:rFonts w:eastAsia="Calibri"/>
          <w:b/>
          <w:bCs/>
          <w:color w:val="000000"/>
          <w:lang w:val="fr" w:bidi="ar"/>
        </w:rPr>
        <w:fldChar w:fldCharType="end"/>
      </w:r>
      <w:r>
        <w:rPr>
          <w:rFonts w:eastAsia="Calibri"/>
          <w:b/>
          <w:bCs/>
          <w:color w:val="000000"/>
          <w:lang w:val="fr-FR" w:bidi="ar"/>
        </w:rPr>
        <w:t>.</w:t>
      </w:r>
    </w:p>
    <w:p w14:paraId="5B7A898B" w14:textId="77777777" w:rsidR="00B611D1" w:rsidRDefault="00FB7689">
      <w:pPr>
        <w:spacing w:after="200" w:line="360" w:lineRule="auto"/>
        <w:jc w:val="center"/>
        <w:rPr>
          <w:rFonts w:eastAsia="Calibri"/>
          <w:b/>
          <w:bCs/>
          <w:color w:val="000000"/>
          <w:lang w:val="fr-FR" w:bidi="ar"/>
        </w:rPr>
      </w:pPr>
      <w:r>
        <w:rPr>
          <w:rFonts w:eastAsia="Calibri"/>
          <w:b/>
          <w:bCs/>
          <w:noProof/>
          <w:color w:val="000000"/>
          <w:lang w:val="fr-FR" w:bidi="ar"/>
        </w:rPr>
        <w:drawing>
          <wp:inline distT="0" distB="0" distL="0" distR="0" wp14:anchorId="51E4CA09" wp14:editId="5127A7D7">
            <wp:extent cx="3079750" cy="2596515"/>
            <wp:effectExtent l="0" t="0" r="0" b="0"/>
            <wp:docPr id="9710938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093890" name="Picture 1"/>
                    <pic:cNvPicPr>
                      <a:picLocks noChangeAspect="1"/>
                    </pic:cNvPicPr>
                  </pic:nvPicPr>
                  <pic:blipFill>
                    <a:blip r:embed="rId37"/>
                    <a:srcRect t="7405" r="431"/>
                    <a:stretch>
                      <a:fillRect/>
                    </a:stretch>
                  </pic:blipFill>
                  <pic:spPr>
                    <a:xfrm>
                      <a:off x="0" y="0"/>
                      <a:ext cx="3079750" cy="2596515"/>
                    </a:xfrm>
                    <a:prstGeom prst="rect">
                      <a:avLst/>
                    </a:prstGeom>
                  </pic:spPr>
                </pic:pic>
              </a:graphicData>
            </a:graphic>
          </wp:inline>
        </w:drawing>
      </w:r>
    </w:p>
    <w:p w14:paraId="06FB8F4A" w14:textId="77777777" w:rsidR="00B611D1" w:rsidRDefault="00FB7689">
      <w:pPr>
        <w:pStyle w:val="Lgende"/>
        <w:jc w:val="center"/>
        <w:rPr>
          <w:b/>
          <w:bCs/>
          <w:i w:val="0"/>
          <w:iCs w:val="0"/>
          <w:color w:val="auto"/>
          <w:sz w:val="24"/>
          <w:szCs w:val="24"/>
          <w:lang w:val="fr-FR"/>
        </w:rPr>
      </w:pPr>
      <w:bookmarkStart w:id="96" w:name="_Toc201269646"/>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2</w:t>
      </w:r>
      <w:r>
        <w:rPr>
          <w:b/>
          <w:bCs/>
          <w:i w:val="0"/>
          <w:iCs w:val="0"/>
          <w:color w:val="auto"/>
          <w:sz w:val="24"/>
          <w:szCs w:val="24"/>
        </w:rPr>
        <w:fldChar w:fldCharType="end"/>
      </w:r>
      <w:r>
        <w:rPr>
          <w:b/>
          <w:bCs/>
          <w:i w:val="0"/>
          <w:iCs w:val="0"/>
          <w:color w:val="auto"/>
          <w:sz w:val="24"/>
          <w:szCs w:val="24"/>
          <w:lang w:val="fr-FR"/>
        </w:rPr>
        <w:t xml:space="preserve"> : </w:t>
      </w:r>
      <w:r>
        <w:rPr>
          <w:color w:val="auto"/>
          <w:sz w:val="24"/>
          <w:szCs w:val="24"/>
          <w:lang w:val="fr-FR"/>
        </w:rPr>
        <w:t>Klebsiella pneumoniae</w:t>
      </w:r>
      <w:r>
        <w:rPr>
          <w:b/>
          <w:bCs/>
          <w:i w:val="0"/>
          <w:iCs w:val="0"/>
          <w:color w:val="auto"/>
          <w:sz w:val="24"/>
          <w:szCs w:val="24"/>
          <w:lang w:val="fr-FR"/>
        </w:rPr>
        <w:t xml:space="preserve"> (Cho et al., 2012)</w:t>
      </w:r>
      <w:bookmarkEnd w:id="96"/>
    </w:p>
    <w:p w14:paraId="7BB4ABAC" w14:textId="77777777" w:rsidR="00B611D1" w:rsidRDefault="00B611D1">
      <w:pPr>
        <w:rPr>
          <w:rFonts w:eastAsia="TimesNewRomanPS-BoldItalicMT"/>
          <w:lang w:val="fr-FR"/>
        </w:rPr>
      </w:pPr>
    </w:p>
    <w:p w14:paraId="5D2AE29D" w14:textId="77777777" w:rsidR="00B611D1" w:rsidRDefault="00FB7689">
      <w:pPr>
        <w:pStyle w:val="Titre4"/>
        <w:numPr>
          <w:ilvl w:val="4"/>
          <w:numId w:val="6"/>
        </w:numPr>
        <w:spacing w:line="360" w:lineRule="auto"/>
        <w:rPr>
          <w:rFonts w:ascii="Times New Roman" w:hAnsi="Times New Roman" w:cs="Times New Roman"/>
          <w:b/>
          <w:bCs/>
          <w:color w:val="auto"/>
          <w:lang w:val="fr-FR" w:bidi="ar"/>
        </w:rPr>
      </w:pPr>
      <w:bookmarkStart w:id="97" w:name="_Toc201260088"/>
      <w:r>
        <w:rPr>
          <w:rFonts w:ascii="Times New Roman" w:hAnsi="Times New Roman" w:cs="Times New Roman"/>
          <w:b/>
          <w:bCs/>
          <w:color w:val="auto"/>
          <w:lang w:val="fr-FR" w:bidi="ar"/>
        </w:rPr>
        <w:t>Serratia marcescens</w:t>
      </w:r>
      <w:bookmarkEnd w:id="97"/>
    </w:p>
    <w:p w14:paraId="51448810" w14:textId="77777777" w:rsidR="00B611D1" w:rsidRDefault="00FB7689">
      <w:pPr>
        <w:spacing w:after="200" w:line="360" w:lineRule="auto"/>
        <w:jc w:val="both"/>
        <w:rPr>
          <w:rFonts w:eastAsia="Calibri"/>
          <w:color w:val="000000"/>
          <w:lang w:val="fr-FR"/>
        </w:rPr>
      </w:pPr>
      <w:r>
        <w:rPr>
          <w:rFonts w:eastAsia="Calibri"/>
          <w:i/>
          <w:iCs/>
          <w:color w:val="000000"/>
          <w:lang w:val="fr-FR"/>
        </w:rPr>
        <w:t>Serratia marcescens</w:t>
      </w:r>
      <w:r>
        <w:rPr>
          <w:rFonts w:eastAsia="Calibri"/>
          <w:color w:val="000000"/>
          <w:lang w:val="fr-FR"/>
        </w:rPr>
        <w:t xml:space="preserve"> est une bactérie à Gram négatif appartenant à la famille des Enterobacteriaceae. Elle est en forme de bacille, mobile grâce à des flagelles péritriches, et ne forme pas de spores</w:t>
      </w:r>
      <w:r>
        <w:rPr>
          <w:rFonts w:eastAsia="Calibri"/>
          <w:b/>
          <w:bCs/>
          <w:color w:val="000000"/>
          <w:kern w:val="2"/>
          <w:lang w:val="fr-FR" w:eastAsia="zh-CN" w:bidi="ar"/>
        </w:rPr>
        <w:t xml:space="preserve"> (Figure 3)</w:t>
      </w:r>
      <w:r>
        <w:rPr>
          <w:rFonts w:eastAsia="Calibri"/>
          <w:color w:val="000000"/>
          <w:lang w:val="fr-FR"/>
        </w:rPr>
        <w:t xml:space="preserve">. Elle est capable de se développer aussi bien en conditions aérobies qu’anaérobies facultatives </w:t>
      </w:r>
      <w:r>
        <w:rPr>
          <w:rFonts w:eastAsia="Calibri"/>
          <w:b/>
          <w:bCs/>
          <w:color w:val="000000"/>
          <w:lang w:val="fr" w:bidi="ar"/>
        </w:rPr>
        <w:fldChar w:fldCharType="begin"/>
      </w:r>
      <w:r>
        <w:rPr>
          <w:rFonts w:eastAsia="Calibri"/>
          <w:b/>
          <w:bCs/>
          <w:color w:val="000000"/>
          <w:lang w:val="fr" w:bidi="ar"/>
        </w:rPr>
        <w:instrText xml:space="preserve"> ADDIN ZOTERO_ITEM CSL_CITATION {"citationID":"Hl5jOTcC","properties":{"formattedCitation":"(Khanna et al., 2013)","plainCitation":"(Khanna et al., 2013)","noteIndex":0},"citationItems":[{"id":466,"uris":["http://zotero.org/users/16279382/items/2UTE7738"],"itemData":{"id":466,"type":"article-journal","abstract":"Background: In November 2011, 6 patients who were in the ICU of the Sri Guru Ram Dass Institute of Medical Sciences and Research acquired an infection which was caused by Serratia marcescens. We investigated the cause of the increase in frequency of the isolation of Serratia marcesens from hospitalized patients., Methods: Various samples from patients and environmental sources, which were collected from the ICU of Sri Guru Ram Das Institute of Medical Sciences and Research during the 6 month period from November 2011 to April 2011, were included in the study. The isolates from the patients and the surrounding environmental sources were examined by using standard techniques. Further, the isolates of Serratia marcescens were identified, depending upon their biochemical and morphological characteristics., Results: Seven isolates of Serratia marcescens were identified (six from the patients in the ICU and one from the soap dispenser in the ICU) among a total of 327 isolates from the clinical samples and 84 isolates were identified from the environmental sources in the ICU., Discussion and Conclusion: An outbreak of the Serratia marcescens infection in the ICU was traced to the extrinsic contamination of the soap dispenser in the ICU, as after the removal of the dispenser, no further case occurred.","container-title":"Journal of Clinical and Diagnostic Research : JCDR","DOI":"10.7860/JCDR/2013/5010.2737","ISSN":"2249-782X","issue":"2","journalAbbreviation":"J Clin Diagn Res","note":"PMID: 23543704\nPMCID: PMC3592283","page":"243-246","source":"PubMed Central","title":"Serratia Marcescens- A Rare Opportunistic Nosocomial Pathogen and Measures to Limit its Spread in Hospitalized Patients","volume":"7","author":[{"family":"Khanna","given":"Ashish"},{"family":"Khanna","given":"Menka"},{"family":"Aggarwal","given":"Aruna"}],"issued":{"date-parts":[["2013",2]]}}}],"schema":"https://github.com/citation-style-language/schema/raw/master/csl-citation.json"}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(Khanna </w:t>
      </w:r>
      <w:r>
        <w:rPr>
          <w:rFonts w:eastAsia="Calibri"/>
          <w:b/>
          <w:bCs/>
          <w:i/>
          <w:iCs/>
          <w:szCs w:val="22"/>
          <w:lang w:val="fr" w:bidi="ar"/>
        </w:rPr>
        <w:t>et al</w:t>
      </w:r>
      <w:r>
        <w:rPr>
          <w:rFonts w:eastAsia="Calibri"/>
          <w:b/>
          <w:bCs/>
          <w:szCs w:val="22"/>
          <w:lang w:val="fr" w:bidi="ar"/>
        </w:rPr>
        <w:t>., 2013)</w:t>
      </w:r>
      <w:r>
        <w:rPr>
          <w:rFonts w:eastAsia="Calibri"/>
          <w:b/>
          <w:bCs/>
          <w:color w:val="000000"/>
          <w:lang w:val="fr" w:bidi="ar"/>
        </w:rPr>
        <w:fldChar w:fldCharType="end"/>
      </w:r>
      <w:r>
        <w:rPr>
          <w:rFonts w:eastAsia="Calibri"/>
          <w:color w:val="000000"/>
          <w:lang w:val="fr-FR"/>
        </w:rPr>
        <w:t xml:space="preserve">. Cette espèce est connue pour produire un pigment rouge caractéristique appelé prodigiosine, surtout à température ambiante. </w:t>
      </w:r>
      <w:r>
        <w:rPr>
          <w:rFonts w:eastAsia="Calibri"/>
          <w:i/>
          <w:iCs/>
          <w:color w:val="000000"/>
          <w:lang w:val="fr-FR"/>
        </w:rPr>
        <w:t>Serratia marcescens</w:t>
      </w:r>
      <w:r>
        <w:rPr>
          <w:rFonts w:eastAsia="Calibri"/>
          <w:color w:val="000000"/>
          <w:lang w:val="fr-FR"/>
        </w:rPr>
        <w:t xml:space="preserve"> est un pathogène opportuniste, souvent impliqué dans les infections nosocomiales, notamment les infections urinaires, respiratoires, et les septicémies </w:t>
      </w:r>
      <w:r>
        <w:rPr>
          <w:rFonts w:eastAsia="Calibri"/>
          <w:b/>
          <w:bCs/>
          <w:color w:val="000000"/>
          <w:lang w:val="fr" w:bidi="ar"/>
        </w:rPr>
        <w:fldChar w:fldCharType="begin"/>
      </w:r>
      <w:r>
        <w:rPr>
          <w:rFonts w:eastAsia="Calibri"/>
          <w:b/>
          <w:bCs/>
          <w:color w:val="000000"/>
          <w:lang w:val="fr" w:bidi="ar"/>
        </w:rPr>
        <w:instrText xml:space="preserve"> ADDIN ZOTERO_ITEM CSL_CITATION {"citationID":"PbB7t8Db","properties":{"formattedCitation":"(Sannathimmappa et al., 2024)","plainCitation":"(Sannathimmappa et al., 2024)","noteIndex":0},"citationItems":[{"id":469,"uris":["http://zotero.org/users/16279382/items/XGSF5QZ3"],"itemData":{"id":469,"type":"article-journal","abstract":"Background: \n          Serratia has emerged as an important nosocomial opportunistic pathogen, often associated with serious infections. We investigated the antimicrobial resistance trends, predisposing factors, and infection outcomes associated with Serratia species isolated in a secondary-care hospital in Oman.\n          Materials and Methods: \n          A retrospective study was conducted at a secondary-care hospital in the northern region of Oman after receiving approval from the research ethics and approval committee of Oman. The relevant data of patients diagnosed with Serratia infection during 2017–2021 was extracted from the Sohar Hospital health records. We statistically analyzed the data using the statistical software STATA version 14.\n          Results: \n          A total of 257 non-duplicate Serratia strains were studied. S. marcescens was the predominant (79.4%) isolated species. Serratia strains were more frequently isolated from males (51.4%). The most affected were older people aged &gt; 60 years (29.4%), infants (28%), and patients treated at critical care units. Serratia has demonstrated high resistance to beta-lactams. The susceptibility rates of Serratia strains to tigecycline, ciprofloxacin, trimethoprim-sulfamethoxazole, gentamicin, amikacin, piperacillin-tazobactam, imipenem, and meropenem was high. Septicemia, pneumonia, mechanical ventilation, and hemodialysis were the independent risk factors for increased mortality among studied subjects (P &lt; 0.05).\n          Conclusions: \n          Our study results recommend empirical therapy with trimethoprim-sulfamethoxazole, piperacillin-tazobactam, aminoglycosides, and ciprofloxacin as first-line drugs for Serratia infection. The emergence of ESBL producers and carbapenem-resistant strains is worrisome. Regular updating of physicians’ knowledge about antimicrobial profiles, antibiotic prescription policies, and infection control measures is necessary to combat antimicrobial resistance and improve outcomes.","container-title":"Advanced Biomedical Research","DOI":"10.4103/abr.abr_381_23","issue":"1","language":"en-US","page":"101","source":"journals.lww.com","title":"Antimicrobial Resistance Pattern, Predisposing Factors, and Outcome of Serratia Infection in Patients Treated at a Secondary-Care Hospital in Oman: A 5-Year Retrospective Study","title-short":"Antimicrobial Resistance Pattern, Predisposing Factors, and Outcome of Serratia Infection in Patients Treated at a Secondary-Care Hospital in Oman","volume":"13","author":[{"family":"Sannathimmappa","given":"Mohan B."},{"family":"Nambiar","given":"Vinod"},{"family":"Al Siyabi","given":"Kaouthar Hilal Salim Hamood"},{"family":"Hussain","given":"Aisha Shabbir"},{"family":"Shah","given":"Yusra Abid"},{"family":"Marimuthu","given":"Yamini"},{"family":"Al-maqbali","given":"Salima"},{"family":"Annamanedi","given":"Madhavi"},{"family":"Al-Risi","given":"Elham Said"},{"family":"Aravindakshan","given":"Rajeev"}],"issued":{"date-parts":[["2024",10]]}}}],"schema":"https://github.com/citation-style-language/schema/raw/master/csl-citation.json"}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(Sannathimmappa et al., 2024)</w:t>
      </w:r>
      <w:r>
        <w:rPr>
          <w:rFonts w:eastAsia="Calibri"/>
          <w:b/>
          <w:bCs/>
          <w:color w:val="000000"/>
          <w:lang w:val="fr" w:bidi="ar"/>
        </w:rPr>
        <w:fldChar w:fldCharType="end"/>
      </w:r>
      <w:r>
        <w:rPr>
          <w:rFonts w:eastAsia="Calibri"/>
          <w:b/>
          <w:bCs/>
          <w:color w:val="000000"/>
          <w:lang w:val="fr-FR"/>
        </w:rPr>
        <w:t>.</w:t>
      </w:r>
      <w:r>
        <w:rPr>
          <w:rFonts w:eastAsia="Calibri"/>
          <w:color w:val="000000"/>
          <w:lang w:val="fr-FR"/>
        </w:rPr>
        <w:t xml:space="preserve"> </w:t>
      </w:r>
    </w:p>
    <w:p w14:paraId="4D249E49" w14:textId="77777777" w:rsidR="00B611D1" w:rsidRDefault="00FB7689">
      <w:pPr>
        <w:spacing w:after="200" w:line="360" w:lineRule="auto"/>
        <w:jc w:val="center"/>
        <w:rPr>
          <w:rFonts w:eastAsia="Calibri"/>
          <w:color w:val="000000"/>
          <w:lang w:val="fr-FR" w:bidi="ar"/>
        </w:rPr>
      </w:pPr>
      <w:r>
        <w:rPr>
          <w:rFonts w:eastAsia="Calibri"/>
          <w:noProof/>
          <w:color w:val="000000"/>
          <w:lang w:val="fr-FR" w:bidi="ar"/>
        </w:rPr>
        <w:drawing>
          <wp:inline distT="0" distB="0" distL="0" distR="0" wp14:anchorId="795EC482" wp14:editId="43A5B486">
            <wp:extent cx="3252470" cy="2237105"/>
            <wp:effectExtent l="0" t="0" r="0" b="0"/>
            <wp:docPr id="14098355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835552" name="Picture 1"/>
                    <pic:cNvPicPr>
                      <a:picLocks noChangeAspect="1"/>
                    </pic:cNvPicPr>
                  </pic:nvPicPr>
                  <pic:blipFill>
                    <a:blip r:embed="rId38"/>
                    <a:srcRect l="1935" t="11549" r="2588" b="4155"/>
                    <a:stretch>
                      <a:fillRect/>
                    </a:stretch>
                  </pic:blipFill>
                  <pic:spPr>
                    <a:xfrm>
                      <a:off x="0" y="0"/>
                      <a:ext cx="3252470" cy="2237105"/>
                    </a:xfrm>
                    <a:prstGeom prst="rect">
                      <a:avLst/>
                    </a:prstGeom>
                    <a:ln>
                      <a:noFill/>
                    </a:ln>
                  </pic:spPr>
                </pic:pic>
              </a:graphicData>
            </a:graphic>
          </wp:inline>
        </w:drawing>
      </w:r>
    </w:p>
    <w:p w14:paraId="10D93382" w14:textId="77777777" w:rsidR="00B611D1" w:rsidRDefault="00FB7689">
      <w:pPr>
        <w:pStyle w:val="Lgende"/>
        <w:jc w:val="center"/>
        <w:rPr>
          <w:b/>
          <w:bCs/>
          <w:i w:val="0"/>
          <w:iCs w:val="0"/>
          <w:color w:val="auto"/>
          <w:sz w:val="24"/>
          <w:szCs w:val="24"/>
          <w:lang w:val="fr-FR"/>
        </w:rPr>
      </w:pPr>
      <w:bookmarkStart w:id="98" w:name="_Toc201269647"/>
      <w:bookmarkStart w:id="99" w:name="_Toc201260089"/>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3</w:t>
      </w:r>
      <w:r>
        <w:rPr>
          <w:b/>
          <w:bCs/>
          <w:i w:val="0"/>
          <w:iCs w:val="0"/>
          <w:color w:val="auto"/>
          <w:sz w:val="24"/>
          <w:szCs w:val="24"/>
        </w:rPr>
        <w:fldChar w:fldCharType="end"/>
      </w:r>
      <w:r>
        <w:rPr>
          <w:b/>
          <w:bCs/>
          <w:i w:val="0"/>
          <w:iCs w:val="0"/>
          <w:color w:val="auto"/>
          <w:sz w:val="24"/>
          <w:szCs w:val="24"/>
          <w:lang w:val="fr-FR"/>
        </w:rPr>
        <w:t xml:space="preserve"> : </w:t>
      </w:r>
      <w:r>
        <w:rPr>
          <w:color w:val="auto"/>
          <w:sz w:val="24"/>
          <w:szCs w:val="24"/>
          <w:lang w:val="fr-FR"/>
        </w:rPr>
        <w:t>Serratia marcescens</w:t>
      </w:r>
      <w:r>
        <w:rPr>
          <w:b/>
          <w:bCs/>
          <w:i w:val="0"/>
          <w:iCs w:val="0"/>
          <w:color w:val="auto"/>
          <w:sz w:val="24"/>
          <w:szCs w:val="24"/>
          <w:lang w:val="fr-FR"/>
        </w:rPr>
        <w:t xml:space="preserve"> (Claussen &amp; Schmidt, 2023)</w:t>
      </w:r>
      <w:bookmarkEnd w:id="98"/>
    </w:p>
    <w:p w14:paraId="7799C5A9" w14:textId="77777777" w:rsidR="00B611D1" w:rsidRDefault="00B611D1">
      <w:pPr>
        <w:rPr>
          <w:lang w:val="fr-FR"/>
        </w:rPr>
      </w:pPr>
    </w:p>
    <w:p w14:paraId="6140D084" w14:textId="77777777" w:rsidR="00B611D1" w:rsidRDefault="00FB7689">
      <w:pPr>
        <w:pStyle w:val="Titre4"/>
        <w:numPr>
          <w:ilvl w:val="3"/>
          <w:numId w:val="1"/>
        </w:numPr>
        <w:spacing w:line="360" w:lineRule="auto"/>
        <w:rPr>
          <w:rFonts w:asciiTheme="majorBidi" w:hAnsiTheme="majorBidi"/>
          <w:b/>
          <w:bCs/>
          <w:i w:val="0"/>
          <w:iCs w:val="0"/>
          <w:color w:val="000000" w:themeColor="text1"/>
          <w:lang w:val="fr" w:eastAsia="zh-CN" w:bidi="ar"/>
        </w:rPr>
      </w:pPr>
      <w:r>
        <w:rPr>
          <w:rFonts w:asciiTheme="majorBidi" w:hAnsiTheme="majorBidi"/>
          <w:b/>
          <w:bCs/>
          <w:i w:val="0"/>
          <w:iCs w:val="0"/>
          <w:color w:val="000000" w:themeColor="text1"/>
          <w:lang w:val="fr" w:eastAsia="zh-CN" w:bidi="ar"/>
        </w:rPr>
        <w:t>Bacilles Gram négatif non Fermentaires</w:t>
      </w:r>
      <w:bookmarkEnd w:id="99"/>
    </w:p>
    <w:p w14:paraId="0E8C35FE" w14:textId="77777777" w:rsidR="00B611D1" w:rsidRDefault="00B611D1">
      <w:pPr>
        <w:pStyle w:val="Paragraphedeliste"/>
        <w:keepNext/>
        <w:keepLines/>
        <w:numPr>
          <w:ilvl w:val="3"/>
          <w:numId w:val="6"/>
        </w:numPr>
        <w:spacing w:before="40"/>
        <w:outlineLvl w:val="3"/>
        <w:rPr>
          <w:rFonts w:asciiTheme="majorHAnsi" w:eastAsiaTheme="majorEastAsia" w:hAnsiTheme="majorHAnsi" w:cstheme="majorBidi"/>
          <w:i/>
          <w:iCs/>
          <w:vanish/>
          <w:color w:val="365F91" w:themeColor="accent1" w:themeShade="BF"/>
          <w:lang w:val="fr-FR" w:bidi="ar"/>
        </w:rPr>
      </w:pPr>
      <w:bookmarkStart w:id="100" w:name="_Toc201260090"/>
      <w:bookmarkEnd w:id="100"/>
    </w:p>
    <w:p w14:paraId="3400032D" w14:textId="77777777" w:rsidR="00B611D1" w:rsidRDefault="00FB7689">
      <w:pPr>
        <w:pStyle w:val="Titre4"/>
        <w:numPr>
          <w:ilvl w:val="4"/>
          <w:numId w:val="6"/>
        </w:numPr>
        <w:rPr>
          <w:rFonts w:ascii="Times New Roman" w:hAnsi="Times New Roman" w:cs="Times New Roman"/>
          <w:b/>
          <w:bCs/>
          <w:i w:val="0"/>
          <w:iCs w:val="0"/>
          <w:color w:val="auto"/>
          <w:lang w:val="fr" w:eastAsia="zh-CN" w:bidi="ar"/>
        </w:rPr>
      </w:pPr>
      <w:bookmarkStart w:id="101" w:name="_Toc201260091"/>
      <w:r>
        <w:rPr>
          <w:rFonts w:ascii="Times New Roman" w:hAnsi="Times New Roman" w:cs="Times New Roman"/>
          <w:b/>
          <w:bCs/>
          <w:color w:val="auto"/>
          <w:lang w:val="fr-FR" w:bidi="ar"/>
        </w:rPr>
        <w:t>Acinetobacter baumannii</w:t>
      </w:r>
      <w:bookmarkEnd w:id="101"/>
    </w:p>
    <w:p w14:paraId="7F86AE22" w14:textId="77777777" w:rsidR="00B611D1" w:rsidRDefault="00FB7689">
      <w:pPr>
        <w:pStyle w:val="Titre5"/>
        <w:spacing w:line="360" w:lineRule="auto"/>
        <w:jc w:val="both"/>
        <w:rPr>
          <w:rFonts w:asciiTheme="majorBidi" w:hAnsiTheme="majorBidi" w:cstheme="majorBidi" w:hint="default"/>
          <w:b w:val="0"/>
          <w:bCs w:val="0"/>
          <w:i/>
          <w:iCs/>
          <w:sz w:val="24"/>
          <w:szCs w:val="24"/>
          <w:lang w:val="fr-FR" w:bidi="ar"/>
        </w:rPr>
      </w:pPr>
      <w:bookmarkStart w:id="102" w:name="_Toc201260092"/>
      <w:r>
        <w:rPr>
          <w:rFonts w:asciiTheme="majorBidi" w:hAnsiTheme="majorBidi" w:cstheme="majorBidi" w:hint="default"/>
          <w:b w:val="0"/>
          <w:bCs w:val="0"/>
          <w:sz w:val="24"/>
          <w:szCs w:val="24"/>
          <w:lang w:val="fr-FR"/>
        </w:rPr>
        <w:t xml:space="preserve">Les bactéries du genre </w:t>
      </w:r>
      <w:r>
        <w:rPr>
          <w:rStyle w:val="Accentuation"/>
          <w:rFonts w:asciiTheme="majorBidi" w:hAnsiTheme="majorBidi" w:cstheme="majorBidi" w:hint="default"/>
          <w:b w:val="0"/>
          <w:bCs w:val="0"/>
          <w:sz w:val="24"/>
          <w:szCs w:val="24"/>
          <w:lang w:val="fr-FR"/>
        </w:rPr>
        <w:t>Acinetobacter</w:t>
      </w:r>
      <w:r>
        <w:rPr>
          <w:rFonts w:asciiTheme="majorBidi" w:hAnsiTheme="majorBidi" w:cstheme="majorBidi" w:hint="default"/>
          <w:b w:val="0"/>
          <w:bCs w:val="0"/>
          <w:sz w:val="24"/>
          <w:szCs w:val="24"/>
          <w:lang w:val="fr-FR"/>
        </w:rPr>
        <w:t xml:space="preserve"> sont des coccobacilles à Gram négatif </w:t>
      </w:r>
      <w:r>
        <w:rPr>
          <w:rFonts w:ascii="Times New Roman" w:hAnsi="Times New Roman" w:hint="default"/>
          <w:sz w:val="24"/>
          <w:szCs w:val="24"/>
          <w:lang w:val="fr-FR"/>
        </w:rPr>
        <w:t xml:space="preserve">(Figure </w:t>
      </w:r>
      <w:r>
        <w:rPr>
          <w:rFonts w:ascii="Times New Roman" w:hAnsi="Times New Roman" w:hint="default"/>
          <w:sz w:val="24"/>
          <w:szCs w:val="24"/>
        </w:rPr>
        <w:fldChar w:fldCharType="begin"/>
      </w:r>
      <w:r>
        <w:rPr>
          <w:rFonts w:ascii="Times New Roman" w:hAnsi="Times New Roman" w:hint="default"/>
          <w:sz w:val="24"/>
          <w:szCs w:val="24"/>
          <w:lang w:val="fr-FR"/>
        </w:rPr>
        <w:instrText xml:space="preserve"> SEQ Figure \* ARABIC </w:instrText>
      </w:r>
      <w:r>
        <w:rPr>
          <w:rFonts w:ascii="Times New Roman" w:hAnsi="Times New Roman" w:hint="default"/>
          <w:sz w:val="24"/>
          <w:szCs w:val="24"/>
        </w:rPr>
        <w:fldChar w:fldCharType="separate"/>
      </w:r>
      <w:r>
        <w:rPr>
          <w:rFonts w:ascii="Times New Roman" w:hAnsi="Times New Roman" w:hint="default"/>
          <w:sz w:val="24"/>
          <w:szCs w:val="24"/>
          <w:lang w:val="fr-FR"/>
        </w:rPr>
        <w:t>4</w:t>
      </w:r>
      <w:r>
        <w:rPr>
          <w:rFonts w:ascii="Times New Roman" w:hAnsi="Times New Roman" w:hint="default"/>
          <w:sz w:val="24"/>
          <w:szCs w:val="24"/>
        </w:rPr>
        <w:fldChar w:fldCharType="end"/>
      </w:r>
      <w:r>
        <w:rPr>
          <w:rFonts w:ascii="Times New Roman" w:hAnsi="Times New Roman" w:hint="default"/>
          <w:sz w:val="24"/>
          <w:szCs w:val="24"/>
          <w:lang w:val="fr-FR"/>
        </w:rPr>
        <w:t>)</w:t>
      </w:r>
      <w:r>
        <w:rPr>
          <w:rFonts w:asciiTheme="majorBidi" w:hAnsiTheme="majorBidi" w:cstheme="majorBidi" w:hint="default"/>
          <w:b w:val="0"/>
          <w:bCs w:val="0"/>
          <w:sz w:val="24"/>
          <w:szCs w:val="24"/>
          <w:lang w:val="fr-FR"/>
        </w:rPr>
        <w:t xml:space="preserve">, non mobiles, catalase positifs, oxydase négatifs, aérobies stricts, non fermentaires et peu exigeants </w:t>
      </w:r>
      <w:r>
        <w:rPr>
          <w:rFonts w:asciiTheme="majorBidi" w:eastAsia="Calibri" w:hAnsiTheme="majorBidi" w:cstheme="majorBidi" w:hint="default"/>
          <w:color w:val="000000"/>
          <w:kern w:val="2"/>
          <w:sz w:val="24"/>
          <w:szCs w:val="24"/>
          <w:lang w:val="fr" w:bidi="ar"/>
        </w:rPr>
        <w:fldChar w:fldCharType="begin"/>
      </w:r>
      <w:r>
        <w:rPr>
          <w:rFonts w:asciiTheme="majorBidi" w:eastAsia="Calibri" w:hAnsiTheme="majorBidi" w:cstheme="majorBidi" w:hint="default"/>
          <w:color w:val="000000"/>
          <w:kern w:val="2"/>
          <w:sz w:val="24"/>
          <w:szCs w:val="24"/>
          <w:lang w:val="fr" w:bidi="ar"/>
        </w:rPr>
        <w:instrText xml:space="preserve"> ADDIN ZOTERO_ITEM CSL_CITATION {"citationID":"OT7nINRY","properties":{"formattedCitation":"(V\\uc0\\u225{}zquez-L\\uc0\\u243{}pez et al., 2020)","plainCitation":"(Vázquez-López et al., 2020)","noteIndex":0},"citationItems":[{"id":305,"uris":["http://zotero.org/users/16279382/items/RKXM52MU"],"itemData":{"id":305,"type":"article-journal","abstract":"Acinetobacter baumannii (named in honor of the American bacteriologists Paul and Linda Baumann) is a Gram-negative, multidrug-resistant (MDR) pathogen that causes nosocomial infections, especially in intensive care units (ICUs) and immunocompromised patients with central venous catheters. A. baumannii has developed a broad spectrum of antimicrobial resistance, associated with a higher mortality rate among infected patients compared with other non-baumannii species. In terms of clinical impact, resistant strains are associated with increases in both in-hospital length of stay and mortality. A. baumannii can cause a variety of infections; most involve the respiratory tract, especially ventilator-associated pneumonia, but bacteremia and skin wound infections have also been reported, the latter of which has been prominently observed in the context of war-related trauma. Cases of meningitis associated with A. baumannii have been documented. The most common risk factor for the acquisition of MDR A baumannii is previous antibiotic use, following by mechanical ventilation, length of ICU/hospital stay, severity of illness, and use of medical devices. Current efforts focus on addressing all the antimicrobial resistance mechanisms described in A. baumannii, with the objective of identifying </w:instrText>
      </w:r>
      <w:r>
        <w:rPr>
          <w:rFonts w:asciiTheme="majorBidi" w:eastAsia="Calibri" w:hAnsiTheme="majorBidi" w:cstheme="majorBidi" w:hint="default"/>
          <w:color w:val="000000"/>
          <w:kern w:val="2"/>
          <w:sz w:val="24"/>
          <w:szCs w:val="24"/>
          <w:lang w:val="fr-FR" w:bidi="ar"/>
        </w:rPr>
        <w:instrText>the most promising th</w:instrText>
      </w:r>
      <w:r>
        <w:rPr>
          <w:rFonts w:asciiTheme="majorBidi" w:eastAsia="Calibri" w:hAnsiTheme="majorBidi" w:cstheme="majorBidi" w:hint="default"/>
          <w:color w:val="000000"/>
          <w:kern w:val="2"/>
          <w:sz w:val="24"/>
          <w:szCs w:val="24"/>
          <w:lang w:val="fr" w:bidi="ar"/>
        </w:rPr>
        <w:instrText xml:space="preserve">erapeutic scheme. Bacteriophage- and artilysin-based therapeutic approaches have been described as effective, but further research into their clinical use is required","container-title":"Antibiotics","DOI":"10.3390/antibiotics9040205","ISSN":"2079-6382","issue":"4","language":"en","license":"http://creativecommons.org/licenses/by/3.0/","note":"number: 4\npublisher: Multidisciplinary Digital Publishing Institute","page":"205","source":"www.mdpi.com","title":"Acinetobacter baumannii Resistance: A Real Challenge for Clinicians","title-short":"Acinetobacter baumannii Resistance","volume":"9","author":[{"family":"Vázquez-López","given":"Rosalino"},{"family":"Solano-Gálvez","given":"Sandra Georgina"},{"family":"Juárez Vignon-Whaley","given":"Juan José"},{"family":"Abello Vaamonde","given":"Jorge Andrés"},{"family":"Padró Alonzo","given":"Luis Andrés"},{"family":"Rivera Reséndiz","given":"Andrés"},{"family":"Muleiro Álvarez","given":"Mauricio"},{"family":"Vega López","given":"Eunice Nabil"},{"family":"Franyuti-Kelly","given":"Giorgio"},{"family":"Álvarez-Hernández","given":"Diego Abelardo"},{"family":"Moncaleano Guzmán","given":"Valentina"},{"family":"Juárez Bañuelos","given":"Jorge Ernesto"},{"family":"Marcos Felix","given":"José"},{"family":"González Barrios","given":"Juan Antonio"},{"family":"Barrientos Fortes","given":"Tomás"}],"issued":{"date-parts":[["2020",4]]}}}],"schema":"https://github.com/citation-style-language/schema/raw/master/csl-citation.json"} </w:instrText>
      </w:r>
      <w:r>
        <w:rPr>
          <w:rFonts w:asciiTheme="majorBidi" w:eastAsia="Calibri" w:hAnsiTheme="majorBidi" w:cstheme="majorBidi" w:hint="default"/>
          <w:color w:val="000000"/>
          <w:kern w:val="2"/>
          <w:sz w:val="24"/>
          <w:szCs w:val="24"/>
          <w:lang w:val="fr" w:bidi="ar"/>
        </w:rPr>
        <w:fldChar w:fldCharType="separate"/>
      </w:r>
      <w:r>
        <w:rPr>
          <w:rFonts w:asciiTheme="majorBidi" w:eastAsia="Calibri" w:hAnsiTheme="majorBidi" w:cstheme="majorBidi" w:hint="default"/>
          <w:sz w:val="24"/>
          <w:szCs w:val="24"/>
          <w:lang w:val="fr" w:bidi="ar"/>
        </w:rPr>
        <w:t xml:space="preserve">(Vázquez-López </w:t>
      </w:r>
      <w:r>
        <w:rPr>
          <w:rFonts w:asciiTheme="majorBidi" w:eastAsia="Calibri" w:hAnsiTheme="majorBidi" w:cstheme="majorBidi" w:hint="default"/>
          <w:i/>
          <w:iCs/>
          <w:sz w:val="24"/>
          <w:szCs w:val="24"/>
          <w:lang w:val="fr" w:bidi="ar"/>
        </w:rPr>
        <w:t>et al</w:t>
      </w:r>
      <w:r>
        <w:rPr>
          <w:rFonts w:asciiTheme="majorBidi" w:eastAsia="Calibri" w:hAnsiTheme="majorBidi" w:cstheme="majorBidi" w:hint="default"/>
          <w:sz w:val="24"/>
          <w:szCs w:val="24"/>
          <w:lang w:val="fr" w:bidi="ar"/>
        </w:rPr>
        <w:t>., 2020)</w:t>
      </w:r>
      <w:r>
        <w:rPr>
          <w:rFonts w:asciiTheme="majorBidi" w:eastAsia="Calibri" w:hAnsiTheme="majorBidi" w:cstheme="majorBidi" w:hint="default"/>
          <w:color w:val="000000"/>
          <w:kern w:val="2"/>
          <w:sz w:val="24"/>
          <w:szCs w:val="24"/>
          <w:lang w:val="fr" w:bidi="ar"/>
        </w:rPr>
        <w:fldChar w:fldCharType="end"/>
      </w:r>
      <w:r>
        <w:rPr>
          <w:rFonts w:asciiTheme="majorBidi" w:eastAsia="Calibri" w:hAnsiTheme="majorBidi" w:cstheme="majorBidi" w:hint="default"/>
          <w:b w:val="0"/>
          <w:bCs w:val="0"/>
          <w:color w:val="000000"/>
          <w:kern w:val="2"/>
          <w:sz w:val="24"/>
          <w:szCs w:val="24"/>
          <w:lang w:val="fr" w:bidi="ar"/>
        </w:rPr>
        <w:t xml:space="preserve">. Parmi lesquels </w:t>
      </w:r>
      <w:r>
        <w:rPr>
          <w:rStyle w:val="Accentuation"/>
          <w:rFonts w:asciiTheme="majorBidi" w:hAnsiTheme="majorBidi" w:cstheme="majorBidi" w:hint="default"/>
          <w:b w:val="0"/>
          <w:bCs w:val="0"/>
          <w:sz w:val="24"/>
          <w:szCs w:val="24"/>
          <w:lang w:val="fr-FR"/>
        </w:rPr>
        <w:t xml:space="preserve">Acinetobacter baumannii </w:t>
      </w:r>
      <w:r>
        <w:rPr>
          <w:rFonts w:asciiTheme="majorBidi" w:eastAsia="Calibri" w:hAnsiTheme="majorBidi" w:cstheme="majorBidi" w:hint="default"/>
          <w:b w:val="0"/>
          <w:bCs w:val="0"/>
          <w:color w:val="000000"/>
          <w:kern w:val="2"/>
          <w:sz w:val="24"/>
          <w:szCs w:val="24"/>
          <w:lang w:val="fr" w:bidi="ar"/>
        </w:rPr>
        <w:t>est l’espèce très responsable des infections nosocomiale</w:t>
      </w:r>
      <w:r>
        <w:rPr>
          <w:rFonts w:asciiTheme="majorBidi" w:eastAsia="Calibri" w:hAnsiTheme="majorBidi" w:cstheme="majorBidi" w:hint="default"/>
          <w:b w:val="0"/>
          <w:bCs w:val="0"/>
          <w:color w:val="000000"/>
          <w:kern w:val="2"/>
          <w:sz w:val="24"/>
          <w:szCs w:val="24"/>
          <w:lang w:val="fr-FR" w:bidi="ar"/>
        </w:rPr>
        <w:t xml:space="preserve"> graves </w:t>
      </w:r>
      <w:r>
        <w:rPr>
          <w:rFonts w:asciiTheme="majorBidi" w:eastAsia="Calibri" w:hAnsiTheme="majorBidi" w:cstheme="majorBidi" w:hint="default"/>
          <w:b w:val="0"/>
          <w:bCs w:val="0"/>
          <w:color w:val="000000"/>
          <w:kern w:val="2"/>
          <w:sz w:val="24"/>
          <w:szCs w:val="24"/>
          <w:lang w:val="fr-FR"/>
        </w:rPr>
        <w:t xml:space="preserve">(septicémies, méningites, suppurations diverses, infections urinaires, pneumopathie), causant de réelles difficultés thérapeutique du fait de sa capacité à développer plusieurs mécanismes de résistance à de nombreux antibiotiques </w:t>
      </w:r>
      <w:r>
        <w:rPr>
          <w:rFonts w:asciiTheme="majorBidi" w:eastAsia="Calibri" w:hAnsiTheme="majorBidi" w:cstheme="majorBidi" w:hint="default"/>
          <w:color w:val="000000"/>
          <w:kern w:val="2"/>
          <w:sz w:val="24"/>
          <w:szCs w:val="24"/>
          <w:lang w:val="fr" w:bidi="ar"/>
        </w:rPr>
        <w:fldChar w:fldCharType="begin"/>
      </w:r>
      <w:r>
        <w:rPr>
          <w:rFonts w:asciiTheme="majorBidi" w:eastAsia="Calibri" w:hAnsiTheme="majorBidi" w:cstheme="majorBidi" w:hint="default"/>
          <w:color w:val="000000"/>
          <w:kern w:val="2"/>
          <w:sz w:val="24"/>
          <w:szCs w:val="24"/>
          <w:lang w:val="fr" w:bidi="ar"/>
        </w:rPr>
        <w:instrText xml:space="preserve"> ADDIN ZOTERO_ITEM CSL_CITATION {"citationID":"BuUz67re","properties":{"formattedCitation":"(Ayoub Moubareck &amp; Hammoudi Halat, 2020)","plainCitation":"(Ayoub Moubareck &amp; Hammoudi Halat, 2020)","noteIndex":0},"citationItems":[{"id":383,"uris":["http://zotero.org/users/16279382/items/TST8TJLA"],"itemData":{"id":383,"type":"article-journal","abstract":"Being a multidrug-resistant and an invasive pathogen, Acinetobacter baumannii is one of the major causes of nosocomial infections in the current healthcare system. It has been recognized as an agent of pneumonia, septicemia, meningitis, urinary tract and wound infections, and is associated with high mortality. Pathogenesis in A. baumannii infections is an outcome of multiple virulence factors, including porins, capsules, and cell wall lipopolysaccharide, enzymes, biofilm production, motility, and iron-acquisition systems, among others. Such virulence factors help the organism to resist stressful environmental conditions and enable development of severe infections. Parallel to increased prevalence of infections caused by A. baumannii, challenging and diverse resistance mechanisms in this pathogen are well recognized, with major classes of antibiotics becoming minimally effective. Through a wide array of antibiotic-hydrolyzing enzymes, efflux pump changes, impermeability, and antibiotic target mutations, A. baumannii models a unique ability to maintain a multidrug-resistant phenotype, further complicating treatment. Understanding mechanisms behind diseases, virulence, and resistance acquisition are central to infectious disease knowledge about A. baumannii. The aims of this review are to highlight infections and disease-producing factors in A. baumannii and to touch base on mechanisms of resistance to various antibiotic classes.","container-title":"Antibiotics","DOI":"10.3390/antibiotics9030119","ISSN":"2079-6382","issue":"3","language":"en","license":"http://creativecommons.org/licenses/by/3.0/","note":"number: 3\npublisher: Multidisciplinary Digital Publishing Institute","page":"119","source":"www.mdpi.com","title":"Insights into Acinetobacter baumannii: A Review of Microbiological, Virulence, and Resistance Traits in a Threatening Nosocomial Pathogen","title-short":"Insights into Acinetobacter baumannii","volume":"9","author":[{"family":"Ayoub Moubareck","given":"Carole"},{"family":"Hammoudi Halat","given":"Dalal"}],"issued":{"date-parts":[["2020",3]]}}}],"schema":"https://github.com/citation-style-language/schema/raw/master/csl-citation.json"} </w:instrText>
      </w:r>
      <w:r>
        <w:rPr>
          <w:rFonts w:asciiTheme="majorBidi" w:eastAsia="Calibri" w:hAnsiTheme="majorBidi" w:cstheme="majorBidi" w:hint="default"/>
          <w:color w:val="000000"/>
          <w:kern w:val="2"/>
          <w:sz w:val="24"/>
          <w:szCs w:val="24"/>
          <w:lang w:val="fr" w:bidi="ar"/>
        </w:rPr>
        <w:fldChar w:fldCharType="separate"/>
      </w:r>
      <w:r>
        <w:rPr>
          <w:rFonts w:asciiTheme="majorBidi" w:eastAsia="Calibri" w:hAnsiTheme="majorBidi" w:cstheme="majorBidi" w:hint="default"/>
          <w:kern w:val="2"/>
          <w:sz w:val="24"/>
          <w:szCs w:val="24"/>
          <w:lang w:val="fr" w:bidi="ar"/>
        </w:rPr>
        <w:t>(Ayoub Moubareck &amp; Hammoudi Halat, 2020)</w:t>
      </w:r>
      <w:r>
        <w:rPr>
          <w:rFonts w:asciiTheme="majorBidi" w:eastAsia="Calibri" w:hAnsiTheme="majorBidi" w:cstheme="majorBidi" w:hint="default"/>
          <w:color w:val="000000"/>
          <w:kern w:val="2"/>
          <w:sz w:val="24"/>
          <w:szCs w:val="24"/>
          <w:lang w:val="fr" w:bidi="ar"/>
        </w:rPr>
        <w:fldChar w:fldCharType="end"/>
      </w:r>
      <w:r>
        <w:rPr>
          <w:rFonts w:asciiTheme="majorBidi" w:eastAsia="Calibri" w:hAnsiTheme="majorBidi" w:cstheme="majorBidi" w:hint="default"/>
          <w:b w:val="0"/>
          <w:bCs w:val="0"/>
          <w:color w:val="000000"/>
          <w:kern w:val="2"/>
          <w:sz w:val="24"/>
          <w:szCs w:val="24"/>
          <w:lang w:val="fr-FR" w:bidi="ar"/>
        </w:rPr>
        <w:t>.</w:t>
      </w:r>
      <w:bookmarkEnd w:id="102"/>
    </w:p>
    <w:p w14:paraId="6CD357EB" w14:textId="77777777" w:rsidR="00B611D1" w:rsidRDefault="00FB7689">
      <w:pPr>
        <w:spacing w:after="200" w:line="360" w:lineRule="auto"/>
        <w:ind w:left="60"/>
        <w:jc w:val="center"/>
        <w:rPr>
          <w:rFonts w:eastAsia="Calibri"/>
          <w:color w:val="000000"/>
          <w:kern w:val="2"/>
          <w:lang w:val="fr-FR" w:eastAsia="zh-CN"/>
        </w:rPr>
      </w:pPr>
      <w:r>
        <w:rPr>
          <w:rFonts w:eastAsia="Calibri"/>
          <w:noProof/>
          <w:color w:val="000000"/>
          <w:kern w:val="2"/>
          <w:lang w:val="fr-FR" w:eastAsia="zh-CN"/>
        </w:rPr>
        <w:drawing>
          <wp:inline distT="0" distB="0" distL="0" distR="0" wp14:anchorId="470B57EA" wp14:editId="193880AE">
            <wp:extent cx="3143885" cy="2106930"/>
            <wp:effectExtent l="0" t="0" r="0" b="0"/>
            <wp:docPr id="12706450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645015" name="Picture 1"/>
                    <pic:cNvPicPr>
                      <a:picLocks noChangeAspect="1"/>
                    </pic:cNvPicPr>
                  </pic:nvPicPr>
                  <pic:blipFill>
                    <a:blip r:embed="rId39"/>
                    <a:srcRect l="3244" b="12269"/>
                    <a:stretch>
                      <a:fillRect/>
                    </a:stretch>
                  </pic:blipFill>
                  <pic:spPr>
                    <a:xfrm>
                      <a:off x="0" y="0"/>
                      <a:ext cx="3143885" cy="2106930"/>
                    </a:xfrm>
                    <a:prstGeom prst="rect">
                      <a:avLst/>
                    </a:prstGeom>
                  </pic:spPr>
                </pic:pic>
              </a:graphicData>
            </a:graphic>
          </wp:inline>
        </w:drawing>
      </w:r>
    </w:p>
    <w:p w14:paraId="02E0BF19" w14:textId="77777777" w:rsidR="00B611D1" w:rsidRDefault="00FB7689">
      <w:pPr>
        <w:pStyle w:val="Lgende"/>
        <w:jc w:val="center"/>
        <w:rPr>
          <w:b/>
          <w:bCs/>
          <w:i w:val="0"/>
          <w:iCs w:val="0"/>
          <w:color w:val="auto"/>
          <w:sz w:val="24"/>
          <w:szCs w:val="24"/>
          <w:lang w:val="fr-FR"/>
        </w:rPr>
      </w:pPr>
      <w:bookmarkStart w:id="103" w:name="_Toc201269648"/>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5</w:t>
      </w:r>
      <w:r>
        <w:rPr>
          <w:b/>
          <w:bCs/>
          <w:i w:val="0"/>
          <w:iCs w:val="0"/>
          <w:color w:val="auto"/>
          <w:sz w:val="24"/>
          <w:szCs w:val="24"/>
        </w:rPr>
        <w:fldChar w:fldCharType="end"/>
      </w:r>
      <w:r>
        <w:rPr>
          <w:b/>
          <w:bCs/>
          <w:i w:val="0"/>
          <w:iCs w:val="0"/>
          <w:color w:val="auto"/>
          <w:sz w:val="24"/>
          <w:szCs w:val="24"/>
          <w:lang w:val="fr-FR"/>
        </w:rPr>
        <w:t xml:space="preserve"> : </w:t>
      </w:r>
      <w:r>
        <w:rPr>
          <w:color w:val="auto"/>
          <w:sz w:val="24"/>
          <w:szCs w:val="24"/>
          <w:lang w:val="fr-FR"/>
        </w:rPr>
        <w:t>Acinetobacter baumannii</w:t>
      </w:r>
      <w:r>
        <w:rPr>
          <w:b/>
          <w:bCs/>
          <w:i w:val="0"/>
          <w:iCs w:val="0"/>
          <w:color w:val="auto"/>
          <w:sz w:val="24"/>
          <w:szCs w:val="24"/>
          <w:lang w:val="fr-FR"/>
        </w:rPr>
        <w:t xml:space="preserve"> (Silva et al., 2021)</w:t>
      </w:r>
      <w:bookmarkEnd w:id="103"/>
    </w:p>
    <w:p w14:paraId="030FC4C7" w14:textId="77777777" w:rsidR="00B611D1" w:rsidRDefault="00FB7689">
      <w:pPr>
        <w:pStyle w:val="Titre4"/>
        <w:numPr>
          <w:ilvl w:val="4"/>
          <w:numId w:val="6"/>
        </w:numPr>
        <w:spacing w:line="360" w:lineRule="auto"/>
        <w:rPr>
          <w:rFonts w:ascii="Times New Roman" w:hAnsi="Times New Roman" w:cs="Times New Roman"/>
          <w:b/>
          <w:bCs/>
          <w:color w:val="auto"/>
          <w:lang w:val="fr-FR"/>
        </w:rPr>
      </w:pPr>
      <w:bookmarkStart w:id="104" w:name="_Toc201260093"/>
      <w:r>
        <w:rPr>
          <w:rFonts w:ascii="Times New Roman" w:hAnsi="Times New Roman" w:cs="Times New Roman"/>
          <w:b/>
          <w:bCs/>
          <w:color w:val="auto"/>
          <w:lang w:val="fr-FR"/>
        </w:rPr>
        <w:t>Pseudomonas aeruginosa</w:t>
      </w:r>
      <w:bookmarkEnd w:id="104"/>
    </w:p>
    <w:p w14:paraId="0EFCBD99" w14:textId="77777777" w:rsidR="00B611D1" w:rsidRDefault="00FB7689">
      <w:pPr>
        <w:spacing w:line="360" w:lineRule="auto"/>
        <w:jc w:val="both"/>
        <w:rPr>
          <w:rFonts w:eastAsia="Calibri"/>
          <w:b/>
          <w:bCs/>
          <w:color w:val="000000"/>
          <w:lang w:val="fr-FR" w:bidi="ar"/>
        </w:rPr>
      </w:pPr>
      <w:r>
        <w:rPr>
          <w:rFonts w:eastAsia="Calibri"/>
          <w:i/>
          <w:iCs/>
          <w:color w:val="000000"/>
          <w:kern w:val="2"/>
          <w:lang w:val="fr-FR" w:eastAsia="zh-CN"/>
        </w:rPr>
        <w:t>Pseudomonas aeruginosa</w:t>
      </w:r>
      <w:r>
        <w:rPr>
          <w:rFonts w:eastAsia="Calibri"/>
          <w:color w:val="000000"/>
          <w:kern w:val="2"/>
          <w:lang w:val="fr-FR" w:eastAsia="zh-CN"/>
        </w:rPr>
        <w:t xml:space="preserve"> (ou bacille pyocyanique) est une bactérie à Gram négatif, aérobie, non capsulée, possédant un flagelle polaire monotriche qui lui confère une grande mobilité </w:t>
      </w:r>
      <w:r>
        <w:rPr>
          <w:rFonts w:eastAsia="Calibri"/>
          <w:b/>
          <w:bCs/>
          <w:color w:val="000000"/>
          <w:kern w:val="2"/>
          <w:lang w:val="fr-FR" w:eastAsia="zh-CN"/>
        </w:rPr>
        <w:t>(figure 5)</w:t>
      </w:r>
      <w:r>
        <w:rPr>
          <w:rFonts w:eastAsia="SimSun"/>
          <w:color w:val="000000"/>
          <w:lang w:val="fr-FR" w:eastAsia="zh-CN" w:bidi="ar"/>
        </w:rPr>
        <w:t xml:space="preserve">, se retrouvant naturellement dans divers environnements tels que l'eau douce, le sol et les végétaux </w:t>
      </w:r>
      <w:r>
        <w:rPr>
          <w:rFonts w:eastAsia="Calibri"/>
          <w:b/>
          <w:bCs/>
          <w:color w:val="000000"/>
          <w:lang w:val="fr" w:bidi="ar"/>
        </w:rPr>
        <w:fldChar w:fldCharType="begin"/>
      </w:r>
      <w:r>
        <w:rPr>
          <w:rFonts w:eastAsia="Calibri"/>
          <w:b/>
          <w:bCs/>
          <w:color w:val="000000"/>
          <w:lang w:val="fr" w:bidi="ar"/>
        </w:rPr>
        <w:instrText xml:space="preserve"> ADDIN ZOTERO_ITEM CSL_CITATION {"citationID":"eg7MaoHk","properties":{"formattedCitation":"(Jurado-Mart\\uc0\\u237{}n et al., 2021)","plainCitation":"(Jurado-Martín et al., 2021)","noteIndex":0},"citationItems":[{"id":391,"uris":["http://zotero.org/users/16279382/items/Y4CLQ9CK"],"itemData":{"id":391,"type":"article-journal","abstract":"Pseudomonas aeruginosa is a dominant pathogen in people with cystic fibrosis (CF) contributing to morbidity and mortality. Its tremendous ability to adapt greatly facilitates its capacity to cause chronic infections. The adaptability and flexibility of the pathogen are afforded by the extensive number of virulence factors it has at its disposal, providing P. aeruginosa with the facility to tailor its response against the different stressors in the environment. A deep understanding of these virulence mechanisms is crucial for the design of therapeutic strategies and vaccines against this multi-resistant pathogen. Therefore, this review describes the main virulence factors of P. aeruginosa and the adaptations it undergoes to persist in hostile environments such as the CF respiratory tract. The very large P. aeruginosa genome (5 to 7 MB) contributes considerably to its adaptive capacity; consequently, genomic studies have provided significant insights into elucidating P. aeruginosa evolution and its interactions with the host throughout the course of infection.","container-title":"International Journal of Molecular Sciences","DOI":"10.3390/ijms22063128","ISSN":"1422-0067","issue":"6","language":"en","license":"http://creativecommons.org/licenses/by/3.0/","note":"number: 6\npublisher: Multidisciplinary Digital Publishing Institute","page":"3128","source":"www.mdpi.com","title":"Pseudomonas aeruginosa: An Audacious Pathogen with an Adaptable Arsenal of Virulence Factors","title-short":"Pseudomonas aeruginosa","volume":"22","author":[{"family":"Jurado-Martín","given":"Irene"},{"family":"Sainz-Mejías","given":"Maite"},{"family":"McClean","given":"Siobhán"}],"issued":{"date-parts":[["2021",1]]}}}],"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(Jurado-Martín </w:t>
      </w:r>
      <w:r>
        <w:rPr>
          <w:rFonts w:eastAsia="Calibri"/>
          <w:b/>
          <w:bCs/>
          <w:i/>
          <w:iCs/>
          <w:szCs w:val="22"/>
          <w:lang w:val="fr" w:bidi="ar"/>
        </w:rPr>
        <w:t>et al</w:t>
      </w:r>
      <w:r>
        <w:rPr>
          <w:rFonts w:eastAsia="Calibri"/>
          <w:b/>
          <w:bCs/>
          <w:szCs w:val="22"/>
          <w:lang w:val="fr" w:bidi="ar"/>
        </w:rPr>
        <w:t>., 2021)</w:t>
      </w:r>
      <w:r>
        <w:rPr>
          <w:rFonts w:eastAsia="Calibri"/>
          <w:b/>
          <w:bCs/>
          <w:color w:val="000000"/>
          <w:lang w:val="fr" w:bidi="ar"/>
        </w:rPr>
        <w:fldChar w:fldCharType="end"/>
      </w:r>
      <w:r>
        <w:rPr>
          <w:rFonts w:eastAsia="SimSun"/>
          <w:color w:val="000000"/>
          <w:lang w:val="fr-FR" w:eastAsia="zh-CN" w:bidi="ar"/>
        </w:rPr>
        <w:t xml:space="preserve">. </w:t>
      </w:r>
      <w:r>
        <w:rPr>
          <w:rFonts w:eastAsia="SimSun"/>
          <w:color w:val="000000"/>
          <w:lang w:val="fr-FR" w:eastAsia="zh-CN"/>
        </w:rPr>
        <w:t xml:space="preserve">Il s'agit d'une bactérie pathogène opportuniste qui possède de nombreux facteurs de virulence </w:t>
      </w:r>
      <w:r>
        <w:rPr>
          <w:rFonts w:eastAsia="SimSun"/>
          <w:color w:val="000000"/>
          <w:lang w:val="fr-FR" w:eastAsia="zh-CN" w:bidi="ar"/>
        </w:rPr>
        <w:t xml:space="preserve">comprenant la sécrétion de toxines exotoxiques, de protéases, d'élastase et d'hémolysines. </w:t>
      </w:r>
      <w:r>
        <w:rPr>
          <w:rFonts w:eastAsia="SimSun"/>
          <w:color w:val="000000"/>
          <w:lang w:val="fr-FR" w:eastAsia="zh-CN"/>
        </w:rPr>
        <w:t xml:space="preserve">De plus, elle dispose de différents systèmes de sécrétion et d'adhésion, tels que les pili de type IV, lui permettant de s'attacher à diverses surfaces et de former des biofilms </w:t>
      </w:r>
      <w:r>
        <w:rPr>
          <w:rFonts w:eastAsia="Calibri"/>
          <w:b/>
          <w:bCs/>
          <w:color w:val="000000"/>
          <w:lang w:val="fr" w:bidi="ar"/>
        </w:rPr>
        <w:fldChar w:fldCharType="begin"/>
      </w:r>
      <w:r>
        <w:rPr>
          <w:rFonts w:eastAsia="Calibri"/>
          <w:b/>
          <w:bCs/>
          <w:color w:val="000000"/>
          <w:lang w:val="fr" w:bidi="ar"/>
        </w:rPr>
        <w:instrText xml:space="preserve"> ADDIN ZOTERO_ITEM CSL_CITATION {"citationID":"9XDdymiv","properties":{"formattedCitation":"(Lustig, 2022)","plainCitation":"(Lustig, 2022)","noteIndex":0},"citationItems":[{"id":387,"uris":["http://zotero.org/users/16279382/items/M46AYH2I"],"itemData":{"id":387,"type":"thesis","genre":"PhD Thesis","publisher":"Université Paris Cité","source":"Google Scholar","title":"Etude du mécanisme d'efflux des pompes MexAB-OprM et MexXY-OprM chez Pseudomonas aeruginosa, pathogène multirésistant présent dans les poumons de patients mucoviscidose.","URL":"https://theses.hal.science/tel-04071702/","author":[{"family":"Lustig","given":"Margaux"}],"accessed":{"date-parts":[["2025",6,10]]},"issued":{"date-parts":[["2022"]]}}}],"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(Lustig, 2022)</w:t>
      </w:r>
      <w:r>
        <w:rPr>
          <w:rFonts w:eastAsia="Calibri"/>
          <w:b/>
          <w:bCs/>
          <w:color w:val="000000"/>
          <w:lang w:val="fr" w:bidi="ar"/>
        </w:rPr>
        <w:fldChar w:fldCharType="end"/>
      </w:r>
      <w:r>
        <w:rPr>
          <w:rFonts w:eastAsia="Calibri"/>
          <w:b/>
          <w:bCs/>
          <w:color w:val="000000"/>
          <w:lang w:val="fr-FR" w:bidi="ar"/>
        </w:rPr>
        <w:t>.</w:t>
      </w:r>
    </w:p>
    <w:p w14:paraId="11023CA5" w14:textId="77777777" w:rsidR="00B611D1" w:rsidRDefault="00B611D1">
      <w:pPr>
        <w:spacing w:line="360" w:lineRule="auto"/>
        <w:jc w:val="both"/>
        <w:rPr>
          <w:rFonts w:eastAsia="Calibri"/>
          <w:b/>
          <w:bCs/>
          <w:color w:val="000000"/>
          <w:lang w:val="fr-FR" w:bidi="ar"/>
        </w:rPr>
      </w:pPr>
    </w:p>
    <w:p w14:paraId="1DDD3C49" w14:textId="77777777" w:rsidR="00B611D1" w:rsidRDefault="00FB7689">
      <w:pPr>
        <w:spacing w:line="360" w:lineRule="auto"/>
        <w:jc w:val="center"/>
        <w:rPr>
          <w:lang w:eastAsia="zh-CN"/>
        </w:rPr>
      </w:pPr>
      <w:r>
        <w:fldChar w:fldCharType="begin"/>
      </w:r>
      <w:r>
        <w:instrText xml:space="preserve"> INCLUDEPICTURE "https://www.researchgate.net/publication/266869622/figure/fig2/AS:667836473176082@1536236031848/Scanning-electron-micrograph-of-Pseudomonas-aeruginosa-x10-000.png" \* MERGEFORMATINET </w:instrText>
      </w:r>
      <w:r>
        <w:fldChar w:fldCharType="separate"/>
      </w:r>
      <w:r>
        <w:rPr>
          <w:noProof/>
        </w:rPr>
        <w:drawing>
          <wp:inline distT="0" distB="0" distL="0" distR="0" wp14:anchorId="27AD506E" wp14:editId="3EF34ECC">
            <wp:extent cx="3282950" cy="2543175"/>
            <wp:effectExtent l="0" t="0" r="0" b="0"/>
            <wp:docPr id="1169749950" name="Picture 1" descr="Scanning electron micrograph of Pseudomonas aeruginosa (x10,000).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749950" name="Picture 1" descr="Scanning electron micrograph of Pseudomonas aeruginosa (x10,000). |  Download Scientific Diagram"/>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3317336" cy="2570003"/>
                    </a:xfrm>
                    <a:prstGeom prst="rect">
                      <a:avLst/>
                    </a:prstGeom>
                    <a:noFill/>
                    <a:ln>
                      <a:noFill/>
                    </a:ln>
                  </pic:spPr>
                </pic:pic>
              </a:graphicData>
            </a:graphic>
          </wp:inline>
        </w:drawing>
      </w:r>
      <w:r>
        <w:fldChar w:fldCharType="end"/>
      </w:r>
    </w:p>
    <w:p w14:paraId="4B5E8299" w14:textId="77777777" w:rsidR="00B611D1" w:rsidRDefault="00FB7689">
      <w:pPr>
        <w:pStyle w:val="Lgende"/>
        <w:jc w:val="center"/>
        <w:rPr>
          <w:b/>
          <w:bCs/>
          <w:i w:val="0"/>
          <w:iCs w:val="0"/>
          <w:color w:val="auto"/>
          <w:sz w:val="24"/>
          <w:szCs w:val="24"/>
          <w:lang w:val="fr-FR" w:eastAsia="zh-CN"/>
        </w:rPr>
      </w:pPr>
      <w:bookmarkStart w:id="105" w:name="_Toc201269649"/>
      <w:bookmarkStart w:id="106" w:name="_Toc201260094"/>
      <w:r>
        <w:rPr>
          <w:b/>
          <w:bCs/>
          <w:i w:val="0"/>
          <w:iCs w:val="0"/>
          <w:color w:val="auto"/>
          <w:sz w:val="24"/>
          <w:szCs w:val="24"/>
          <w:lang w:eastAsia="zh-CN"/>
        </w:rPr>
        <w:t xml:space="preserve">Figure </w:t>
      </w:r>
      <w:r>
        <w:rPr>
          <w:b/>
          <w:bCs/>
          <w:i w:val="0"/>
          <w:iCs w:val="0"/>
          <w:color w:val="auto"/>
          <w:sz w:val="24"/>
          <w:szCs w:val="24"/>
        </w:rPr>
        <w:fldChar w:fldCharType="begin"/>
      </w:r>
      <w:r>
        <w:rPr>
          <w:b/>
          <w:bCs/>
          <w:i w:val="0"/>
          <w:iCs w:val="0"/>
          <w:color w:val="auto"/>
          <w:sz w:val="24"/>
          <w:szCs w:val="24"/>
          <w:lang w:eastAsia="zh-CN"/>
        </w:rPr>
        <w:instrText xml:space="preserve"> SEQ Figure \* ARABIC </w:instrText>
      </w:r>
      <w:r>
        <w:rPr>
          <w:b/>
          <w:bCs/>
          <w:i w:val="0"/>
          <w:iCs w:val="0"/>
          <w:color w:val="auto"/>
          <w:sz w:val="24"/>
          <w:szCs w:val="24"/>
        </w:rPr>
        <w:fldChar w:fldCharType="separate"/>
      </w:r>
      <w:r>
        <w:rPr>
          <w:b/>
          <w:bCs/>
          <w:i w:val="0"/>
          <w:iCs w:val="0"/>
          <w:color w:val="auto"/>
          <w:sz w:val="24"/>
          <w:szCs w:val="24"/>
          <w:lang w:eastAsia="zh-CN"/>
        </w:rPr>
        <w:t>6</w:t>
      </w:r>
      <w:r>
        <w:rPr>
          <w:b/>
          <w:bCs/>
          <w:i w:val="0"/>
          <w:iCs w:val="0"/>
          <w:color w:val="auto"/>
          <w:sz w:val="24"/>
          <w:szCs w:val="24"/>
        </w:rPr>
        <w:fldChar w:fldCharType="end"/>
      </w:r>
      <w:r>
        <w:rPr>
          <w:b/>
          <w:bCs/>
          <w:i w:val="0"/>
          <w:iCs w:val="0"/>
          <w:color w:val="auto"/>
          <w:sz w:val="24"/>
          <w:szCs w:val="24"/>
          <w:lang w:val="fr-FR" w:eastAsia="zh-CN"/>
        </w:rPr>
        <w:t xml:space="preserve"> : </w:t>
      </w:r>
      <w:r>
        <w:rPr>
          <w:color w:val="auto"/>
          <w:sz w:val="24"/>
          <w:szCs w:val="24"/>
          <w:lang w:val="fr-FR" w:eastAsia="zh-CN"/>
        </w:rPr>
        <w:t>Pseudomonas aeruginosa</w:t>
      </w:r>
      <w:r>
        <w:rPr>
          <w:b/>
          <w:bCs/>
          <w:i w:val="0"/>
          <w:iCs w:val="0"/>
          <w:color w:val="auto"/>
          <w:sz w:val="24"/>
          <w:szCs w:val="24"/>
          <w:lang w:val="fr-FR" w:eastAsia="zh-CN"/>
        </w:rPr>
        <w:t xml:space="preserve"> (Senba &amp; Watanabe, 2015)</w:t>
      </w:r>
      <w:bookmarkEnd w:id="105"/>
    </w:p>
    <w:p w14:paraId="03C4F330" w14:textId="77777777" w:rsidR="00B611D1" w:rsidRDefault="00B611D1">
      <w:pPr>
        <w:rPr>
          <w:lang w:val="fr-FR" w:eastAsia="zh-CN"/>
        </w:rPr>
      </w:pPr>
    </w:p>
    <w:p w14:paraId="35B2367B" w14:textId="77777777" w:rsidR="00B611D1" w:rsidRDefault="00FB7689">
      <w:pPr>
        <w:pStyle w:val="Titre4"/>
        <w:numPr>
          <w:ilvl w:val="3"/>
          <w:numId w:val="6"/>
        </w:numPr>
        <w:spacing w:line="360" w:lineRule="auto"/>
        <w:rPr>
          <w:rFonts w:ascii="Times New Roman" w:hAnsi="Times New Roman" w:cs="Times New Roman"/>
          <w:b/>
          <w:bCs/>
          <w:i w:val="0"/>
          <w:iCs w:val="0"/>
          <w:color w:val="auto"/>
          <w:lang w:val="fr-FR" w:eastAsia="zh-CN"/>
        </w:rPr>
      </w:pPr>
      <w:r>
        <w:rPr>
          <w:rFonts w:ascii="Times New Roman" w:hAnsi="Times New Roman" w:cs="Times New Roman"/>
          <w:b/>
          <w:bCs/>
          <w:i w:val="0"/>
          <w:iCs w:val="0"/>
          <w:color w:val="auto"/>
          <w:lang w:val="fr-FR" w:eastAsia="zh-CN"/>
        </w:rPr>
        <w:t>Les Cocci Gram positif</w:t>
      </w:r>
      <w:bookmarkEnd w:id="106"/>
    </w:p>
    <w:p w14:paraId="10E0CF73" w14:textId="77777777" w:rsidR="00B611D1" w:rsidRDefault="00FB7689">
      <w:pPr>
        <w:pStyle w:val="Titre4"/>
        <w:numPr>
          <w:ilvl w:val="4"/>
          <w:numId w:val="6"/>
        </w:numPr>
        <w:spacing w:line="360" w:lineRule="auto"/>
        <w:rPr>
          <w:rFonts w:ascii="Times New Roman" w:hAnsi="Times New Roman" w:cs="Times New Roman"/>
          <w:b/>
          <w:bCs/>
          <w:color w:val="auto"/>
          <w:lang w:val="fr-FR"/>
        </w:rPr>
      </w:pPr>
      <w:bookmarkStart w:id="107" w:name="_Toc201260095"/>
      <w:r>
        <w:rPr>
          <w:rFonts w:ascii="Times New Roman" w:hAnsi="Times New Roman" w:cs="Times New Roman"/>
          <w:b/>
          <w:bCs/>
          <w:color w:val="auto"/>
          <w:lang w:val="fr-FR" w:bidi="ar"/>
        </w:rPr>
        <w:t>Staphylococcus aureus</w:t>
      </w:r>
      <w:bookmarkEnd w:id="107"/>
    </w:p>
    <w:p w14:paraId="1B831C30" w14:textId="77777777" w:rsidR="00B611D1" w:rsidRDefault="00FB7689">
      <w:pPr>
        <w:spacing w:after="200" w:line="360" w:lineRule="auto"/>
        <w:ind w:left="60"/>
        <w:jc w:val="both"/>
        <w:rPr>
          <w:rFonts w:eastAsia="Calibri"/>
          <w:i/>
          <w:iCs/>
          <w:color w:val="000000"/>
          <w:kern w:val="2"/>
          <w:lang w:val="fr" w:eastAsia="zh-CN" w:bidi="ar"/>
        </w:rPr>
      </w:pPr>
      <w:r>
        <w:rPr>
          <w:rStyle w:val="lev"/>
          <w:b w:val="0"/>
          <w:bCs w:val="0"/>
          <w:i/>
          <w:iCs/>
          <w:lang w:val="fr-FR"/>
        </w:rPr>
        <w:t>Staphylococcus aureus</w:t>
      </w:r>
      <w:r>
        <w:rPr>
          <w:lang w:val="fr-FR"/>
        </w:rPr>
        <w:t xml:space="preserve"> appartient au genre </w:t>
      </w:r>
      <w:r>
        <w:rPr>
          <w:rStyle w:val="Accentuation"/>
          <w:lang w:val="fr-FR"/>
        </w:rPr>
        <w:t>Staphylococcus</w:t>
      </w:r>
      <w:r>
        <w:rPr>
          <w:lang w:val="fr-FR"/>
        </w:rPr>
        <w:t xml:space="preserve">, dont le nom dérive du grec </w:t>
      </w:r>
      <w:r>
        <w:rPr>
          <w:rStyle w:val="Accentuation"/>
          <w:lang w:val="fr-FR"/>
        </w:rPr>
        <w:t>staphyle</w:t>
      </w:r>
      <w:r>
        <w:rPr>
          <w:lang w:val="fr-FR"/>
        </w:rPr>
        <w:t xml:space="preserve"> (grappe de raisin) et </w:t>
      </w:r>
      <w:r>
        <w:rPr>
          <w:rStyle w:val="Accentuation"/>
          <w:lang w:val="fr-FR"/>
        </w:rPr>
        <w:t>kokkos</w:t>
      </w:r>
      <w:r>
        <w:rPr>
          <w:lang w:val="fr-FR"/>
        </w:rPr>
        <w:t xml:space="preserve"> (baie), en référence à l’aspect en amas des cellules observé au microscope </w:t>
      </w:r>
      <w:r>
        <w:rPr>
          <w:b/>
          <w:bCs/>
          <w:lang w:val="fr-FR"/>
        </w:rPr>
        <w:t>(Figure 6)</w:t>
      </w:r>
      <w:r>
        <w:rPr>
          <w:lang w:val="fr-FR"/>
        </w:rPr>
        <w:t xml:space="preserve">. Il s’agit de bactéries sphériques à Gram positif, catalase positives, anaérobies facultatives, immobiles et non sporulées, mesurant entre 0,5 et 1,5 µm de diamètre </w:t>
      </w:r>
      <w:r>
        <w:rPr>
          <w:rFonts w:eastAsia="Calibri"/>
          <w:b/>
          <w:bCs/>
          <w:color w:val="000000"/>
          <w:lang w:val="fr" w:bidi="ar"/>
        </w:rPr>
        <w:fldChar w:fldCharType="begin"/>
      </w:r>
      <w:r>
        <w:rPr>
          <w:rFonts w:eastAsia="Calibri"/>
          <w:b/>
          <w:bCs/>
          <w:color w:val="000000"/>
          <w:lang w:val="fr" w:bidi="ar"/>
        </w:rPr>
        <w:instrText xml:space="preserve"> ADDIN ZOTERO_ITEM CSL_CITATION {"citationID":"1lw8nCVO","properties":{"formattedCitation":"(Licitra, 2013)","plainCitation":"(Licitra, 2013)","noteIndex":0},"citationItems":[{"id":395,"uris":["http://zotero.org/users/16279382/items/C8QA2XF4"],"itemData":{"id":395,"type":"article-journal","container-title":"Emerging Infectious Diseases","DOI":"10.3201/eid1909.ET1909","ISSN":"1080-6040","issue":"9","journalAbbreviation":"Emerg Infect Dis","note":"PMID: null\nPMCID: PMC3810938","page":"1553","source":"PubMed Central","title":"Etymologia: Staphylococcus","title-short":"Etymologia","volume":"19","author":[{"family":"Licitra","given":"Giancarlo"}],"issued":{"date-parts":[["2013",9]]}}}],"schema":"https://github.com/citation-style-language/schema/raw/master/csl-citation.json"}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(Licitra, 2013)</w:t>
      </w:r>
      <w:r>
        <w:rPr>
          <w:rFonts w:eastAsia="Calibri"/>
          <w:b/>
          <w:bCs/>
          <w:color w:val="000000"/>
          <w:lang w:val="fr" w:bidi="ar"/>
        </w:rPr>
        <w:fldChar w:fldCharType="end"/>
      </w:r>
      <w:r>
        <w:rPr>
          <w:rFonts w:eastAsia="Calibri"/>
          <w:b/>
          <w:bCs/>
          <w:color w:val="000000"/>
          <w:lang w:val="fr-FR" w:bidi="ar"/>
        </w:rPr>
        <w:t xml:space="preserve">. </w:t>
      </w:r>
      <w:r>
        <w:rPr>
          <w:rStyle w:val="lev"/>
          <w:b w:val="0"/>
          <w:bCs w:val="0"/>
          <w:i/>
          <w:iCs/>
          <w:lang w:val="fr-FR"/>
        </w:rPr>
        <w:t>Staphylococcus aureus</w:t>
      </w:r>
      <w:r>
        <w:rPr>
          <w:lang w:val="fr-FR"/>
        </w:rPr>
        <w:t xml:space="preserve"> est fréquemment impliqué dans les infections nosocomiales en raison de sa capacité à coloniser divers environnements hospitaliers et à développer des résistances aux antibiotiques.</w:t>
      </w:r>
      <w:r>
        <w:rPr>
          <w:rFonts w:eastAsia="Calibri"/>
          <w:i/>
          <w:iCs/>
          <w:color w:val="000000"/>
          <w:kern w:val="2"/>
          <w:lang w:val="fr" w:eastAsia="zh-CN" w:bidi="ar"/>
        </w:rPr>
        <w:t xml:space="preserve"> </w:t>
      </w:r>
      <w:r>
        <w:rPr>
          <w:rFonts w:eastAsia="Calibri"/>
          <w:color w:val="000000"/>
          <w:kern w:val="2"/>
          <w:lang w:val="fr" w:eastAsia="zh-CN" w:bidi="ar"/>
        </w:rPr>
        <w:t xml:space="preserve">Elle possède une grande capacité d’adhésion à diverses surfaces, notamment les dispositifs médicaux, sur lesquels elle forme facilement un biofilm. Cette espèce produit plusieurs facteurs de virulence qui lui permettent d’échapper à la réponse immunitaire de l’hôte, tels que les hémolysines, les leucocidines, les protéases, les entérotoxines et les toxines exfoliatives </w:t>
      </w:r>
      <w:r>
        <w:rPr>
          <w:rFonts w:eastAsia="Calibri"/>
          <w:b/>
          <w:bCs/>
          <w:color w:val="000000"/>
          <w:kern w:val="2"/>
          <w:lang w:val="fr" w:eastAsia="zh-CN" w:bidi="ar"/>
        </w:rPr>
        <w:fldChar w:fldCharType="begin"/>
      </w:r>
      <w:r>
        <w:rPr>
          <w:rFonts w:eastAsia="Calibri"/>
          <w:b/>
          <w:bCs/>
          <w:color w:val="000000"/>
          <w:kern w:val="2"/>
          <w:lang w:val="fr" w:eastAsia="zh-CN" w:bidi="ar"/>
        </w:rPr>
        <w:instrText xml:space="preserve"> ADDIN ZOTERO_ITEM CSL_CITATION {"citationID":"aJ9TfKhk","properties":{"formattedCitation":"(Calvo et al., 2024)","plainCitation":"(Calvo et al., 2024)","noteIndex":0},"citationItems":[{"id":393,"uris":["http://zotero.org/users/16279382/items/YPC36XX6"],"itemData":{"id":393,"type":"article-journal","abstract":"Intensive care units constitute a critical setting for the management of infections. The patients’ fragilities and spread of multidrug-resistant microorganisms lead to relevant difficulties in the patients’ care. Recent epidemiological surveys documented the Gram-negative bacteria supremacy among intensive care unit (ICU) infection aetiologies, accounting for numerous multidrug-resistant isolates. Regarding this specific setting, clinical microbiology support holds a crucial role in the definition of diagnostic algorithms. Eventually, the complete patient evaluation requires integrating local epidemiological knowledge into the best practice and the standardization of antimicrobial stewardship programs. Clinical laboratories usually receive respiratory tract and blood samples from ICU patients, which express a significant predisposition to severe infections. Therefore, conventional or rapid diagnostic workflows should be modified depending on patients’ urgency and preliminary colonization data. Additionally, it is essential to complete each microbiological report with rapid phenotypic minimum inhibitory concentration (MIC) values and information about resistance markers. Microbiologists also help in the eventual integration of ultimate genome analysis techniques into complicated diagnostic workflows. Herein, we want to emphasize the role of the microbiologist in the decisional process of critical patient management.","container-title":"Antibiotics","DOI":"10.3390/antibiotics13030238","ISSN":"2079-6382","issue":"3","language":"en","license":"http://creativecommons.org/licenses/by/3.0/","note":"number: 3\npublisher: Multidisciplinary Digital Publishing Institute","page":"238","source":"www.mdpi.com","title":"Bacterial Infections in Intensive Care Units: Epidemiological and Microbiological Aspects","title-short":"Bacterial Infections in Intensive Care Units","volume":"13","author":[{"family":"Calvo","given":"Maddalena"},{"family":"Stefani","given":"Stefania"},{"family":"Migliorisi","given":"Giuseppe"}],"issued":{"date-parts":[["2024",3]]}}}],"schema":"https://github.com/citation-style-language/schema/raw/master/csl-citation.json"} </w:instrText>
      </w:r>
      <w:r>
        <w:rPr>
          <w:rFonts w:eastAsia="Calibri"/>
          <w:b/>
          <w:bCs/>
          <w:color w:val="000000"/>
          <w:kern w:val="2"/>
          <w:lang w:val="fr" w:eastAsia="zh-CN" w:bidi="ar"/>
        </w:rPr>
        <w:fldChar w:fldCharType="separate"/>
      </w:r>
      <w:r>
        <w:rPr>
          <w:rFonts w:eastAsia="Calibri"/>
          <w:b/>
          <w:bCs/>
          <w:kern w:val="2"/>
          <w:szCs w:val="22"/>
          <w:lang w:val="fr" w:eastAsia="zh-CN" w:bidi="ar"/>
        </w:rPr>
        <w:t xml:space="preserve">(Calvo </w:t>
      </w:r>
      <w:r>
        <w:rPr>
          <w:rFonts w:eastAsia="Calibri"/>
          <w:b/>
          <w:bCs/>
          <w:i/>
          <w:iCs/>
          <w:kern w:val="2"/>
          <w:szCs w:val="22"/>
          <w:lang w:val="fr" w:eastAsia="zh-CN" w:bidi="ar"/>
        </w:rPr>
        <w:t>et al</w:t>
      </w:r>
      <w:r>
        <w:rPr>
          <w:rFonts w:eastAsia="Calibri"/>
          <w:b/>
          <w:bCs/>
          <w:kern w:val="2"/>
          <w:szCs w:val="22"/>
          <w:lang w:val="fr" w:eastAsia="zh-CN" w:bidi="ar"/>
        </w:rPr>
        <w:t>., 2024)</w:t>
      </w:r>
      <w:r>
        <w:rPr>
          <w:rFonts w:eastAsia="Calibri"/>
          <w:b/>
          <w:bCs/>
          <w:color w:val="000000"/>
          <w:kern w:val="2"/>
          <w:lang w:val="fr" w:eastAsia="zh-CN" w:bidi="ar"/>
        </w:rPr>
        <w:fldChar w:fldCharType="end"/>
      </w:r>
      <w:r>
        <w:rPr>
          <w:rFonts w:eastAsia="Calibri"/>
          <w:b/>
          <w:bCs/>
          <w:color w:val="000000"/>
          <w:kern w:val="2"/>
          <w:lang w:val="fr" w:eastAsia="zh-CN" w:bidi="ar"/>
        </w:rPr>
        <w:t>.</w:t>
      </w:r>
    </w:p>
    <w:p w14:paraId="0FDD13C4" w14:textId="77777777" w:rsidR="00B611D1" w:rsidRDefault="00FB7689">
      <w:pPr>
        <w:spacing w:after="200" w:line="360" w:lineRule="auto"/>
        <w:ind w:left="60"/>
        <w:jc w:val="center"/>
        <w:rPr>
          <w:lang w:eastAsia="zh-CN"/>
        </w:rPr>
      </w:pPr>
      <w:r>
        <w:rPr>
          <w:noProof/>
          <w:lang w:eastAsia="zh-CN"/>
        </w:rPr>
        <w:drawing>
          <wp:inline distT="0" distB="0" distL="0" distR="0" wp14:anchorId="1722C2DA" wp14:editId="2B99D766">
            <wp:extent cx="3769995" cy="2430780"/>
            <wp:effectExtent l="0" t="0" r="1905" b="0"/>
            <wp:docPr id="17250441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044155" name="Picture 1"/>
                    <pic:cNvPicPr>
                      <a:picLocks noChangeAspect="1"/>
                    </pic:cNvPicPr>
                  </pic:nvPicPr>
                  <pic:blipFill>
                    <a:blip r:embed="rId41"/>
                    <a:stretch>
                      <a:fillRect/>
                    </a:stretch>
                  </pic:blipFill>
                  <pic:spPr>
                    <a:xfrm>
                      <a:off x="0" y="0"/>
                      <a:ext cx="3769995" cy="2430780"/>
                    </a:xfrm>
                    <a:prstGeom prst="rect">
                      <a:avLst/>
                    </a:prstGeom>
                  </pic:spPr>
                </pic:pic>
              </a:graphicData>
            </a:graphic>
          </wp:inline>
        </w:drawing>
      </w:r>
    </w:p>
    <w:p w14:paraId="2F4BEDC4" w14:textId="77777777" w:rsidR="00B611D1" w:rsidRDefault="00FB7689">
      <w:pPr>
        <w:pStyle w:val="Lgende"/>
        <w:jc w:val="center"/>
        <w:rPr>
          <w:rFonts w:eastAsia="SimSun"/>
          <w:b/>
          <w:bCs/>
          <w:i w:val="0"/>
          <w:iCs w:val="0"/>
          <w:color w:val="auto"/>
          <w:sz w:val="24"/>
          <w:szCs w:val="24"/>
          <w:lang w:val="fr-FR" w:eastAsia="zh-CN"/>
        </w:rPr>
      </w:pPr>
      <w:bookmarkStart w:id="108" w:name="_Toc201269650"/>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7</w:t>
      </w:r>
      <w:r>
        <w:rPr>
          <w:b/>
          <w:bCs/>
          <w:i w:val="0"/>
          <w:iCs w:val="0"/>
          <w:color w:val="auto"/>
          <w:sz w:val="24"/>
          <w:szCs w:val="24"/>
        </w:rPr>
        <w:fldChar w:fldCharType="end"/>
      </w:r>
      <w:r>
        <w:rPr>
          <w:b/>
          <w:bCs/>
          <w:i w:val="0"/>
          <w:iCs w:val="0"/>
          <w:color w:val="auto"/>
          <w:sz w:val="24"/>
          <w:szCs w:val="24"/>
          <w:lang w:val="fr-FR"/>
        </w:rPr>
        <w:t> :</w:t>
      </w:r>
      <w:r>
        <w:rPr>
          <w:color w:val="auto"/>
          <w:lang w:val="fr-FR"/>
        </w:rPr>
        <w:t xml:space="preserve"> </w:t>
      </w:r>
      <w:r>
        <w:rPr>
          <w:color w:val="auto"/>
          <w:sz w:val="24"/>
          <w:szCs w:val="24"/>
          <w:lang w:val="fr-FR"/>
        </w:rPr>
        <w:t>Staphylococcus aureus</w:t>
      </w:r>
      <w:r>
        <w:rPr>
          <w:b/>
          <w:bCs/>
          <w:i w:val="0"/>
          <w:iCs w:val="0"/>
          <w:color w:val="auto"/>
          <w:sz w:val="24"/>
          <w:szCs w:val="24"/>
          <w:lang w:val="fr-FR"/>
        </w:rPr>
        <w:t xml:space="preserve"> (Kamel &amp; Jarjes, 2015)</w:t>
      </w:r>
      <w:bookmarkEnd w:id="108"/>
    </w:p>
    <w:p w14:paraId="0EED4E73" w14:textId="77777777" w:rsidR="00B611D1" w:rsidRDefault="00B611D1">
      <w:pPr>
        <w:pStyle w:val="Paragraphedeliste"/>
        <w:keepNext/>
        <w:keepLines/>
        <w:numPr>
          <w:ilvl w:val="0"/>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p>
    <w:p w14:paraId="40E747E0" w14:textId="77777777" w:rsidR="00B611D1" w:rsidRDefault="00B611D1">
      <w:pPr>
        <w:pStyle w:val="Paragraphedeliste"/>
        <w:keepNext/>
        <w:keepLines/>
        <w:numPr>
          <w:ilvl w:val="1"/>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09" w:name="_Toc201260097"/>
      <w:bookmarkEnd w:id="109"/>
    </w:p>
    <w:p w14:paraId="03BD3BC3" w14:textId="77777777" w:rsidR="00B611D1" w:rsidRDefault="00B611D1">
      <w:pPr>
        <w:pStyle w:val="Paragraphedeliste"/>
        <w:keepNext/>
        <w:keepLines/>
        <w:numPr>
          <w:ilvl w:val="1"/>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0" w:name="_Toc201260098"/>
      <w:bookmarkEnd w:id="110"/>
    </w:p>
    <w:p w14:paraId="0DAA6416" w14:textId="77777777" w:rsidR="00B611D1" w:rsidRDefault="00B611D1">
      <w:pPr>
        <w:pStyle w:val="Paragraphedeliste"/>
        <w:keepNext/>
        <w:keepLines/>
        <w:numPr>
          <w:ilvl w:val="2"/>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1" w:name="_Toc201260099"/>
      <w:bookmarkEnd w:id="111"/>
    </w:p>
    <w:p w14:paraId="5CCE54F7" w14:textId="77777777" w:rsidR="00B611D1" w:rsidRDefault="00B611D1">
      <w:pPr>
        <w:pStyle w:val="Paragraphedeliste"/>
        <w:keepNext/>
        <w:keepLines/>
        <w:numPr>
          <w:ilvl w:val="2"/>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2" w:name="_Toc201260100"/>
      <w:bookmarkEnd w:id="112"/>
    </w:p>
    <w:p w14:paraId="729E71AD" w14:textId="77777777" w:rsidR="00B611D1" w:rsidRDefault="00B611D1">
      <w:pPr>
        <w:pStyle w:val="Paragraphedeliste"/>
        <w:keepNext/>
        <w:keepLines/>
        <w:numPr>
          <w:ilvl w:val="2"/>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3" w:name="_Toc201260101"/>
      <w:bookmarkEnd w:id="113"/>
    </w:p>
    <w:p w14:paraId="437BF3E8" w14:textId="77777777" w:rsidR="00B611D1" w:rsidRDefault="00B611D1">
      <w:pPr>
        <w:pStyle w:val="Paragraphedeliste"/>
        <w:keepNext/>
        <w:keepLines/>
        <w:numPr>
          <w:ilvl w:val="2"/>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4" w:name="_Toc201260102"/>
      <w:bookmarkEnd w:id="114"/>
    </w:p>
    <w:p w14:paraId="0548E114" w14:textId="77777777" w:rsidR="00B611D1" w:rsidRDefault="00B611D1">
      <w:pPr>
        <w:pStyle w:val="Paragraphedeliste"/>
        <w:keepNext/>
        <w:keepLines/>
        <w:numPr>
          <w:ilvl w:val="3"/>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5" w:name="_Toc201260103"/>
      <w:bookmarkEnd w:id="115"/>
    </w:p>
    <w:p w14:paraId="57EF6EEB" w14:textId="77777777" w:rsidR="00B611D1" w:rsidRDefault="00B611D1">
      <w:pPr>
        <w:pStyle w:val="Paragraphedeliste"/>
        <w:keepNext/>
        <w:keepLines/>
        <w:numPr>
          <w:ilvl w:val="3"/>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6" w:name="_Toc201260104"/>
      <w:bookmarkEnd w:id="116"/>
    </w:p>
    <w:p w14:paraId="177EFF1F" w14:textId="77777777" w:rsidR="00B611D1" w:rsidRDefault="00B611D1">
      <w:pPr>
        <w:pStyle w:val="Paragraphedeliste"/>
        <w:keepNext/>
        <w:keepLines/>
        <w:numPr>
          <w:ilvl w:val="3"/>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7" w:name="_Toc201260105"/>
      <w:bookmarkEnd w:id="117"/>
    </w:p>
    <w:p w14:paraId="7E0E0241" w14:textId="77777777" w:rsidR="00B611D1" w:rsidRDefault="00B611D1">
      <w:pPr>
        <w:pStyle w:val="Paragraphedeliste"/>
        <w:keepNext/>
        <w:keepLines/>
        <w:numPr>
          <w:ilvl w:val="4"/>
          <w:numId w:val="7"/>
        </w:numPr>
        <w:spacing w:before="40" w:line="360" w:lineRule="auto"/>
        <w:outlineLvl w:val="3"/>
        <w:rPr>
          <w:rFonts w:asciiTheme="majorHAnsi" w:eastAsiaTheme="majorEastAsia" w:hAnsiTheme="majorHAnsi" w:cstheme="majorBidi"/>
          <w:i/>
          <w:iCs/>
          <w:vanish/>
          <w:color w:val="365F91" w:themeColor="accent1" w:themeShade="BF"/>
          <w:lang w:val="fr-FR" w:bidi="ar"/>
        </w:rPr>
      </w:pPr>
      <w:bookmarkStart w:id="118" w:name="_Toc201260106"/>
      <w:bookmarkEnd w:id="118"/>
    </w:p>
    <w:p w14:paraId="7A796814" w14:textId="77777777" w:rsidR="00B611D1" w:rsidRDefault="00FB7689">
      <w:pPr>
        <w:pStyle w:val="Titre4"/>
        <w:numPr>
          <w:ilvl w:val="4"/>
          <w:numId w:val="7"/>
        </w:numPr>
        <w:spacing w:line="360" w:lineRule="auto"/>
        <w:rPr>
          <w:rFonts w:ascii="Times New Roman" w:hAnsi="Times New Roman" w:cs="Times New Roman"/>
          <w:b/>
          <w:bCs/>
          <w:color w:val="auto"/>
          <w:lang w:val="fr-FR" w:bidi="ar"/>
        </w:rPr>
      </w:pPr>
      <w:bookmarkStart w:id="119" w:name="_Toc201260107"/>
      <w:r>
        <w:rPr>
          <w:rFonts w:ascii="Times New Roman" w:hAnsi="Times New Roman" w:cs="Times New Roman"/>
          <w:b/>
          <w:bCs/>
          <w:color w:val="auto"/>
          <w:lang w:val="fr-FR" w:bidi="ar"/>
        </w:rPr>
        <w:t>Streptococcus</w:t>
      </w:r>
      <w:bookmarkEnd w:id="119"/>
    </w:p>
    <w:p w14:paraId="1E9AB9D5" w14:textId="77777777" w:rsidR="00B611D1" w:rsidRDefault="00FB7689">
      <w:pPr>
        <w:spacing w:line="360" w:lineRule="auto"/>
        <w:jc w:val="both"/>
        <w:rPr>
          <w:rFonts w:eastAsia="SimSun"/>
          <w:color w:val="000000"/>
          <w:lang w:val="fr-FR" w:eastAsia="zh-CN"/>
        </w:rPr>
      </w:pPr>
      <w:r>
        <w:rPr>
          <w:rFonts w:eastAsia="SimSun"/>
          <w:color w:val="000000"/>
          <w:lang w:val="fr-FR" w:eastAsia="zh-CN"/>
        </w:rPr>
        <w:t xml:space="preserve">Les streptocoques sont des bactéries à Gram positif qui se présentent généralement en paires ou en chaînes </w:t>
      </w:r>
      <w:r>
        <w:rPr>
          <w:rFonts w:eastAsia="SimSun"/>
          <w:b/>
          <w:bCs/>
          <w:color w:val="000000"/>
          <w:lang w:val="fr-FR" w:eastAsia="zh-CN"/>
        </w:rPr>
        <w:t>(Figure 7)</w:t>
      </w:r>
      <w:r>
        <w:rPr>
          <w:rFonts w:eastAsia="SimSun"/>
          <w:color w:val="000000"/>
          <w:lang w:val="fr-FR" w:eastAsia="zh-CN"/>
        </w:rPr>
        <w:t xml:space="preserve">. Elles sont immobiles, non sporulées et capables de tolérer des conditions anaérobies. Leur diamètre varie généralement entre 0,5 et 1,5 micromètre </w:t>
      </w:r>
      <w:r>
        <w:rPr>
          <w:rFonts w:eastAsia="Calibri"/>
          <w:b/>
          <w:bCs/>
          <w:color w:val="000000"/>
          <w:lang w:val="fr" w:bidi="ar"/>
        </w:rPr>
        <w:fldChar w:fldCharType="begin"/>
      </w:r>
      <w:r>
        <w:rPr>
          <w:rFonts w:eastAsia="Calibri"/>
          <w:b/>
          <w:bCs/>
          <w:color w:val="000000"/>
          <w:lang w:val="fr" w:bidi="ar"/>
        </w:rPr>
        <w:instrText xml:space="preserve"> ADDIN ZOTERO_ITEM CSL_CITATION {"citationID":"pJ4n3NsP","properties":{"formattedCitation":"(Legrand, 2017)","plainCitation":"(Legrand, 2017)","noteIndex":0},"citationItems":[{"id":454,"uris":["http://zotero.org/users/16279382/items/3VG94BC2"],"itemData":{"id":454,"type":"article-journal","abstract":"The global spread of multidrug-resistant bacteria, coupled with a scarcity of new antibiotics, poses a significant threat of therapeutic impasses. Preserving the efficacy of existing antibiotics through hygiene measures and reduced antibiotic consumption is crucial, especially regarding broad-spectrum molecules that exert strong selective pressure on bacteria. This study analyzes antibiotic prescription practices at Edmond Garcin Hospital in Aubagne, revealing an increase in piperacillin/tazobactam (Tazocilline®) use. An audit of prescriptions was conducted to evaluate opportunities for bacterial ecology preservation and promote antibiotic stewardship.","language":"en","note":"publisher: &lt;bound method Organization.get_name_with_acronym of &lt;Organization: DUMAS - Dépôt Universitaire de Mémoires Après Soutenance&gt;&gt;","source":"policycommons.net","title":"Hospital Pharmacist's Role in Managing Multidrug-Resistant Infections: Piperacillin/Tazobactam Prescription Review and Broad-Spectrum Antibiotic Stewardship at Aubagne Hospital","title-short":"Hospital Pharmacist's Role in Managing Multidrug-Resistant Infections","URL":"https://policycommons.net/artifacts/15776077/implication-du-pharmacien-hospitalier-dans-la-prise-en-charge-des-infections-a-bacteries-multiresistantes/16666936/","author":[{"family":"Legrand","given":"Olivier"}],"accessed":{"date-parts":[["2025",6,16]]},"issued":{"date-parts":[["2017",9,14]]}}}],"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(Legrand, 2017)</w:t>
      </w:r>
      <w:r>
        <w:rPr>
          <w:rFonts w:eastAsia="Calibri"/>
          <w:b/>
          <w:bCs/>
          <w:color w:val="000000"/>
          <w:lang w:val="fr" w:bidi="ar"/>
        </w:rPr>
        <w:fldChar w:fldCharType="end"/>
      </w:r>
      <w:r>
        <w:rPr>
          <w:rFonts w:eastAsia="SimSun"/>
          <w:color w:val="000000"/>
          <w:lang w:val="fr-FR" w:eastAsia="zh-CN"/>
        </w:rPr>
        <w:t xml:space="preserve">. Ces bactéries produisent une gamme variée de facteurs de virulence, tels que les streptolysines, les DNases et l’hyaluronidase, qui jouent un rôle clé dans la destruction des tissus et la propagation de l’infection. De plus, certains types de streptocoques sécrètent des exotoxines capables de stimuler la réponse immunitaire de l’hôte, entraînant la libération de cytokines pro-inflammatoires comme le TNF-alpha et les interleukines. L’activation des systèmes du complément, de la coagulation et de la fibrinolyse par ces cytokines peut conduire à des complications sévères telles que le choc septique et la défaillance multiviscérale </w:t>
      </w:r>
      <w:r>
        <w:rPr>
          <w:rFonts w:eastAsia="Calibri"/>
          <w:b/>
          <w:bCs/>
          <w:color w:val="000000"/>
          <w:lang w:val="fr" w:bidi="ar"/>
        </w:rPr>
        <w:fldChar w:fldCharType="begin"/>
      </w:r>
      <w:r>
        <w:rPr>
          <w:rFonts w:eastAsia="Calibri"/>
          <w:b/>
          <w:bCs/>
          <w:color w:val="000000"/>
          <w:lang w:val="fr" w:bidi="ar"/>
        </w:rPr>
        <w:instrText xml:space="preserve"> ADDIN ZOTERO_ITEM CSL_CITATION {"citationID":"xM3Y2PR8","properties":{"formattedCitation":"(Shumba et al., 2019)","plainCitation":"(Shumba et al., 2019)","noteIndex":0},"citationItems":[{"id":463,"uris":["http://zotero.org/users/16279382/items/UVA2YWWE"],"itemData":{"id":463,"type":"article-journal","abstract":"Necrotizing soft tissue infections (NSTIs) are critical clinical conditions characterized by extensive necrosis of any layer of the soft tissue and systemic toxicity. Group A streptococci (GAS) and Staphylococcus aureus are two major pathogens associated with monomicrobial NSTIs. In the tissue environment, both Gram-positive bacteria secrete a variety of molecules, including pore-forming exotoxins, superantigens, and proteases with cytolytic and immunomodulatory functions. The present review summarizes the current knowledge about streptococcal and staphylococcal toxins in NSTIs with a special focus on their contribution to disease progression, tissue pathology, and immune evasion strategies.","container-title":"Toxins","DOI":"10.3390/toxins11060332","ISSN":"2072-6651","issue":"6","language":"en","license":"http://creativecommons.org/licenses/by/3.0/","note":"number: 6\npublisher: Multidisciplinary Digital Publishing Institute","page":"332","source":"www.mdpi.com","title":"The Role of Streptococcal and Staphylococcal Exotoxins and Proteases in Human Necrotizing Soft Tissue Infections","volume":"11","author":[{"family":"Shumba","given":"Patience"},{"family":"Mairpady Shambat","given":"Srikanth"},{"family":"Siemens","given":"Nikolai"}],"issued":{"date-parts":[["2019",6]]}}}],"schema":"https://github.com/citation-style-language/schema/raw/master/csl-citation.json"}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(Shumba </w:t>
      </w:r>
      <w:r>
        <w:rPr>
          <w:rFonts w:eastAsia="Calibri"/>
          <w:b/>
          <w:bCs/>
          <w:i/>
          <w:iCs/>
          <w:szCs w:val="22"/>
          <w:lang w:val="fr" w:bidi="ar"/>
        </w:rPr>
        <w:t>et al</w:t>
      </w:r>
      <w:r>
        <w:rPr>
          <w:rFonts w:eastAsia="Calibri"/>
          <w:b/>
          <w:bCs/>
          <w:szCs w:val="22"/>
          <w:lang w:val="fr" w:bidi="ar"/>
        </w:rPr>
        <w:t>., 2019)</w:t>
      </w:r>
      <w:r>
        <w:rPr>
          <w:rFonts w:eastAsia="Calibri"/>
          <w:b/>
          <w:bCs/>
          <w:color w:val="000000"/>
          <w:lang w:val="fr" w:bidi="ar"/>
        </w:rPr>
        <w:fldChar w:fldCharType="end"/>
      </w:r>
      <w:r>
        <w:rPr>
          <w:rFonts w:eastAsia="SimSun"/>
          <w:color w:val="000000"/>
          <w:lang w:val="fr-FR" w:eastAsia="zh-CN"/>
        </w:rPr>
        <w:t>.</w:t>
      </w:r>
    </w:p>
    <w:p w14:paraId="30D7EFE1" w14:textId="77777777" w:rsidR="00B611D1" w:rsidRDefault="00B611D1">
      <w:pPr>
        <w:spacing w:line="360" w:lineRule="auto"/>
        <w:jc w:val="both"/>
        <w:rPr>
          <w:rFonts w:eastAsia="SimSun"/>
          <w:color w:val="000000"/>
          <w:lang w:val="fr-FR" w:eastAsia="zh-CN"/>
        </w:rPr>
      </w:pPr>
    </w:p>
    <w:p w14:paraId="671A59DC" w14:textId="77777777" w:rsidR="00B611D1" w:rsidRDefault="00FB7689">
      <w:pPr>
        <w:spacing w:line="360" w:lineRule="auto"/>
        <w:jc w:val="center"/>
        <w:rPr>
          <w:rFonts w:eastAsia="SimSun"/>
          <w:b/>
          <w:bCs/>
          <w:color w:val="000000"/>
          <w:sz w:val="28"/>
          <w:szCs w:val="28"/>
          <w:lang w:val="fr-FR" w:eastAsia="zh-CN"/>
        </w:rPr>
      </w:pPr>
      <w:r>
        <w:rPr>
          <w:noProof/>
          <w:lang w:val="fr-FR"/>
        </w:rPr>
        <w:drawing>
          <wp:inline distT="0" distB="0" distL="0" distR="0" wp14:anchorId="47E9325B" wp14:editId="583D9FC7">
            <wp:extent cx="3566795" cy="2669540"/>
            <wp:effectExtent l="0" t="0" r="0" b="635"/>
            <wp:docPr id="6180893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089375" name="Picture 1"/>
                    <pic:cNvPicPr>
                      <a:picLocks noChangeAspect="1"/>
                    </pic:cNvPicPr>
                  </pic:nvPicPr>
                  <pic:blipFill>
                    <a:blip r:embed="rId42"/>
                    <a:stretch>
                      <a:fillRect/>
                    </a:stretch>
                  </pic:blipFill>
                  <pic:spPr>
                    <a:xfrm>
                      <a:off x="0" y="0"/>
                      <a:ext cx="3566795" cy="2669540"/>
                    </a:xfrm>
                    <a:prstGeom prst="rect">
                      <a:avLst/>
                    </a:prstGeom>
                  </pic:spPr>
                </pic:pic>
              </a:graphicData>
            </a:graphic>
          </wp:inline>
        </w:drawing>
      </w:r>
    </w:p>
    <w:p w14:paraId="78F645EE" w14:textId="77777777" w:rsidR="00B611D1" w:rsidRDefault="00FB7689">
      <w:pPr>
        <w:pStyle w:val="Lgende"/>
        <w:jc w:val="center"/>
        <w:rPr>
          <w:b/>
          <w:bCs/>
          <w:i w:val="0"/>
          <w:iCs w:val="0"/>
          <w:color w:val="auto"/>
          <w:sz w:val="24"/>
          <w:szCs w:val="24"/>
          <w:lang w:val="fr-FR"/>
        </w:rPr>
      </w:pPr>
      <w:bookmarkStart w:id="120" w:name="_Toc201269651"/>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8</w:t>
      </w:r>
      <w:r>
        <w:rPr>
          <w:b/>
          <w:bCs/>
          <w:i w:val="0"/>
          <w:iCs w:val="0"/>
          <w:color w:val="auto"/>
          <w:sz w:val="24"/>
          <w:szCs w:val="24"/>
        </w:rPr>
        <w:fldChar w:fldCharType="end"/>
      </w:r>
      <w:r>
        <w:rPr>
          <w:b/>
          <w:bCs/>
          <w:i w:val="0"/>
          <w:iCs w:val="0"/>
          <w:color w:val="auto"/>
          <w:sz w:val="24"/>
          <w:szCs w:val="24"/>
          <w:lang w:val="fr-FR"/>
        </w:rPr>
        <w:t xml:space="preserve"> : </w:t>
      </w:r>
      <w:r>
        <w:rPr>
          <w:color w:val="auto"/>
          <w:sz w:val="24"/>
          <w:szCs w:val="24"/>
          <w:lang w:val="fr-FR"/>
        </w:rPr>
        <w:t xml:space="preserve">Streptococcus </w:t>
      </w:r>
      <w:r>
        <w:rPr>
          <w:b/>
          <w:bCs/>
          <w:i w:val="0"/>
          <w:iCs w:val="0"/>
          <w:color w:val="auto"/>
          <w:sz w:val="24"/>
          <w:szCs w:val="24"/>
          <w:lang w:val="fr-FR"/>
        </w:rPr>
        <w:t>(Rohit Dey, 2016)</w:t>
      </w:r>
      <w:bookmarkEnd w:id="120"/>
    </w:p>
    <w:p w14:paraId="1AE5A2B7" w14:textId="77777777" w:rsidR="00B611D1" w:rsidRDefault="00B611D1">
      <w:pPr>
        <w:spacing w:after="200" w:line="360" w:lineRule="auto"/>
        <w:jc w:val="both"/>
        <w:rPr>
          <w:lang w:val="fr-FR"/>
        </w:rPr>
      </w:pPr>
    </w:p>
    <w:p w14:paraId="76A005A4" w14:textId="77777777" w:rsidR="00B611D1" w:rsidRDefault="00B611D1">
      <w:pPr>
        <w:spacing w:after="200" w:line="360" w:lineRule="auto"/>
        <w:jc w:val="both"/>
        <w:rPr>
          <w:lang w:val="fr-FR"/>
        </w:rPr>
      </w:pPr>
    </w:p>
    <w:p w14:paraId="74056980" w14:textId="77777777" w:rsidR="00B611D1" w:rsidRDefault="00B611D1">
      <w:pPr>
        <w:spacing w:after="200" w:line="360" w:lineRule="auto"/>
        <w:jc w:val="both"/>
        <w:rPr>
          <w:lang w:val="fr-FR"/>
        </w:rPr>
      </w:pPr>
    </w:p>
    <w:p w14:paraId="0EAD3655" w14:textId="77777777" w:rsidR="00B611D1" w:rsidRDefault="00B611D1">
      <w:pPr>
        <w:spacing w:after="200" w:line="360" w:lineRule="auto"/>
        <w:jc w:val="both"/>
        <w:rPr>
          <w:lang w:val="fr-FR"/>
        </w:rPr>
      </w:pPr>
    </w:p>
    <w:p w14:paraId="260A24D6" w14:textId="77777777" w:rsidR="00B611D1" w:rsidRDefault="00B611D1">
      <w:pPr>
        <w:spacing w:after="200" w:line="360" w:lineRule="auto"/>
        <w:jc w:val="both"/>
        <w:rPr>
          <w:lang w:val="fr-FR"/>
        </w:rPr>
      </w:pPr>
    </w:p>
    <w:p w14:paraId="6E33E3EE" w14:textId="77777777" w:rsidR="00B611D1" w:rsidRDefault="00B611D1">
      <w:pPr>
        <w:spacing w:after="200" w:line="360" w:lineRule="auto"/>
        <w:jc w:val="both"/>
        <w:rPr>
          <w:lang w:val="fr-FR"/>
        </w:rPr>
      </w:pPr>
    </w:p>
    <w:p w14:paraId="57BC1885" w14:textId="77777777" w:rsidR="00B611D1" w:rsidRDefault="00B611D1">
      <w:pPr>
        <w:spacing w:after="200" w:line="360" w:lineRule="auto"/>
        <w:jc w:val="both"/>
        <w:rPr>
          <w:lang w:val="fr-FR"/>
        </w:rPr>
      </w:pPr>
    </w:p>
    <w:p w14:paraId="181C6176" w14:textId="77777777" w:rsidR="00B611D1" w:rsidRDefault="00FB7689" w:rsidP="00525786">
      <w:pPr>
        <w:jc w:val="center"/>
        <w:rPr>
          <w:sz w:val="56"/>
          <w:szCs w:val="56"/>
          <w:lang w:val="fr-FR"/>
          <w14:shadow w14:blurRad="50800" w14:dist="38100" w14:dir="2700000" w14:sx="100000" w14:sy="100000" w14:kx="0" w14:ky="0" w14:algn="tl">
            <w14:srgbClr w14:val="000000">
              <w14:alpha w14:val="60000"/>
            </w14:srgbClr>
          </w14:shadow>
        </w:rPr>
      </w:pPr>
      <w:r>
        <w:rPr>
          <w:rFonts w:eastAsia="TimesNewRomanPS-BoldMT"/>
          <w:b/>
          <w:bCs/>
          <w:sz w:val="56"/>
          <w:szCs w:val="56"/>
          <w:lang w:val="fr-FR" w:eastAsia="zh-CN" w:bidi="ar"/>
          <w14:shadow w14:blurRad="50800" w14:dist="38100" w14:dir="2700000" w14:sx="100000" w14:sy="100000" w14:kx="0" w14:ky="0" w14:algn="tl">
            <w14:srgbClr w14:val="000000">
              <w14:alpha w14:val="60000"/>
            </w14:srgbClr>
          </w14:shadow>
        </w:rPr>
        <w:t>Chapitre 03 :</w:t>
      </w:r>
    </w:p>
    <w:p w14:paraId="13D3BB38" w14:textId="77777777" w:rsidR="00B611D1" w:rsidRDefault="00FB7689">
      <w:pPr>
        <w:jc w:val="center"/>
        <w:rPr>
          <w:sz w:val="56"/>
          <w:szCs w:val="56"/>
          <w:lang w:val="fr-FR"/>
          <w14:shadow w14:blurRad="50800" w14:dist="38100" w14:dir="2700000" w14:sx="100000" w14:sy="100000" w14:kx="0" w14:ky="0" w14:algn="tl">
            <w14:srgbClr w14:val="000000">
              <w14:alpha w14:val="60000"/>
            </w14:srgbClr>
          </w14:shadow>
        </w:rPr>
      </w:pPr>
      <w:r>
        <w:rPr>
          <w:rFonts w:eastAsia="TimesNewRomanPS-BoldMT"/>
          <w:b/>
          <w:bCs/>
          <w:sz w:val="56"/>
          <w:szCs w:val="56"/>
          <w:lang w:val="fr-FR" w:eastAsia="zh-CN" w:bidi="ar"/>
          <w14:shadow w14:blurRad="50800" w14:dist="38100" w14:dir="2700000" w14:sx="100000" w14:sy="100000" w14:kx="0" w14:ky="0" w14:algn="tl">
            <w14:srgbClr w14:val="000000">
              <w14:alpha w14:val="60000"/>
            </w14:srgbClr>
          </w14:shadow>
        </w:rPr>
        <w:t>Résistance aux Antibiotiques dans</w:t>
      </w:r>
    </w:p>
    <w:p w14:paraId="3CC21488" w14:textId="77777777" w:rsidR="00B611D1" w:rsidRDefault="00FB7689">
      <w:pPr>
        <w:jc w:val="center"/>
        <w:rPr>
          <w:sz w:val="56"/>
          <w:szCs w:val="56"/>
          <w:lang w:val="fr-FR"/>
          <w14:shadow w14:blurRad="50800" w14:dist="38100" w14:dir="8100000" w14:sx="100000" w14:sy="100000" w14:kx="0" w14:ky="0" w14:algn="tr">
            <w14:srgbClr w14:val="000000">
              <w14:alpha w14:val="60000"/>
            </w14:srgbClr>
          </w14:shadow>
        </w:rPr>
      </w:pPr>
      <w:r>
        <w:rPr>
          <w:rFonts w:eastAsia="TimesNewRomanPS-BoldMT"/>
          <w:b/>
          <w:bCs/>
          <w:sz w:val="56"/>
          <w:szCs w:val="56"/>
          <w:lang w:val="fr-FR" w:eastAsia="zh-CN" w:bidi="ar"/>
          <w14:shadow w14:blurRad="50800" w14:dist="38100" w14:dir="2700000" w14:sx="100000" w14:sy="100000" w14:kx="0" w14:ky="0" w14:algn="tl">
            <w14:srgbClr w14:val="000000">
              <w14:alpha w14:val="60000"/>
            </w14:srgbClr>
          </w14:shadow>
        </w:rPr>
        <w:t>les Environnements Hospitaliers</w:t>
      </w:r>
    </w:p>
    <w:p w14:paraId="7C9A804A" w14:textId="77777777" w:rsidR="00B611D1" w:rsidRDefault="00B611D1">
      <w:pPr>
        <w:spacing w:after="200" w:line="360" w:lineRule="auto"/>
        <w:jc w:val="both"/>
        <w:rPr>
          <w:lang w:val="fr-FR"/>
        </w:rPr>
        <w:sectPr w:rsidR="00B611D1">
          <w:pgSz w:w="11910" w:h="16840"/>
          <w:pgMar w:top="1320" w:right="1180" w:bottom="1220" w:left="1100" w:header="713" w:footer="1025" w:gutter="0"/>
          <w:pgNumType w:start="4"/>
          <w:cols w:space="720"/>
        </w:sectPr>
      </w:pPr>
    </w:p>
    <w:p w14:paraId="4E38A3BF" w14:textId="77777777" w:rsidR="00B611D1" w:rsidRDefault="00FB7689">
      <w:pPr>
        <w:pStyle w:val="Titre2"/>
        <w:numPr>
          <w:ilvl w:val="1"/>
          <w:numId w:val="1"/>
        </w:numPr>
        <w:spacing w:line="360" w:lineRule="auto"/>
        <w:rPr>
          <w:rFonts w:eastAsia="TimesNewRomanPS-BoldMT"/>
          <w:lang w:val="fr-FR" w:eastAsia="zh-CN" w:bidi="ar"/>
        </w:rPr>
      </w:pPr>
      <w:bookmarkStart w:id="121" w:name="_Toc201260108"/>
      <w:r>
        <w:rPr>
          <w:rFonts w:eastAsia="TimesNewRomanPS-BoldMT"/>
          <w:lang w:val="fr-FR" w:eastAsia="zh-CN" w:bidi="ar"/>
        </w:rPr>
        <w:t>Résistance aux Antibiotiques dans les Environnements Hospitaliers</w:t>
      </w:r>
      <w:bookmarkEnd w:id="121"/>
      <w:r>
        <w:rPr>
          <w:rFonts w:eastAsia="TimesNewRomanPS-BoldMT"/>
          <w:lang w:val="fr-FR" w:eastAsia="zh-CN" w:bidi="ar"/>
        </w:rPr>
        <w:t xml:space="preserve"> </w:t>
      </w:r>
    </w:p>
    <w:p w14:paraId="6DEEC2CE" w14:textId="77777777" w:rsidR="00B611D1" w:rsidRDefault="00FB7689">
      <w:pPr>
        <w:pStyle w:val="Titre3"/>
        <w:numPr>
          <w:ilvl w:val="2"/>
          <w:numId w:val="1"/>
        </w:numPr>
        <w:spacing w:line="360" w:lineRule="auto"/>
        <w:rPr>
          <w:sz w:val="28"/>
          <w:szCs w:val="28"/>
        </w:rPr>
      </w:pPr>
      <w:bookmarkStart w:id="122" w:name="_Toc201260109"/>
      <w:r>
        <w:rPr>
          <w:rFonts w:eastAsia="TimesNewRomanPS-BoldMT"/>
          <w:sz w:val="28"/>
          <w:szCs w:val="28"/>
          <w:lang w:val="fr-FR" w:eastAsia="zh-CN" w:bidi="ar"/>
        </w:rPr>
        <w:t>L'antibiorésistance</w:t>
      </w:r>
      <w:bookmarkEnd w:id="122"/>
    </w:p>
    <w:p w14:paraId="7BB452AB" w14:textId="77777777" w:rsidR="00B611D1" w:rsidRDefault="00FB7689">
      <w:pPr>
        <w:pStyle w:val="Titre4"/>
        <w:numPr>
          <w:ilvl w:val="3"/>
          <w:numId w:val="1"/>
        </w:numPr>
        <w:spacing w:line="360" w:lineRule="auto"/>
        <w:rPr>
          <w:rFonts w:asciiTheme="majorBidi" w:hAnsiTheme="majorBidi"/>
          <w:b/>
          <w:bCs/>
          <w:i w:val="0"/>
          <w:iCs w:val="0"/>
          <w:color w:val="000000" w:themeColor="text1"/>
          <w:lang w:val="fr-FR" w:eastAsia="zh-CN" w:bidi="ar"/>
        </w:rPr>
      </w:pPr>
      <w:bookmarkStart w:id="123" w:name="_Toc201260110"/>
      <w:r>
        <w:rPr>
          <w:rFonts w:asciiTheme="majorBidi" w:hAnsiTheme="majorBidi"/>
          <w:b/>
          <w:bCs/>
          <w:i w:val="0"/>
          <w:iCs w:val="0"/>
          <w:color w:val="000000" w:themeColor="text1"/>
          <w:lang w:val="fr-FR" w:eastAsia="zh-CN" w:bidi="ar"/>
        </w:rPr>
        <w:t>Définition de l'antibiorésistance</w:t>
      </w:r>
      <w:bookmarkEnd w:id="123"/>
    </w:p>
    <w:p w14:paraId="4FD45172" w14:textId="77777777" w:rsidR="00B611D1" w:rsidRDefault="00FB7689">
      <w:pPr>
        <w:spacing w:line="360" w:lineRule="auto"/>
        <w:jc w:val="both"/>
        <w:rPr>
          <w:rFonts w:eastAsia="Calibri"/>
          <w:lang w:val="fr-FR"/>
        </w:rPr>
      </w:pPr>
      <w:r>
        <w:rPr>
          <w:rFonts w:eastAsia="TimesNewRomanPS-BoldMT"/>
          <w:lang w:val="fr-FR" w:eastAsia="zh-CN"/>
        </w:rPr>
        <w:t xml:space="preserve">L’antibiorésistance, un enjeu mondial croissant, se caractérise par la capacité d’une bactérie à résister à l’action d’un antibiotique. Cette résistance peut se manifester par la simple persistance de la bactérie dans un milieu enrichi en antibiotiques, où elle survit sans forcément se multiplier. Dans d’autres cas, la bactérie continue à se diviser et à croître au même rythme qu’en l’absence d’antibiotiques </w:t>
      </w:r>
      <w:r>
        <w:rPr>
          <w:rFonts w:eastAsia="Calibri"/>
          <w:b/>
          <w:bCs/>
          <w:lang w:val="fr" w:bidi="ar"/>
        </w:rPr>
        <w:fldChar w:fldCharType="begin"/>
      </w:r>
      <w:r>
        <w:rPr>
          <w:rFonts w:eastAsia="Calibri"/>
          <w:b/>
          <w:bCs/>
          <w:lang w:val="fr" w:bidi="ar"/>
        </w:rPr>
        <w:instrText xml:space="preserve"> ADDIN ZOTERO_ITEM CSL_CITATION {"citationID":"ed1bfjva","properties":{"formattedCitation":"(Madec, 2022)","plainCitation":"(Madec, 2022)","noteIndex":0},"citationItems":[{"id":162,"uris":["http://zotero.org/users/16279382/items/2H7ZRKTA"],"itemData":{"id":162,"type":"article-journal","container-title":"Guide pour un bon usage des antibiotiques chez les animaux de compagnie","note":"publisher: AFVAC","page":"12–14","source":"Google Scholar","title":"Généralités sur les antibiotiques et l'antibiorésistance-Notions générales sur l’antibiorésistance","author":[{"family":"Madec","given":"Jean-Yves"}],"issued":{"date-parts":[["2022"]]}}}],"schema":"https://github.com/citation-style-language/schema/raw/master/csl-citation.json"} </w:instrText>
      </w:r>
      <w:r>
        <w:rPr>
          <w:rFonts w:eastAsia="Calibri"/>
          <w:b/>
          <w:bCs/>
          <w:lang w:val="fr" w:bidi="ar"/>
        </w:rPr>
        <w:fldChar w:fldCharType="separate"/>
      </w:r>
      <w:r>
        <w:rPr>
          <w:rFonts w:eastAsia="Calibri"/>
          <w:b/>
          <w:bCs/>
          <w:lang w:val="fr" w:bidi="ar"/>
        </w:rPr>
        <w:t>(Madec, 2022)</w:t>
      </w:r>
      <w:r>
        <w:rPr>
          <w:rFonts w:eastAsia="Calibri"/>
          <w:b/>
          <w:bCs/>
          <w:lang w:val="fr" w:bidi="ar"/>
        </w:rPr>
        <w:fldChar w:fldCharType="end"/>
      </w:r>
      <w:r>
        <w:rPr>
          <w:rFonts w:eastAsia="Calibri"/>
          <w:b/>
          <w:bCs/>
          <w:lang w:val="fr-FR" w:bidi="ar"/>
        </w:rPr>
        <w:t xml:space="preserve">. </w:t>
      </w:r>
      <w:r>
        <w:rPr>
          <w:rFonts w:eastAsia="Calibri"/>
          <w:lang w:val="fr-FR"/>
        </w:rPr>
        <w:t>Ce phénomène</w:t>
      </w:r>
      <w:r>
        <w:rPr>
          <w:rFonts w:eastAsia="Calibri"/>
          <w:b/>
          <w:bCs/>
          <w:lang w:val="fr-FR"/>
        </w:rPr>
        <w:t xml:space="preserve"> </w:t>
      </w:r>
      <w:r>
        <w:rPr>
          <w:rFonts w:eastAsia="SimSun"/>
          <w:lang w:val="fr-FR" w:eastAsia="zh-CN" w:bidi="ar"/>
        </w:rPr>
        <w:t xml:space="preserve">peut être naturel ou acquis, résultat </w:t>
      </w:r>
      <w:r>
        <w:rPr>
          <w:rFonts w:eastAsia="Georgia"/>
          <w:lang w:val="fr-FR"/>
        </w:rPr>
        <w:t xml:space="preserve">soit de mutations chromosomiques (modification de gènes), soit de l'acquisition de plasmides transmissibles entre les  bactéries </w:t>
      </w:r>
      <w:r>
        <w:rPr>
          <w:rFonts w:eastAsia="Calibri"/>
          <w:b/>
          <w:bCs/>
          <w:lang w:val="fr" w:bidi="ar"/>
        </w:rPr>
        <w:fldChar w:fldCharType="begin"/>
      </w:r>
      <w:r>
        <w:rPr>
          <w:rFonts w:eastAsia="Calibri"/>
          <w:b/>
          <w:bCs/>
          <w:lang w:val="fr" w:bidi="ar"/>
        </w:rPr>
        <w:instrText xml:space="preserve"> ADDIN ZOTERO_ITEM CSL_CITATION {"citationID":"OtxPadwC","properties":{"formattedCitation":"(Da et al., 2023)","plainCitation":"(Da et al., 2023)","noteIndex":0},"citationItems":[{"id":164,"uris":["http://zotero.org/users/16279382/items/VZ7UT7P6"],"itemData":{"id":164,"type":"article-journal","abstract":"Résumé\nL’émergence de la résistance aux antibiotiques constitue une réelle menace de santé publique dans les pays en développement, où la situation est particulièrement inquiétante du fait de l'endémicité des infections. Les données récentes indiquent une diffusion de bactéries multirésistantes aux antibiotiques dont la prévalence ne cesse de croitre en Afrique subsaharienne. Il s'agit notamment des entérobactéries productrices de bêta-lactamases à spectre élargi, dont les fréquences sont supérieures à 30 % en portage et peuvent atteindre 80 % dans les infections communautaires. Quelques travaux rapportent la présence d'une résistance aux carbapénèmes en Afrique subsaharienne, alors que l'accessibilité à ces antibiotiques (ATB) de dernier recours est difficile en raison de leur coût. Concernant Staphylococcus aureus résistant à la méticilline, des travaux ont rapporté des proportions de résistance en portage variables et relativement peu élevées. La principale cause de l’émergence de ces résistances est la consommation non raisonnée des ATB dans cette région, d'où l'importance d'accentuer la lutte contre ce phénomène par la formation et la sensibilisation à tous les niveaux.\nAntibiotic resistance constitutes a public health problem in low-middle-income countries where we can find increasing rate of infectious diseases. More and more researchers from Africa and elsewhere are interested in this issue in this continent. Thus, several studies are currently estimating the frequency of multidrug-resistant bacteria (MDRB) in sub-Saharan Africa, particularly with Enterobacterales producing extended-spectrum beta lactamases, which frequencies vary with proportions higher than 30% in carriage studies and reaching to 80% in infectious diseases. Some works about carbapenem resistance demonstrated that it is also a reality in sub-Saharan Africa, where access to carbapenems is difficult. For methicillin-resistant Staphylococcus aureus, studies have reported variable and quite low carriage rates. One of the most important causes explaining the spread of resistance is insufficient awareness and training on this topic. Therefore, we need to focus the fight against antibiotic resistance on communication, training and raising-awareness.","container-title":"Médecine et Maladies Infectieuses Formation","DOI":"10.1016/j.mmifmc.2023.01.003","ISSN":"2772-7432","issue":"1","journalAbbreviation":"Médecine et Maladies Infectieuses Formation","page":"3-12","source":"ScienceDirect","title":"État des lieux de la résistance aux antibiotiques en Afrique subsaharienne","volume":"2","author":[{"family":"Da","given":"Léa"},{"family":"Somé","given":"Dogbèponé"},{"family":"Yehouenou","given":"Carine"},{"family":"Somé","given":"Corinne"},{"family":"Zoungrana","given":"Jacques"},{"family":"Ouédraogo","given":"Abdoul-Salam"},{"family":"Lienhardt","given":"Christian"},{"family":"Poda","given":"Armel"}],"issued":{"date-parts":[["2023",3,1]]}}}],"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(Da </w:t>
      </w:r>
      <w:r>
        <w:rPr>
          <w:rFonts w:eastAsia="Calibri"/>
          <w:b/>
          <w:bCs/>
          <w:i/>
          <w:iCs/>
          <w:szCs w:val="22"/>
          <w:lang w:val="fr" w:bidi="ar"/>
        </w:rPr>
        <w:t>et al</w:t>
      </w:r>
      <w:r>
        <w:rPr>
          <w:rFonts w:eastAsia="Calibri"/>
          <w:b/>
          <w:bCs/>
          <w:szCs w:val="22"/>
          <w:lang w:val="fr" w:bidi="ar"/>
        </w:rPr>
        <w:t>., 2023)</w:t>
      </w:r>
      <w:r>
        <w:rPr>
          <w:rFonts w:eastAsia="Calibri"/>
          <w:b/>
          <w:bCs/>
          <w:lang w:val="fr" w:bidi="ar"/>
        </w:rPr>
        <w:fldChar w:fldCharType="end"/>
      </w:r>
      <w:r>
        <w:rPr>
          <w:rFonts w:eastAsia="Calibri"/>
          <w:b/>
          <w:bCs/>
          <w:lang w:val="fr-FR" w:bidi="ar"/>
        </w:rPr>
        <w:t>.</w:t>
      </w:r>
      <w:r>
        <w:rPr>
          <w:rFonts w:eastAsia="Calibri"/>
          <w:lang w:val="fr-FR" w:bidi="ar"/>
        </w:rPr>
        <w:t xml:space="preserve"> </w:t>
      </w:r>
      <w:r>
        <w:rPr>
          <w:rFonts w:eastAsia="Calibri"/>
          <w:lang w:val="fr-FR"/>
        </w:rPr>
        <w:t xml:space="preserve">Cette résistance est fortement favorisée par une utilisation excessive ou inappropriée des antibiotiques, ce qui conduit à des changements génétiques où les bactéries modifient leur génome ou échangent des gènes entre elles, compromettant ainsi l’efficacité du traitement des infections. Pour cette raison, des mesures sont prises afin de préserver l’efficacité des antibiotiques existants et d’encourager le développement de nouveaux médicaments </w:t>
      </w:r>
      <w:r>
        <w:rPr>
          <w:rFonts w:eastAsia="Calibri"/>
          <w:b/>
          <w:bCs/>
          <w:lang w:val="fr" w:bidi="ar"/>
        </w:rPr>
        <w:fldChar w:fldCharType="begin"/>
      </w:r>
      <w:r>
        <w:rPr>
          <w:rFonts w:eastAsia="Calibri"/>
          <w:b/>
          <w:bCs/>
          <w:lang w:val="fr" w:bidi="ar"/>
        </w:rPr>
        <w:instrText xml:space="preserve"> ADDIN ZOTERO_ITEM CSL_CITATION {"citationID":"xVYUz1vq","properties":{"formattedCitation":"(Polek et al., 2024)","plainCitation":"(Polek et al., 2024)","noteIndex":0},"citationItems":[{"id":294,"uris":["http://zotero.org/users/16279382/items/BED2U3FQ"],"itemData":{"id":294,"type":"book","abstract":"Depuis les premières décennies du XXe siècle, les antibiotiques jouent un rôle indispensable en médecine clinique, en santé publique, en élevage et en médecine vétérinaire. Leur remarquable efficacité dans le traitement des infections bactériennes et la réduction des risques liés à la chirurgie, à la chimiothérapie et à d'autres procédures médicales en ont fait la pierre angulaire de la médecine moderne. Toutefois, leur succès généralisé et leur prix plutôt bas ont également conduit à leur utilisation excessive, dépassant souvent la nécessité clinique. Cela a accéléré le développement naturel de ce que l'on appelle la « résistance aux antibiotiques » chez les bactéries qui s'adaptent à leur environnement ou, plus précisément, la « biorésistance ».\nComme la biorésistance érode continuellement l'efficacité des antibiotiques, les infections bactériennes peuvent devenir difficiles, voire impossibles à traiter, en particulier lorsque les bactéries développent une résistance à plusieurs antibiotiques. Le nombre croissant de décès souligne la gravité de cette tendance. Malgré le besoin pressant de nouveaux antibiotiques et d'un approvisionnement fiable en antibiotiques existants, la dure réalité, tant en Suisse que dans le monde, on observe une stagnation inquiétante dans le renouvellement de l'arsenal antibiotique. Cela s’explique par une faible activité de la recherche et du développement (R&amp;D), une réticence des fabricants à lancer des antibiotiques au-delà de quelques pays à revenu élevé, de pénuries dues à des chaînes d'approvisionnement négligées et, en Suisse, du retrait fréquent d'antibiotiques de son marché relativement limité.\nPour relever ces multiples défis, le plan d'action national suisse Stratégie Antibiorésistance Suisse (StAR) a défini des initiatives dans huit domaines d'action, dont l'une d’elles invite le gouvernement et les parties prenantes à « promouvoir la disponibilité des antibiotiques de premier choix et le développement de nouveaux antibiotiques » (chapitre 2). \nDans ce livre blanc, la Table Ronde Suisse sur les Antibiotiques présente une proposition visant à accroître la disponibilté de nouveaux antibiotiques en Suisse, en particulier ceux nécessaires aux traitements des infections multirésistantes. Pour atteindre cet objectif, il est impératif que la rémunération des antibiotiques en Suisse représente une part équitable des revenus que les fabricants doivent générer au niveau mondial pour couvrir les coûts de recherche, de développement, de fabrication, de maintien sur le marché et d’approvisionnement tout en générant un bénéfice raisonnable. Cette viabilité financière est essentielle pour encourager l'industrie à investir dans les antibiotiques, un domaine que de nombreuses grandes entreprises ont abandonné au cours des dernières décennies en raison du risque plus élevé de pertes financières dans le domaine des maladies infectieuses. \nPour relancer l'innovation dans le domaine des antibiotiques, des incitations économiques et réglementaires sont nécessaires tout au long du cycle de vie des produits pharmaceutiques (chapitre 3). Notre proposition se concentre sur les incitations dites « pull », qui prennent effet suite à l’obtention d’une autorisation de mise sur le marché d’un nouvel antibiotique. Le chapitre 4 décrit l'approche que nous avons adoptée pour élaborer cette proposition. Le chapitre 5 fournit une description détaillée de quatre modèles d'incitation « pull », suivie de leur évaluation au chapitre 6, qui nous a permis d'identifier le modèle de souscription comme étant le plus approprié pour une mise en œuvre en Suisse. Enfin, dans le chapitre 7, nous proposons une solution pour remédier à l'une des principales limites du modèle des bons d'extension de l'exclusivité transférable (TEEV) et explorons le modèle de prévalence comme une solution provisoire potentielle au cas où la mise en œuvre du modèle de souscription serait trop longue.\nTout au long de notre travail, nous nous sommes axés sur le mandat de la StAR, visant à « promouvoir la disponibilité des antibiotiques de premier choix ». L'augmentation inquiétante des pénuries et des retraits du marché nous a contraints à évaluer les modèles « pull » en fonction de leur capacité à atténuer ces problèmes. Nous avons constaté que le modèle de souscription proposé contribue à cet objectif, tout en reconnaissant qu'une série de mesures supplémentaires seraient nécessaires.","event-place":"Berne, Suisse","ISBN":"978-3-03917-085-2","language":"fra","license":"info:eu-repo/semantics/openAccess","note":"container-title: Polek, Barbara; Fürst, Walter; Bachmann, Valérie; Blankart, Rudolf (2024). Des antibiotiques efficaces pour le système de santé suisse : aujourd'hui et à l'avenir. Berne, Suisse: Table Ronde Suisse sur les Antibiotiques","number-of-pages":"44","publisher":"Table Ronde Suisse sur les Antibiotiques","publisher-place":"Berne, Suisse","source":"boris.unibe.ch","title":"Des antibiotiques efficaces pour le système de santé suisse : aujourd'hui et à l'avenir","title-short":"Des antibiotiques efficaces pour le système de santé suisse","URL":"https://boris.unibe.ch/194389/","author":[{"family":"Polek","given":"Barbara"},{"family":"Fürst","given":"Walter"},{"family":"Bachmann","given":"Valérie"},{"family":"Blankart","given":"Rudolf"}],"contributor":[{"family":"Polek","given":"Barbara"},{"family":"Fürst","given":"Walter"},{"family":"Bachmann","given":"Valérie"},{"family":"Blankart","given":"Rudolf"}],"accessed":{"date-parts":[["2025",5,29]]},"issued":{"date-parts":[["2024",3,25]]}}}],"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(Polek </w:t>
      </w:r>
      <w:r>
        <w:rPr>
          <w:rFonts w:eastAsia="Calibri"/>
          <w:b/>
          <w:bCs/>
          <w:i/>
          <w:iCs/>
          <w:szCs w:val="22"/>
          <w:lang w:val="fr" w:bidi="ar"/>
        </w:rPr>
        <w:t>et al</w:t>
      </w:r>
      <w:r>
        <w:rPr>
          <w:rFonts w:eastAsia="Calibri"/>
          <w:b/>
          <w:bCs/>
          <w:szCs w:val="22"/>
          <w:lang w:val="fr" w:bidi="ar"/>
        </w:rPr>
        <w:t>., 2024)</w:t>
      </w:r>
      <w:r>
        <w:rPr>
          <w:rFonts w:eastAsia="Calibri"/>
          <w:b/>
          <w:bCs/>
          <w:lang w:val="fr" w:bidi="ar"/>
        </w:rPr>
        <w:fldChar w:fldCharType="end"/>
      </w:r>
      <w:r>
        <w:rPr>
          <w:rFonts w:eastAsia="Calibri"/>
          <w:b/>
          <w:bCs/>
          <w:lang w:val="fr-FR"/>
        </w:rPr>
        <w:t>.</w:t>
      </w:r>
    </w:p>
    <w:p w14:paraId="1F456ED6" w14:textId="77777777" w:rsidR="00B611D1" w:rsidRDefault="00FB7689">
      <w:pPr>
        <w:pStyle w:val="Titre4"/>
        <w:numPr>
          <w:ilvl w:val="3"/>
          <w:numId w:val="1"/>
        </w:numPr>
        <w:spacing w:line="360" w:lineRule="auto"/>
        <w:rPr>
          <w:rFonts w:asciiTheme="majorBidi" w:hAnsiTheme="majorBidi"/>
          <w:b/>
          <w:bCs/>
          <w:i w:val="0"/>
          <w:iCs w:val="0"/>
          <w:color w:val="000000" w:themeColor="text1"/>
        </w:rPr>
      </w:pPr>
      <w:bookmarkStart w:id="124" w:name="_Toc201260111"/>
      <w:r>
        <w:rPr>
          <w:rFonts w:asciiTheme="majorBidi" w:hAnsiTheme="majorBidi"/>
          <w:b/>
          <w:bCs/>
          <w:i w:val="0"/>
          <w:iCs w:val="0"/>
          <w:color w:val="000000" w:themeColor="text1"/>
          <w:lang w:val="fr-FR" w:eastAsia="zh-CN" w:bidi="ar"/>
        </w:rPr>
        <w:t>Les causes de l’antibiorésistance</w:t>
      </w:r>
      <w:bookmarkEnd w:id="124"/>
    </w:p>
    <w:p w14:paraId="45B9DB36" w14:textId="77777777" w:rsidR="00B611D1" w:rsidRDefault="00FB7689">
      <w:pPr>
        <w:spacing w:line="360" w:lineRule="auto"/>
        <w:jc w:val="both"/>
        <w:rPr>
          <w:lang w:val="fr-FR"/>
        </w:rPr>
      </w:pPr>
      <w:r>
        <w:rPr>
          <w:rFonts w:eastAsia="SimSun"/>
          <w:lang w:val="fr-FR" w:eastAsia="zh-CN" w:bidi="ar"/>
        </w:rPr>
        <w:t xml:space="preserve">Les causes de l'antibiorésistance sont multifactorielles et impliquent diverses pratiques et </w:t>
      </w:r>
      <w:r>
        <w:rPr>
          <w:rFonts w:hint="eastAsia"/>
          <w:lang w:val="fr-FR" w:eastAsia="zh-CN"/>
        </w:rPr>
        <w:t xml:space="preserve"> </w:t>
      </w:r>
      <w:r>
        <w:rPr>
          <w:rFonts w:eastAsia="SimSun"/>
          <w:lang w:val="fr-FR" w:eastAsia="zh-CN" w:bidi="ar"/>
        </w:rPr>
        <w:t xml:space="preserve">phénomènes </w:t>
      </w:r>
      <w:r>
        <w:rPr>
          <w:rFonts w:eastAsia="Calibri"/>
          <w:b/>
          <w:bCs/>
          <w:lang w:val="fr" w:bidi="ar"/>
        </w:rPr>
        <w:fldChar w:fldCharType="begin"/>
      </w:r>
      <w:r>
        <w:rPr>
          <w:rFonts w:eastAsia="Calibri"/>
          <w:b/>
          <w:bCs/>
          <w:lang w:val="fr" w:bidi="ar"/>
        </w:rPr>
        <w:instrText xml:space="preserve"> ADDIN ZOTERO_ITEM CSL_CITATION {"citationID":"N2Dfc7sQ","properties":{"formattedCitation":"(Harpet, 2022)","plainCitation":"(Harpet, 2022)","noteIndex":0},"citationItems":[{"id":169,"uris":["http://zotero.org/users/16279382/items/UIVUKQSW"],"itemData":{"id":169,"type":"article-journal","abstract":"Purchase online the PDF of L'antibiorésistance, Harpet, Claire - Éditions Quae - E-book","language":"ar","note":"publisher: Éditions Quae","page":"168-1","source":"www.torrossa.com","title":"L'antibiorésistance : Un fait social total","title-short":"L'antibiorésistance","author":[{"family":"Harpet","given":"Claire"}],"issued":{"date-parts":[["2022"]]}}}],"schema":"https://github.com/citation-style-language/schema/raw/master/csl-citation.json"} </w:instrText>
      </w:r>
      <w:r>
        <w:rPr>
          <w:rFonts w:eastAsia="Calibri"/>
          <w:b/>
          <w:bCs/>
          <w:lang w:val="fr" w:bidi="ar"/>
        </w:rPr>
        <w:fldChar w:fldCharType="separate"/>
      </w:r>
      <w:r>
        <w:rPr>
          <w:rFonts w:eastAsia="Calibri"/>
          <w:b/>
          <w:bCs/>
          <w:szCs w:val="22"/>
          <w:lang w:val="fr" w:bidi="ar"/>
        </w:rPr>
        <w:t>(Harpet, 2022)</w:t>
      </w:r>
      <w:r>
        <w:rPr>
          <w:rFonts w:eastAsia="Calibri"/>
          <w:b/>
          <w:bCs/>
          <w:lang w:val="fr" w:bidi="ar"/>
        </w:rPr>
        <w:fldChar w:fldCharType="end"/>
      </w:r>
      <w:r>
        <w:rPr>
          <w:rFonts w:eastAsia="Calibri"/>
          <w:b/>
          <w:bCs/>
          <w:lang w:val="fr" w:bidi="ar"/>
        </w:rPr>
        <w:t>.</w:t>
      </w:r>
    </w:p>
    <w:p w14:paraId="061B8DCC" w14:textId="77777777" w:rsidR="00B611D1" w:rsidRDefault="00B611D1">
      <w:pPr>
        <w:pStyle w:val="Paragraphedeliste"/>
        <w:numPr>
          <w:ilvl w:val="0"/>
          <w:numId w:val="8"/>
        </w:numPr>
        <w:spacing w:beforeAutospacing="1" w:afterAutospacing="1" w:line="360" w:lineRule="auto"/>
        <w:outlineLvl w:val="4"/>
        <w:rPr>
          <w:rFonts w:asciiTheme="majorBidi" w:eastAsia="SimSun" w:hAnsiTheme="majorBidi" w:cstheme="majorBidi"/>
          <w:b/>
          <w:bCs/>
          <w:vanish/>
          <w:lang w:val="fr-FR" w:eastAsia="zh-CN"/>
        </w:rPr>
      </w:pPr>
      <w:bookmarkStart w:id="125" w:name="_Toc201260112"/>
      <w:bookmarkEnd w:id="125"/>
    </w:p>
    <w:p w14:paraId="6A1B8327" w14:textId="77777777" w:rsidR="00B611D1" w:rsidRDefault="00B611D1">
      <w:pPr>
        <w:pStyle w:val="Paragraphedeliste"/>
        <w:numPr>
          <w:ilvl w:val="1"/>
          <w:numId w:val="8"/>
        </w:numPr>
        <w:spacing w:beforeAutospacing="1" w:afterAutospacing="1" w:line="360" w:lineRule="auto"/>
        <w:outlineLvl w:val="4"/>
        <w:rPr>
          <w:rFonts w:asciiTheme="majorBidi" w:eastAsia="SimSun" w:hAnsiTheme="majorBidi" w:cstheme="majorBidi"/>
          <w:b/>
          <w:bCs/>
          <w:vanish/>
          <w:lang w:val="fr-FR" w:eastAsia="zh-CN"/>
        </w:rPr>
      </w:pPr>
      <w:bookmarkStart w:id="126" w:name="_Toc201260113"/>
      <w:bookmarkEnd w:id="126"/>
    </w:p>
    <w:p w14:paraId="3C836A47" w14:textId="77777777" w:rsidR="00B611D1" w:rsidRDefault="00B611D1">
      <w:pPr>
        <w:pStyle w:val="Paragraphedeliste"/>
        <w:numPr>
          <w:ilvl w:val="1"/>
          <w:numId w:val="8"/>
        </w:numPr>
        <w:spacing w:beforeAutospacing="1" w:afterAutospacing="1" w:line="360" w:lineRule="auto"/>
        <w:outlineLvl w:val="4"/>
        <w:rPr>
          <w:rFonts w:asciiTheme="majorBidi" w:eastAsia="SimSun" w:hAnsiTheme="majorBidi" w:cstheme="majorBidi"/>
          <w:b/>
          <w:bCs/>
          <w:vanish/>
          <w:lang w:val="fr-FR" w:eastAsia="zh-CN"/>
        </w:rPr>
      </w:pPr>
      <w:bookmarkStart w:id="127" w:name="_Toc201260114"/>
      <w:bookmarkEnd w:id="127"/>
    </w:p>
    <w:p w14:paraId="1890E9FB" w14:textId="77777777" w:rsidR="00B611D1" w:rsidRDefault="00B611D1">
      <w:pPr>
        <w:pStyle w:val="Paragraphedeliste"/>
        <w:numPr>
          <w:ilvl w:val="1"/>
          <w:numId w:val="8"/>
        </w:numPr>
        <w:spacing w:beforeAutospacing="1" w:afterAutospacing="1" w:line="360" w:lineRule="auto"/>
        <w:outlineLvl w:val="4"/>
        <w:rPr>
          <w:rFonts w:asciiTheme="majorBidi" w:eastAsia="SimSun" w:hAnsiTheme="majorBidi" w:cstheme="majorBidi"/>
          <w:b/>
          <w:bCs/>
          <w:vanish/>
          <w:lang w:val="fr-FR" w:eastAsia="zh-CN"/>
        </w:rPr>
      </w:pPr>
      <w:bookmarkStart w:id="128" w:name="_Toc201260115"/>
      <w:bookmarkEnd w:id="128"/>
    </w:p>
    <w:p w14:paraId="0A6D00E7" w14:textId="77777777" w:rsidR="00B611D1" w:rsidRDefault="00B611D1">
      <w:pPr>
        <w:pStyle w:val="Paragraphedeliste"/>
        <w:numPr>
          <w:ilvl w:val="2"/>
          <w:numId w:val="8"/>
        </w:numPr>
        <w:spacing w:beforeAutospacing="1" w:afterAutospacing="1" w:line="360" w:lineRule="auto"/>
        <w:outlineLvl w:val="4"/>
        <w:rPr>
          <w:rFonts w:asciiTheme="majorBidi" w:eastAsia="SimSun" w:hAnsiTheme="majorBidi" w:cstheme="majorBidi"/>
          <w:b/>
          <w:bCs/>
          <w:vanish/>
          <w:lang w:val="fr-FR" w:eastAsia="zh-CN"/>
        </w:rPr>
      </w:pPr>
      <w:bookmarkStart w:id="129" w:name="_Toc201260116"/>
      <w:bookmarkEnd w:id="129"/>
    </w:p>
    <w:p w14:paraId="12C852AC" w14:textId="77777777" w:rsidR="00B611D1" w:rsidRDefault="00B611D1">
      <w:pPr>
        <w:pStyle w:val="Paragraphedeliste"/>
        <w:numPr>
          <w:ilvl w:val="3"/>
          <w:numId w:val="8"/>
        </w:numPr>
        <w:spacing w:beforeAutospacing="1" w:afterAutospacing="1" w:line="360" w:lineRule="auto"/>
        <w:outlineLvl w:val="4"/>
        <w:rPr>
          <w:rFonts w:asciiTheme="majorBidi" w:eastAsia="SimSun" w:hAnsiTheme="majorBidi" w:cstheme="majorBidi"/>
          <w:b/>
          <w:bCs/>
          <w:vanish/>
          <w:lang w:val="fr-FR" w:eastAsia="zh-CN"/>
        </w:rPr>
      </w:pPr>
      <w:bookmarkStart w:id="130" w:name="_Toc201260117"/>
      <w:bookmarkEnd w:id="130"/>
    </w:p>
    <w:p w14:paraId="2A183F2B" w14:textId="77777777" w:rsidR="00B611D1" w:rsidRDefault="00B611D1">
      <w:pPr>
        <w:pStyle w:val="Paragraphedeliste"/>
        <w:numPr>
          <w:ilvl w:val="3"/>
          <w:numId w:val="8"/>
        </w:numPr>
        <w:spacing w:beforeAutospacing="1" w:afterAutospacing="1" w:line="360" w:lineRule="auto"/>
        <w:outlineLvl w:val="4"/>
        <w:rPr>
          <w:rFonts w:asciiTheme="majorBidi" w:eastAsia="SimSun" w:hAnsiTheme="majorBidi" w:cstheme="majorBidi"/>
          <w:b/>
          <w:bCs/>
          <w:vanish/>
          <w:lang w:val="fr-FR" w:eastAsia="zh-CN"/>
        </w:rPr>
      </w:pPr>
      <w:bookmarkStart w:id="131" w:name="_Toc201260118"/>
      <w:bookmarkEnd w:id="131"/>
    </w:p>
    <w:p w14:paraId="7F3C0E50" w14:textId="77777777" w:rsidR="00B611D1" w:rsidRDefault="00FB7689">
      <w:pPr>
        <w:pStyle w:val="Titre5"/>
        <w:numPr>
          <w:ilvl w:val="4"/>
          <w:numId w:val="8"/>
        </w:numPr>
        <w:spacing w:line="360" w:lineRule="auto"/>
        <w:rPr>
          <w:rFonts w:asciiTheme="majorBidi" w:hAnsiTheme="majorBidi" w:cstheme="majorBidi" w:hint="default"/>
          <w:sz w:val="24"/>
          <w:szCs w:val="24"/>
          <w:lang w:val="fr-FR"/>
        </w:rPr>
      </w:pPr>
      <w:bookmarkStart w:id="132" w:name="_Toc201260119"/>
      <w:r>
        <w:rPr>
          <w:rFonts w:asciiTheme="majorBidi" w:hAnsiTheme="majorBidi" w:cstheme="majorBidi" w:hint="default"/>
          <w:sz w:val="24"/>
          <w:szCs w:val="24"/>
          <w:lang w:val="fr-FR"/>
        </w:rPr>
        <w:t>Utilisation inappropriée et excessive des antibiotiques</w:t>
      </w:r>
      <w:bookmarkEnd w:id="132"/>
    </w:p>
    <w:p w14:paraId="3DFE0E05" w14:textId="77777777" w:rsidR="00B611D1" w:rsidRDefault="00FB7689">
      <w:pPr>
        <w:spacing w:after="200" w:line="360" w:lineRule="auto"/>
        <w:jc w:val="both"/>
        <w:rPr>
          <w:rFonts w:eastAsia="TimesNewRomanPS-BoldMT"/>
          <w:b/>
          <w:bCs/>
          <w:lang w:val="fr-FR" w:eastAsia="zh-CN"/>
        </w:rPr>
      </w:pPr>
      <w:r>
        <w:rPr>
          <w:rFonts w:eastAsia="SimSun"/>
          <w:lang w:val="fr-FR" w:eastAsia="zh-CN" w:bidi="ar"/>
        </w:rPr>
        <w:t>l</w:t>
      </w:r>
      <w:r>
        <w:rPr>
          <w:rFonts w:eastAsia="SimSun"/>
          <w:lang w:val="fr-FR" w:eastAsia="zh-CN"/>
        </w:rPr>
        <w:t>’utilisation inadéquate et excessive des antibiotiques, représente un facteur critique dans l’émergence de souches bactériennes résistantes</w:t>
      </w:r>
      <w:r>
        <w:rPr>
          <w:rFonts w:eastAsia="Calibri"/>
          <w:b/>
          <w:bCs/>
          <w:lang w:val="fr" w:bidi="ar"/>
        </w:rPr>
        <w:fldChar w:fldCharType="begin"/>
      </w:r>
      <w:r>
        <w:rPr>
          <w:rFonts w:eastAsia="Calibri"/>
          <w:b/>
          <w:bCs/>
          <w:lang w:val="fr" w:bidi="ar"/>
        </w:rPr>
        <w:instrText xml:space="preserve"> ADDIN ZOTERO_ITEM CSL_CITATION {"citationID":"q2NpMQIG","properties":{"formattedCitation":"(Michael et al., 2014)","plainCitation":"(Michael et al., 2014)","noteIndex":0},"citationItems":[{"id":184,"uris":["http://zotero.org/users/16279382/items/JX4QERWQ"],"itemData":{"id":184,"type":"article-journal","abstract":"The Antimicrobial Resistance (AMR) crisis is the increasing global incidence of infectious diseases affecting the human population, which are untreatable with any known antimicrobial agent. This crisis will have a devastating cost on human society as both debilitating and lethal diseases increase in frequency and scope. Three major factors determine this crisis: 1/ The increasing frequency of AMR phenotypes amongst microbes is an evolutionary response to the widespread use of antimicrobials. 2/ The large and globally connected human population allows pathogens in any environment access to all of humanity. 3/ The extensive and often unnecessary use of antimicrobials by humanity provides the strong selective pressure that is driving the evolutionary response in the microbial world. Of these factors, the size of the human population is least amenable to rapid change. In contrast the remaining two factors may be affected, so offering a means of managing the crisis: The rate at which AMR, as well as virulence factors evolve in microbial world may be slowed by reducing the applied selective pressure. This may be accomplished by radically reducing the global use of current and prospective antimicrobials. Current management measures to legislate the use of antimicrobials and to educate the healthcare world in the issues, while useful, have not comprehensively addressed the problem of achieving an overall reduction in the human use of antimicrobials. We propose that in addition to current measures and increased research into new antimicrobials and diagnostics, a comprehensive education programme will be required to change the public paradigm of antimicrobial usage from that of a first line treatment to that of a last resort when all other therapeutic options have failed.","container-title":"Frontiers in Public Health","DOI":"10.3389/fpubh.2014.00145","ISSN":"2296-2565","journalAbbreviation":"Front. Public Health","language":"English","note":"publisher: Frontiers","source":"Frontiers","title":"The Antimicrobial Resistance Crisis: Causes, Consequences, and Management","title-short":"The Antimicrobial Resistance Crisis","URL":"https://www.frontiersin.org/journals/public-health/articles/10.3389/fpubh.2014.00145/full","volume":"2","author":[{"family":"Michael","given":"Carolyn Anne"},{"family":"Dominey-Howes","given":"Dale"},{"family":"Labbate","given":"Maurizio"}],"accessed":{"date-parts":[["2025",5,24]]},"issued":{"date-parts":[["2014",9,16]]}}}],"schema":"https://github.com/citation-style-language/schema/raw/master/csl-citation.json"}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(Michael </w:t>
      </w:r>
      <w:r>
        <w:rPr>
          <w:rFonts w:eastAsia="Calibri"/>
          <w:b/>
          <w:bCs/>
          <w:i/>
          <w:iCs/>
          <w:szCs w:val="22"/>
          <w:lang w:val="fr" w:bidi="ar"/>
        </w:rPr>
        <w:t>et al</w:t>
      </w:r>
      <w:r>
        <w:rPr>
          <w:rFonts w:eastAsia="Calibri"/>
          <w:b/>
          <w:bCs/>
          <w:szCs w:val="22"/>
          <w:lang w:val="fr" w:bidi="ar"/>
        </w:rPr>
        <w:t>., 2014)</w:t>
      </w:r>
      <w:r>
        <w:rPr>
          <w:rFonts w:eastAsia="Calibri"/>
          <w:b/>
          <w:bCs/>
          <w:lang w:val="fr" w:bidi="ar"/>
        </w:rPr>
        <w:fldChar w:fldCharType="end"/>
      </w:r>
      <w:r>
        <w:rPr>
          <w:rFonts w:eastAsia="Calibri"/>
          <w:b/>
          <w:bCs/>
          <w:lang w:val="fr" w:bidi="ar"/>
        </w:rPr>
        <w:t>.</w:t>
      </w:r>
      <w:r>
        <w:rPr>
          <w:rFonts w:eastAsia="Calibri"/>
          <w:b/>
          <w:bCs/>
          <w:lang w:val="fr-FR" w:bidi="ar"/>
        </w:rPr>
        <w:t xml:space="preserve"> </w:t>
      </w:r>
      <w:r>
        <w:rPr>
          <w:rFonts w:eastAsia="SimSun"/>
          <w:lang w:val="fr-FR" w:eastAsia="zh-CN"/>
        </w:rPr>
        <w:t xml:space="preserve">Cela inclut l’administration systématique sans justification précise, ainsi que des traitements prolongés, créant une pression sélective qui favorise la survie des bactéries résistantes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{"citationID":"RtLR1kAy","properties":{"formattedCitation":"(Li &amp; Webster, 2018)","plainCitation":"(Li &amp; Webster, 2018)","noteIndex":0},"citationItems":[{"id":166,"uris":["http://zotero.org/users/16279382/items/LG9B34YV"],"itemData":{"id":166,"type":"article-journal","abstract":"There has been a dramatic increase in the emergence of antibiotic-resistant bacterial strains, which has made antibiotic choices for infection control increasingly limited and more expensive. In the U.S. alone, antibiotic-resistant bacteria cause at least 2 million infections and 23,000 deaths a year resulting in a $55–70 billion per year economic impact. Antibiotics are critical to the success of surgical procedures including orthopedic prosthetic surgeries, and antibiotic resistance is occurring in nearly all bacteria that infect people, including the most common bacteria that cause orthopedic infections, such as Staphylococcus aureus (S. aureus). Most clinical cases of orthopedic surgeries have shown that patients infected with antibiotic-resistant bacteria, such as methicillin-resistant S. aureus (MRSA), are associated with increased morbidity and mortality. This paper reviews the severity of antibiotic resistance at the global scale, the consequences of antibiotic resistance, and the pathways bacteria used to develop antibiotic resistance. It highlights the opportunities and challenges in limiting antibiotic resistance through approaches like the development of novel, non-drug approaches to reduce bacteria functions related to orthopedic implant-associated infections. © 2017 Orthopaedic Research Society. Published by Wiley Periodicals, Inc. J Orthop Res 36:22–32, 2018.","container-title":"Journal of Orthopaedic Research","DOI":"10.1002/jor.23656","ISSN":"1554-527X","issue":"1","language":"en","license":"© 2017 Orthopaedic Research Society. Published by Wiley Periodicals, Inc.","note":"_eprint: https://onlinelibrary.wiley.com/doi/pdf/10.1002/jor.23656","page":"22-32","source":"Wiley Online Library","title":"Bacteria antibiotic resistance: New challenges and opportunities for implant-associated orthopedic infections","title-short":"Bacteria antibiotic resistance","volume":"36","author":[{"family":"Li","given":"Bingyun"},{"family":"Webster","given":"Thomas J."}],"issued":{"date-parts":[["2018"]]}}}],"schema":"https://github.com/citation-style-language/schema/raw/master/csl-citation.json"}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(Li &amp; Webster, 2018)</w:t>
      </w:r>
      <w:r>
        <w:rPr>
          <w:rFonts w:eastAsia="Calibri"/>
          <w:b/>
          <w:bCs/>
          <w:kern w:val="2"/>
          <w:lang w:val="fr" w:eastAsia="zh-CN" w:bidi="ar"/>
        </w:rPr>
        <w:fldChar w:fldCharType="end"/>
      </w:r>
      <w:r>
        <w:rPr>
          <w:rFonts w:eastAsia="Calibri"/>
          <w:b/>
          <w:bCs/>
          <w:kern w:val="2"/>
          <w:lang w:val="fr-FR" w:eastAsia="zh-CN" w:bidi="ar"/>
        </w:rPr>
        <w:t>.</w:t>
      </w:r>
    </w:p>
    <w:p w14:paraId="566CB280" w14:textId="77777777" w:rsidR="00B611D1" w:rsidRDefault="00FB7689">
      <w:pPr>
        <w:pStyle w:val="Titre5"/>
        <w:numPr>
          <w:ilvl w:val="4"/>
          <w:numId w:val="8"/>
        </w:numPr>
        <w:rPr>
          <w:rFonts w:asciiTheme="majorBidi" w:hAnsiTheme="majorBidi" w:cstheme="majorBidi" w:hint="default"/>
          <w:sz w:val="24"/>
          <w:szCs w:val="24"/>
          <w:lang w:val="fr-FR"/>
        </w:rPr>
      </w:pPr>
      <w:bookmarkStart w:id="133" w:name="_Toc201260120"/>
      <w:r>
        <w:rPr>
          <w:rFonts w:asciiTheme="majorBidi" w:hAnsiTheme="majorBidi" w:cstheme="majorBidi" w:hint="default"/>
          <w:sz w:val="24"/>
          <w:szCs w:val="24"/>
          <w:lang w:val="fr-FR" w:bidi="ar"/>
        </w:rPr>
        <w:t>Conditions socio-économique défavorables</w:t>
      </w:r>
      <w:bookmarkEnd w:id="133"/>
    </w:p>
    <w:p w14:paraId="2308CCCA" w14:textId="77777777" w:rsidR="00B611D1" w:rsidRDefault="00FB7689">
      <w:pPr>
        <w:spacing w:after="200" w:line="360" w:lineRule="auto"/>
        <w:jc w:val="both"/>
        <w:rPr>
          <w:rFonts w:eastAsia="Calibri"/>
          <w:b/>
          <w:bCs/>
          <w:kern w:val="2"/>
          <w:lang w:val="fr" w:eastAsia="zh-CN" w:bidi="ar"/>
        </w:rPr>
      </w:pPr>
      <w:r>
        <w:rPr>
          <w:rFonts w:eastAsia="Calibri"/>
          <w:kern w:val="2"/>
          <w:lang w:val="fr" w:eastAsia="zh-CN" w:bidi="ar"/>
        </w:rPr>
        <w:t xml:space="preserve">La pauvreté, le faible niveau d'éducation, l'accès limité aux soins de santé et l’absence de systèmes de régulation efficaces sont des facteurs majeurs contribuant à la propagation de la résistance antimicrobienne. Le recours fréquent à l'automédication, souvent motivé par des contraintes économiques ou par le manque de professionnels de santé qualifiés, aggrave cette situation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{"citationID":"m8yDGuvF","properties":{"formattedCitation":"(Kapatsa et al., 2025)","plainCitation":"(Kapatsa et al., 2025)","noteIndex":0},"citationItems":[{"id":170,"uris":["http://zotero.org/users/16279382/items/KYXVP99E"],"itemData":{"id":170,"type":"article-journal","abstract":"Antimicrobial resistance (AMR) is currently one of the twenty-first century’s biggest threats to public health. Addressing AMR is often operationalized as requiring ‘behavior change’ of clinicians and patients and improving the drug development pipeline. Few studies and interventions have approached AMR as a challenge fundamentally embedded within the cultural fabric of modern societies and their varied economic, social and political organizations. This systematic review aimed to gather and review the available data on the behavioral and socio-economic determinants of AMR in sub-Saharan Africa (SSA). Articles were sourced from PubMed using search terms across five domains: “Antimicrobial resistance”, “Sub-Saharan Africa”, “Behavioral”, “Socio-economic”, and specific SSA country names. References were also reviewed for relevant data. This systematic review included original studies published in English between 2015 and 2023, focusing on behavioral and socio-economic factors influencing AMR in human populations in SSA, with AMR as a key outcome. This systematic review identified 30 studies, with 83% (n=25) focusing on self-medication and antibiotic use practices, 67% (n=20) on healthcare providers’ practices and knowledge, and 60% (n=18) on community knowledge and perceptions of AMR while 50% (n=15) of studies explored various socio-economic factors. The common themes that emerged from these studies included inadequate evidence-based prescription practices (63%, n=19), financial barriers to accessing antibiotics (50%, n=15), poor community awareness of AMR (53%, n=16), regulatory challenges in antibiotic sales and distribution (47%, n=14), and healthcare infrastructure limitations, including deficient diagnostic capabilities and antimicrobial stewardship programs (40%, n=12). This review’s findings provide crucial insights into the behavioral and socioeconomic patterns influencing AMR in sub-Saharan African populations. For AMR interventions to be effective, there is a need for a thorough understanding of people’s behaviors and practices about AMR knowledge and antimicrobial use which will help in developing more targeted interventions and policies to address inappropriate antimicrobial use and the spread of AMR.","container-title":"Infection and Drug Resistance","DOI":"10.2147/IDR.S503730","ISSN":"null","note":"publisher: Dove Medical Press\n_eprint: https://www.tandfonline.com/doi/pdf/10.2147/IDR.S503730","page":"855-873","source":"Taylor and Francis+NEJM","title":"Behavioral and Socio-Economic Determinants of Antimicrobial Resistance in Sub-Saharan Africa: A Systematic Review","title-short":"Behavioral and Socio-Economic Determinants of Antimicrobial Resistance in Sub-Saharan Africa","volume":"18","author":[{"family":"Kapatsa","given":"Thandizo"},{"family":"","given":"Lubanga ,Adriano Focus"},{"family":"","given":"Bwanali ,Akim N"},{"family":"","given":"Harawa ,Gracian"},{"family":"","given":"Mudenda ,Steward"},{"family":"","given":"Chipewa ,Pascal C"},{"family":"","given":"Kamayani ,Mapeesho"},{"family":"","given":"Makole ,Tumaini John"},{"family":"","given":"Ali ,Abdisalam Yusuf"},{"family":"","given":"Mohamed ,Abdullahi Abdirasak"},{"family":"","given":"Tae Youn ,Kim"},{"family":"","given":"Kim ,Lorie"},{"family":"","given":"Daniel ,Won D"},{"family":"","given":"Kim ,Matthew"},{"family":"","given":"Chehab ,Tarek Emir"},{"family":"Nyirenda","given":"Thomas","non-dropping-particle":"and"}],"issued":{"date-parts":[["2025",12,31]]}}}],"schema":"https://github.com/citation-style-language/schema/raw/master/csl-citation.json"}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 xml:space="preserve">(Kapatsa </w:t>
      </w:r>
      <w:r>
        <w:rPr>
          <w:rFonts w:eastAsia="Calibri"/>
          <w:b/>
          <w:bCs/>
          <w:i/>
          <w:iCs/>
          <w:kern w:val="2"/>
          <w:szCs w:val="22"/>
          <w:lang w:val="fr" w:eastAsia="zh-CN" w:bidi="ar"/>
        </w:rPr>
        <w:t>et al</w:t>
      </w:r>
      <w:r>
        <w:rPr>
          <w:rFonts w:eastAsia="Calibri"/>
          <w:b/>
          <w:bCs/>
          <w:kern w:val="2"/>
          <w:szCs w:val="22"/>
          <w:lang w:val="fr" w:eastAsia="zh-CN" w:bidi="ar"/>
        </w:rPr>
        <w:t>., 2025)</w:t>
      </w:r>
      <w:r>
        <w:rPr>
          <w:rFonts w:eastAsia="Calibri"/>
          <w:b/>
          <w:bCs/>
          <w:kern w:val="2"/>
          <w:lang w:val="fr" w:eastAsia="zh-CN" w:bidi="ar"/>
        </w:rPr>
        <w:fldChar w:fldCharType="end"/>
      </w:r>
      <w:r>
        <w:rPr>
          <w:rFonts w:eastAsia="Calibri"/>
          <w:b/>
          <w:bCs/>
          <w:kern w:val="2"/>
          <w:lang w:val="fr" w:eastAsia="zh-CN" w:bidi="ar"/>
        </w:rPr>
        <w:t>.</w:t>
      </w:r>
    </w:p>
    <w:p w14:paraId="23A537A1" w14:textId="77777777" w:rsidR="00B611D1" w:rsidRDefault="00B611D1">
      <w:pPr>
        <w:spacing w:after="200" w:line="360" w:lineRule="auto"/>
        <w:jc w:val="both"/>
        <w:rPr>
          <w:rFonts w:eastAsia="Calibri"/>
          <w:b/>
          <w:bCs/>
          <w:kern w:val="2"/>
          <w:lang w:val="fr" w:eastAsia="zh-CN" w:bidi="ar"/>
        </w:rPr>
      </w:pPr>
    </w:p>
    <w:p w14:paraId="1453D197" w14:textId="77777777" w:rsidR="00B611D1" w:rsidRDefault="00B611D1">
      <w:pPr>
        <w:spacing w:after="200" w:line="360" w:lineRule="auto"/>
        <w:jc w:val="both"/>
        <w:rPr>
          <w:rFonts w:eastAsia="Calibri"/>
          <w:b/>
          <w:bCs/>
          <w:kern w:val="2"/>
          <w:lang w:val="fr" w:eastAsia="zh-CN" w:bidi="ar"/>
        </w:rPr>
      </w:pPr>
    </w:p>
    <w:p w14:paraId="6E9C46E0" w14:textId="77777777" w:rsidR="00B611D1" w:rsidRDefault="00FB7689">
      <w:pPr>
        <w:pStyle w:val="Titre5"/>
        <w:numPr>
          <w:ilvl w:val="4"/>
          <w:numId w:val="8"/>
        </w:numPr>
        <w:rPr>
          <w:rFonts w:asciiTheme="majorBidi" w:hAnsiTheme="majorBidi" w:cstheme="majorBidi" w:hint="default"/>
          <w:sz w:val="24"/>
          <w:szCs w:val="24"/>
          <w:lang w:val="fr-FR"/>
        </w:rPr>
      </w:pPr>
      <w:bookmarkStart w:id="134" w:name="_Toc201260121"/>
      <w:r>
        <w:rPr>
          <w:rFonts w:asciiTheme="majorBidi" w:hAnsiTheme="majorBidi" w:cstheme="majorBidi" w:hint="default"/>
          <w:sz w:val="24"/>
          <w:szCs w:val="24"/>
          <w:lang w:val="fr-FR" w:bidi="ar"/>
        </w:rPr>
        <w:t>Utilisation d'antibiotiques dans l'agriculture</w:t>
      </w:r>
      <w:bookmarkEnd w:id="134"/>
    </w:p>
    <w:p w14:paraId="7C57E1FA" w14:textId="77777777" w:rsidR="00B611D1" w:rsidRDefault="00FB7689">
      <w:pPr>
        <w:spacing w:after="200" w:line="360" w:lineRule="auto"/>
        <w:jc w:val="both"/>
        <w:rPr>
          <w:b/>
          <w:bCs/>
          <w:lang w:val="fr"/>
        </w:rPr>
      </w:pPr>
      <w:r>
        <w:rPr>
          <w:rFonts w:eastAsia="Calibri"/>
          <w:kern w:val="2"/>
          <w:lang w:val="fr" w:eastAsia="zh-CN" w:bidi="ar"/>
        </w:rPr>
        <w:t xml:space="preserve">L'utilisation d'antibiotiques comme agents de croissance dans l'élevage d'animaux favorise l’émergence de bactéries résistantes. Ces bactéries peuvent ensuite être transmises à l'homme via la chaîne alimentaire ou l'environnement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{"citationID":"6mTQC5lk","properties":{"formattedCitation":"(Ventola, 2015)","plainCitation":"(Ventola, 2015)","noteIndex":0},"citationItems":[{"id":172,"uris":["http://zotero.org/users/16279382/items/T5ARMER9"],"itemData":{"id":172,"type":"article-journal","abstract":"Decades after the first patients were treated with antibiotics, bacterial infections have again become a threat because of the rapid emergence of resistant bacteria—a crisis attributed to abuse of these medications and a lack of new drug development.","container-title":"Pharmacy and Therapeutics","ISSN":"1052-1372","issue":"4","journalAbbreviation":"P T","note":"PMID: 25859123\nPMCID: PMC4378521","page":"277-283","source":"PubMed Central","title":"The Antibiotic Resistance Crisis","volume":"40","author":[{"family":"Ventola","given":"C. Lee"}],"issued":{"date-parts":[["2015",4]]}}}],"schema":"https://github.com/citation-style-language/schema/raw/master/csl-citation.json"}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(Ventola, 2015)</w:t>
      </w:r>
      <w:r>
        <w:rPr>
          <w:rFonts w:eastAsia="Calibri"/>
          <w:b/>
          <w:bCs/>
          <w:kern w:val="2"/>
          <w:lang w:val="fr" w:eastAsia="zh-CN" w:bidi="ar"/>
        </w:rPr>
        <w:fldChar w:fldCharType="end"/>
      </w:r>
      <w:r>
        <w:rPr>
          <w:rFonts w:eastAsia="Calibri"/>
          <w:b/>
          <w:bCs/>
          <w:kern w:val="2"/>
          <w:lang w:val="fr" w:eastAsia="zh-CN" w:bidi="ar"/>
        </w:rPr>
        <w:t>.</w:t>
      </w:r>
    </w:p>
    <w:p w14:paraId="52853585" w14:textId="77777777" w:rsidR="00B611D1" w:rsidRDefault="00FB7689">
      <w:pPr>
        <w:pStyle w:val="Titre5"/>
        <w:numPr>
          <w:ilvl w:val="4"/>
          <w:numId w:val="8"/>
        </w:numPr>
        <w:rPr>
          <w:rFonts w:asciiTheme="majorBidi" w:hAnsiTheme="majorBidi" w:cstheme="majorBidi" w:hint="default"/>
          <w:sz w:val="24"/>
          <w:szCs w:val="24"/>
          <w:lang w:val="fr-FR"/>
        </w:rPr>
      </w:pPr>
      <w:bookmarkStart w:id="135" w:name="_Toc201260122"/>
      <w:r>
        <w:rPr>
          <w:rFonts w:asciiTheme="majorBidi" w:hAnsiTheme="majorBidi" w:cstheme="majorBidi" w:hint="default"/>
          <w:sz w:val="24"/>
          <w:szCs w:val="24"/>
          <w:lang w:val="fr-FR"/>
        </w:rPr>
        <w:t>Transmission horizontale de gènes de résistance</w:t>
      </w:r>
      <w:bookmarkEnd w:id="135"/>
      <w:r>
        <w:rPr>
          <w:rFonts w:asciiTheme="majorBidi" w:hAnsiTheme="majorBidi" w:cstheme="majorBidi" w:hint="default"/>
          <w:sz w:val="24"/>
          <w:szCs w:val="24"/>
          <w:lang w:val="fr-FR"/>
        </w:rPr>
        <w:t xml:space="preserve"> </w:t>
      </w:r>
    </w:p>
    <w:p w14:paraId="5B631957" w14:textId="77777777" w:rsidR="00B611D1" w:rsidRDefault="00FB7689">
      <w:pPr>
        <w:spacing w:line="360" w:lineRule="auto"/>
        <w:jc w:val="both"/>
        <w:rPr>
          <w:lang w:val="fr-FR"/>
        </w:rPr>
      </w:pPr>
      <w:r>
        <w:rPr>
          <w:rFonts w:eastAsia="TimesNewRomanPS-BoldMT"/>
          <w:lang w:val="fr-FR" w:eastAsia="zh-CN"/>
        </w:rPr>
        <w:t xml:space="preserve">Les bactéries peuvent acquérir des gènes de résistance via des éléments génétiques mobiles tels que les plasmides, ce qui accélère la propagation de la résistance entre différentes souches. </w:t>
      </w:r>
      <w:r>
        <w:rPr>
          <w:rFonts w:eastAsia="SimSun"/>
          <w:lang w:val="fr-FR" w:eastAsia="zh-CN" w:bidi="ar"/>
        </w:rPr>
        <w:t xml:space="preserve">Cette transmission peut se produire dans divers environnements, y compris les hôpitaux, les communautés et les élevages </w:t>
      </w:r>
      <w:r>
        <w:rPr>
          <w:rFonts w:eastAsia="Calibri"/>
          <w:b/>
          <w:bCs/>
          <w:lang w:val="fr" w:bidi="ar"/>
        </w:rPr>
        <w:t xml:space="preserve"> </w:t>
      </w:r>
      <w:r>
        <w:rPr>
          <w:rFonts w:eastAsia="Calibri"/>
          <w:b/>
          <w:bCs/>
          <w:lang w:val="fr" w:bidi="ar"/>
        </w:rPr>
        <w:fldChar w:fldCharType="begin"/>
      </w:r>
      <w:r>
        <w:rPr>
          <w:rFonts w:eastAsia="Calibri"/>
          <w:b/>
          <w:bCs/>
          <w:lang w:val="fr" w:bidi="ar"/>
        </w:rPr>
        <w:instrText xml:space="preserve"> ADDIN ZOTERO_ITEM CSL_CITATION {"citationID":"Na5UUyhO","properties":{"formattedCitation":"(Pot, 2021)","plainCitation":"(Pot, 2021)","noteIndex":0},"citationItems":[{"id":174,"uris":["http://zotero.org/users/16279382/items/WTYD4AB7"],"itemData":{"id":174,"type":"thesis","abstract":"L’assainissement collectif des eaux usées est une étape cruciale dans le cycle d’utilisation de l’eau par l’homme. Le traitement final en station d’épuration doit répondre à diverses exigences afin de limiter au maximum les perturbations de l’environnement aquatique récepteur. Dans ce cadre, la réglementation nationale et la surveillance des performances des process d’épuration n’impliquent pas la recherche et le suivi des bactéries multirésistantes aux antibiotiques. Ces germes sont pour la plupart inféodés à l’homme et ils représentent aujourd’hui un problème de santé publique mondial. De nombreuses études suggèrent que les eaux usées ont un rôle important dans leur propagation environnementale. Afin de mieux comprendre et décrire cette diffusion, nous avons effectué un suivi de souches infectieuses et multirésistantes des effluents du centre hospitalier de Guadeloupe jusqu’à la station associée. Des prélèvements au sein de la faune sauvage et domestique autour du process d’épuration ont aussi été réalisés pour évaluer ce portage. Par une analyse génomique et phylogénétique nous avons démontré que ce site était un « hot-spot » de la diffusion de résistance. En effet, de nombreux animaux portaient des lignées multirésistantes initialement retrouvées chez l’homme à l’hôpital. De plus, une approche par séquençage « long-reads » a souligné que des plasmides de résistance spécifiques circulaient entre différentes espèces d’entérobactéries. Ce projet de type « One-Health » nous a permis de souligner l’importance de mieux considérer la problématique des bactéries résistantes aux antibiotiques dans les stations d’épuration et aux alentours.","genre":"These de doctorat","license":"Licence Etalab","publisher":"Antilles","source":"theses.fr","title":"Echanges de gènes de résistance entre bactéries de différents biotopes","URL":"https://theses.fr/2021ANTI0648","author":[{"family":"Pot","given":"Matthieu"}],"contributor":[{"family":"Talarmin","given":"Antoine"},{"family":"Guyomard Rabenirina","given":"Stephanie"}],"accessed":{"date-parts":[["2025",5,23]]},"issued":{"date-parts":[["2021",12,1]]}}}],"schema":"https://github.com/citation-style-language/schema/raw/master/csl-citation.json"} </w:instrText>
      </w:r>
      <w:r>
        <w:rPr>
          <w:rFonts w:eastAsia="Calibri"/>
          <w:b/>
          <w:bCs/>
          <w:lang w:val="fr" w:bidi="ar"/>
        </w:rPr>
        <w:fldChar w:fldCharType="separate"/>
      </w:r>
      <w:r>
        <w:rPr>
          <w:rFonts w:eastAsia="Calibri"/>
          <w:b/>
          <w:bCs/>
          <w:szCs w:val="22"/>
          <w:lang w:val="fr" w:bidi="ar"/>
        </w:rPr>
        <w:t>(Pot, 2021)</w:t>
      </w:r>
      <w:r>
        <w:rPr>
          <w:rFonts w:eastAsia="Calibri"/>
          <w:b/>
          <w:bCs/>
          <w:lang w:val="fr" w:bidi="ar"/>
        </w:rPr>
        <w:fldChar w:fldCharType="end"/>
      </w:r>
    </w:p>
    <w:p w14:paraId="03CFF946" w14:textId="77777777" w:rsidR="00B611D1" w:rsidRDefault="00FB7689">
      <w:pPr>
        <w:pStyle w:val="Titre5"/>
        <w:numPr>
          <w:ilvl w:val="4"/>
          <w:numId w:val="8"/>
        </w:numPr>
        <w:rPr>
          <w:rFonts w:ascii="Times New Roman" w:hAnsi="Times New Roman" w:hint="default"/>
          <w:sz w:val="24"/>
          <w:szCs w:val="24"/>
          <w:lang w:val="fr-FR"/>
        </w:rPr>
      </w:pPr>
      <w:bookmarkStart w:id="136" w:name="_Toc201260123"/>
      <w:r>
        <w:rPr>
          <w:rFonts w:ascii="Times New Roman" w:hAnsi="Times New Roman" w:hint="default"/>
          <w:sz w:val="24"/>
          <w:szCs w:val="24"/>
          <w:lang w:val="fr-FR"/>
        </w:rPr>
        <w:t>Manque d'accès à des antibiotiques de qualité</w:t>
      </w:r>
      <w:bookmarkEnd w:id="136"/>
      <w:r>
        <w:rPr>
          <w:rFonts w:ascii="Times New Roman" w:hAnsi="Times New Roman" w:hint="default"/>
          <w:sz w:val="24"/>
          <w:szCs w:val="24"/>
          <w:lang w:val="fr-FR"/>
        </w:rPr>
        <w:t xml:space="preserve"> </w:t>
      </w:r>
    </w:p>
    <w:p w14:paraId="5C9A9DA9" w14:textId="77777777" w:rsidR="00B611D1" w:rsidRDefault="00FB7689">
      <w:pPr>
        <w:spacing w:line="360" w:lineRule="auto"/>
        <w:jc w:val="both"/>
        <w:rPr>
          <w:rFonts w:eastAsia="Calibri"/>
          <w:b/>
          <w:bCs/>
          <w:lang w:val="fr-FR" w:bidi="ar"/>
        </w:rPr>
      </w:pPr>
      <w:r>
        <w:rPr>
          <w:rFonts w:eastAsia="TimesNewRomanPS-BoldMT"/>
          <w:lang w:val="fr-FR" w:eastAsia="zh-CN"/>
        </w:rPr>
        <w:t xml:space="preserve"> La présence de médicaments contrefaits ou de mauvaise qualité sur le marché peut entraîner des échecs thérapeutiques et favoriser le développement de la résistance </w:t>
      </w:r>
      <w:r>
        <w:rPr>
          <w:rFonts w:eastAsia="Calibri"/>
          <w:b/>
          <w:bCs/>
          <w:lang w:val="fr" w:bidi="ar"/>
        </w:rPr>
        <w:fldChar w:fldCharType="begin"/>
      </w:r>
      <w:r>
        <w:rPr>
          <w:rFonts w:eastAsia="Calibri"/>
          <w:b/>
          <w:bCs/>
          <w:lang w:val="fr" w:bidi="ar"/>
        </w:rPr>
        <w:instrText xml:space="preserve"> ADDIN ZOTERO_ITEM CSL_CITATION {"citationID":"ESv53MWd","properties":{"formattedCitation":"(Zabala et al., 2022)","plainCitation":"(Zabala et al., 2022)","noteIndex":0},"citationItems":[{"id":175,"uris":["http://zotero.org/users/16279382/items/K78IZ9N9"],"itemData":{"id":175,"type":"article-journal","abstract":"Objectives Antimicrobial resistance (AMR) is a significant global health threat with substandard and falsified (SF) antibiotics being neglected contributing factors. With their relationships poorly understood, more research is needed in order to determine how interventions to reduce SF antibiotics should be ranked as priorities in national AMR action plans. We assessed the evidence available on the global prevalence of SF antibiotics, examined the quality of the evidence and discussed public health impact.Materials/Methods We searched PubMed, Embase, Google and Google Scholar for publications on antibiotic quality up to 31 December 2020. Publications reporting on the prevalence of SF antibiotics were evaluated for quantitative analysis and assessed using the Medicines Quality Assessment Reporting Guidelines.Results Of the 10 137 screened publications, 648 were relevant to antibiotic quality. One hundred and six (16.4%) surveys, published between 1992 and 2020 and conducted mainly in low-income and middle-income countries (LMICs) (89.9% (480/534) of the data points), qualified for quantitative analysis. The total number of samples tested for quality in prevalence surveys was 13 555, with a median (Q1–Q3) number of samples per survey of 47 (21–135). Of the 13 555 samples, 2357 (17.4%) failed at least one quality test and the median failure frequency (FF) per survey was 19.6% (7.6%–35.0%). Amoxicillin, sulfamethoxazole-trimethoprim and ciprofloxacin were the most surveyed antibiotics, with FF of 16.1% (355/2208), 26.2% (329/1255) and 10.4% (366/3511), respectively. We identified no SF survey data for antibiotics in the WHO ‘Reserve’ group. The mean Medicine Quality Assessment Reporting Guidelines score was 11 (95% CI 10.1 to 12.2) out of 26.Conclusions SF antibiotics are widely spread with higher prevalence in LMICs. The quality of the evidence is poor, and these data are not generalisable that 17.4% of global antibiotic supply is SF. However, the evidence we have suggests that interventions to enhance regulatory, purchasing and financial mechanisms to improve the global antibiotic supply are needed.PROSPERO registration number CRD42019124988.","container-title":"BMJ Global Health","DOI":"10.1136/bmjgh-2022-008587","ISSN":"2059-7908","issue":"8","journalAbbreviation":"BMJ Glob Health","language":"en","license":"This is an open access article distributed in accordance with the Creative Commons Attribution 4.0 Unported (CC BY 4.0) license","note":"publisher: BMJ Publishing Group Ltd\nPMID: 10.1136/bmjgh-2022-008587","source":"gh.bmj.com","title":"Substandard and falsified antibiotics: neglected drivers of antimicrobial resistance?","title-short":"Substandard and falsified antibiotics","URL":"https://gh.bmj.com/content/7/8/e008587","volume":"7","author":[{"family":"Zabala","given":"Guillermo A."},{"family":"Bellingham","given":"Khonsavath"},{"family":"Vidhamaly","given":"Vayouly"},{"family":"Boupha","given":"Phonepasith"},{"family":"Boutsamay","given":"Kem"},{"family":"Newton","given":"Paul N."},{"family":"Caillet","given":"Céline"}],"accessed":{"date-parts":[["2025",5,23]]},"issued":{"date-parts":[["2022",8,18]]}}}],"schema":"https://github.com/citation-style-language/schema/raw/master/csl-citation.json"}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(Zabala </w:t>
      </w:r>
      <w:r>
        <w:rPr>
          <w:rFonts w:eastAsia="Calibri"/>
          <w:b/>
          <w:bCs/>
          <w:i/>
          <w:iCs/>
          <w:szCs w:val="22"/>
          <w:lang w:val="fr" w:bidi="ar"/>
        </w:rPr>
        <w:t>et al</w:t>
      </w:r>
      <w:r>
        <w:rPr>
          <w:rFonts w:eastAsia="Calibri"/>
          <w:b/>
          <w:bCs/>
          <w:szCs w:val="22"/>
          <w:lang w:val="fr" w:bidi="ar"/>
        </w:rPr>
        <w:t>., 2022)</w:t>
      </w:r>
      <w:r>
        <w:rPr>
          <w:rFonts w:eastAsia="Calibri"/>
          <w:b/>
          <w:bCs/>
          <w:lang w:val="fr" w:bidi="ar"/>
        </w:rPr>
        <w:fldChar w:fldCharType="end"/>
      </w:r>
      <w:r>
        <w:rPr>
          <w:rFonts w:eastAsia="Calibri"/>
          <w:b/>
          <w:bCs/>
          <w:lang w:val="fr-FR" w:bidi="ar"/>
        </w:rPr>
        <w:t>.</w:t>
      </w:r>
    </w:p>
    <w:p w14:paraId="329F552E" w14:textId="77777777" w:rsidR="00B611D1" w:rsidRDefault="00B611D1">
      <w:pPr>
        <w:pStyle w:val="Paragraphedeliste"/>
        <w:keepNext/>
        <w:keepLines/>
        <w:numPr>
          <w:ilvl w:val="0"/>
          <w:numId w:val="9"/>
        </w:numPr>
        <w:spacing w:before="40" w:line="360" w:lineRule="auto"/>
        <w:outlineLvl w:val="3"/>
        <w:rPr>
          <w:rFonts w:asciiTheme="majorBidi" w:eastAsiaTheme="majorEastAsia" w:hAnsiTheme="majorBidi" w:cstheme="majorBidi"/>
          <w:b/>
          <w:bCs/>
          <w:vanish/>
          <w:lang w:val="fr-FR" w:eastAsia="zh-CN" w:bidi="ar"/>
        </w:rPr>
      </w:pPr>
      <w:bookmarkStart w:id="137" w:name="_Toc201260124"/>
      <w:bookmarkEnd w:id="137"/>
    </w:p>
    <w:p w14:paraId="2593980F" w14:textId="77777777" w:rsidR="00B611D1" w:rsidRDefault="00B611D1">
      <w:pPr>
        <w:pStyle w:val="Paragraphedeliste"/>
        <w:keepNext/>
        <w:keepLines/>
        <w:numPr>
          <w:ilvl w:val="1"/>
          <w:numId w:val="9"/>
        </w:numPr>
        <w:spacing w:before="40" w:line="360" w:lineRule="auto"/>
        <w:outlineLvl w:val="3"/>
        <w:rPr>
          <w:rFonts w:asciiTheme="majorBidi" w:eastAsiaTheme="majorEastAsia" w:hAnsiTheme="majorBidi" w:cstheme="majorBidi"/>
          <w:b/>
          <w:bCs/>
          <w:vanish/>
          <w:lang w:val="fr-FR" w:eastAsia="zh-CN" w:bidi="ar"/>
        </w:rPr>
      </w:pPr>
      <w:bookmarkStart w:id="138" w:name="_Toc201260125"/>
      <w:bookmarkEnd w:id="138"/>
    </w:p>
    <w:p w14:paraId="2A3D42D4" w14:textId="77777777" w:rsidR="00B611D1" w:rsidRDefault="00B611D1">
      <w:pPr>
        <w:pStyle w:val="Paragraphedeliste"/>
        <w:keepNext/>
        <w:keepLines/>
        <w:numPr>
          <w:ilvl w:val="1"/>
          <w:numId w:val="9"/>
        </w:numPr>
        <w:spacing w:before="40" w:line="360" w:lineRule="auto"/>
        <w:outlineLvl w:val="3"/>
        <w:rPr>
          <w:rFonts w:asciiTheme="majorBidi" w:eastAsiaTheme="majorEastAsia" w:hAnsiTheme="majorBidi" w:cstheme="majorBidi"/>
          <w:b/>
          <w:bCs/>
          <w:vanish/>
          <w:lang w:val="fr-FR" w:eastAsia="zh-CN" w:bidi="ar"/>
        </w:rPr>
      </w:pPr>
      <w:bookmarkStart w:id="139" w:name="_Toc201260126"/>
      <w:bookmarkEnd w:id="139"/>
    </w:p>
    <w:p w14:paraId="0B398E85" w14:textId="77777777" w:rsidR="00B611D1" w:rsidRDefault="00B611D1">
      <w:pPr>
        <w:pStyle w:val="Paragraphedeliste"/>
        <w:keepNext/>
        <w:keepLines/>
        <w:numPr>
          <w:ilvl w:val="1"/>
          <w:numId w:val="9"/>
        </w:numPr>
        <w:spacing w:before="40" w:line="360" w:lineRule="auto"/>
        <w:outlineLvl w:val="3"/>
        <w:rPr>
          <w:rFonts w:asciiTheme="majorBidi" w:eastAsiaTheme="majorEastAsia" w:hAnsiTheme="majorBidi" w:cstheme="majorBidi"/>
          <w:b/>
          <w:bCs/>
          <w:vanish/>
          <w:lang w:val="fr-FR" w:eastAsia="zh-CN" w:bidi="ar"/>
        </w:rPr>
      </w:pPr>
      <w:bookmarkStart w:id="140" w:name="_Toc201260127"/>
      <w:bookmarkEnd w:id="140"/>
    </w:p>
    <w:p w14:paraId="3A1D2D14" w14:textId="77777777" w:rsidR="00B611D1" w:rsidRDefault="00B611D1">
      <w:pPr>
        <w:pStyle w:val="Paragraphedeliste"/>
        <w:keepNext/>
        <w:keepLines/>
        <w:numPr>
          <w:ilvl w:val="2"/>
          <w:numId w:val="9"/>
        </w:numPr>
        <w:spacing w:before="40" w:line="360" w:lineRule="auto"/>
        <w:outlineLvl w:val="3"/>
        <w:rPr>
          <w:rFonts w:asciiTheme="majorBidi" w:eastAsiaTheme="majorEastAsia" w:hAnsiTheme="majorBidi" w:cstheme="majorBidi"/>
          <w:b/>
          <w:bCs/>
          <w:vanish/>
          <w:lang w:val="fr-FR" w:eastAsia="zh-CN" w:bidi="ar"/>
        </w:rPr>
      </w:pPr>
      <w:bookmarkStart w:id="141" w:name="_Toc201260128"/>
      <w:bookmarkEnd w:id="141"/>
    </w:p>
    <w:p w14:paraId="0C572AEA" w14:textId="77777777" w:rsidR="00B611D1" w:rsidRDefault="00B611D1">
      <w:pPr>
        <w:pStyle w:val="Paragraphedeliste"/>
        <w:keepNext/>
        <w:keepLines/>
        <w:numPr>
          <w:ilvl w:val="3"/>
          <w:numId w:val="9"/>
        </w:numPr>
        <w:spacing w:before="40" w:line="360" w:lineRule="auto"/>
        <w:outlineLvl w:val="3"/>
        <w:rPr>
          <w:rFonts w:asciiTheme="majorBidi" w:eastAsiaTheme="majorEastAsia" w:hAnsiTheme="majorBidi" w:cstheme="majorBidi"/>
          <w:b/>
          <w:bCs/>
          <w:vanish/>
          <w:lang w:val="fr-FR" w:eastAsia="zh-CN" w:bidi="ar"/>
        </w:rPr>
      </w:pPr>
      <w:bookmarkStart w:id="142" w:name="_Toc201260129"/>
      <w:bookmarkEnd w:id="142"/>
    </w:p>
    <w:p w14:paraId="071613E6" w14:textId="77777777" w:rsidR="00B611D1" w:rsidRDefault="00B611D1">
      <w:pPr>
        <w:pStyle w:val="Paragraphedeliste"/>
        <w:keepNext/>
        <w:keepLines/>
        <w:numPr>
          <w:ilvl w:val="3"/>
          <w:numId w:val="9"/>
        </w:numPr>
        <w:spacing w:before="40" w:line="360" w:lineRule="auto"/>
        <w:outlineLvl w:val="3"/>
        <w:rPr>
          <w:rFonts w:asciiTheme="majorBidi" w:eastAsiaTheme="majorEastAsia" w:hAnsiTheme="majorBidi" w:cstheme="majorBidi"/>
          <w:b/>
          <w:bCs/>
          <w:vanish/>
          <w:lang w:val="fr-FR" w:eastAsia="zh-CN" w:bidi="ar"/>
        </w:rPr>
      </w:pPr>
      <w:bookmarkStart w:id="143" w:name="_Toc201260130"/>
      <w:bookmarkEnd w:id="143"/>
    </w:p>
    <w:p w14:paraId="75061D91" w14:textId="77777777" w:rsidR="00B611D1" w:rsidRDefault="00FB7689">
      <w:pPr>
        <w:pStyle w:val="Titre4"/>
        <w:numPr>
          <w:ilvl w:val="3"/>
          <w:numId w:val="9"/>
        </w:numPr>
        <w:spacing w:line="360" w:lineRule="auto"/>
        <w:rPr>
          <w:rFonts w:asciiTheme="majorBidi" w:eastAsia="Calibri" w:hAnsiTheme="majorBidi"/>
          <w:b/>
          <w:bCs/>
          <w:i w:val="0"/>
          <w:iCs w:val="0"/>
          <w:color w:val="auto"/>
          <w:lang w:val="fr-FR" w:bidi="ar"/>
        </w:rPr>
      </w:pPr>
      <w:bookmarkStart w:id="144" w:name="_Toc201260131"/>
      <w:r>
        <w:rPr>
          <w:rFonts w:asciiTheme="majorBidi" w:hAnsiTheme="majorBidi"/>
          <w:b/>
          <w:bCs/>
          <w:i w:val="0"/>
          <w:iCs w:val="0"/>
          <w:color w:val="auto"/>
          <w:lang w:val="fr-FR" w:eastAsia="zh-CN" w:bidi="ar"/>
        </w:rPr>
        <w:t>Les conséquences de l’antibiorésistance</w:t>
      </w:r>
      <w:bookmarkEnd w:id="144"/>
    </w:p>
    <w:p w14:paraId="06A93AAA" w14:textId="77777777" w:rsidR="00B611D1" w:rsidRDefault="00B611D1">
      <w:pPr>
        <w:pStyle w:val="Paragraphedeliste"/>
        <w:keepNext/>
        <w:keepLines/>
        <w:numPr>
          <w:ilvl w:val="3"/>
          <w:numId w:val="8"/>
        </w:numPr>
        <w:spacing w:before="40" w:line="360" w:lineRule="auto"/>
        <w:outlineLvl w:val="3"/>
        <w:rPr>
          <w:rFonts w:asciiTheme="majorHAnsi" w:eastAsiaTheme="majorEastAsia" w:hAnsiTheme="majorHAnsi" w:cstheme="majorBidi"/>
          <w:i/>
          <w:iCs/>
          <w:vanish/>
          <w:color w:val="365F91" w:themeColor="accent1" w:themeShade="BF"/>
          <w:lang w:val="fr-FR"/>
        </w:rPr>
      </w:pPr>
      <w:bookmarkStart w:id="145" w:name="_Toc201260132"/>
      <w:bookmarkEnd w:id="145"/>
    </w:p>
    <w:p w14:paraId="253C5052" w14:textId="77777777" w:rsidR="00B611D1" w:rsidRDefault="00FB7689">
      <w:pPr>
        <w:pStyle w:val="Titre4"/>
        <w:numPr>
          <w:ilvl w:val="4"/>
          <w:numId w:val="8"/>
        </w:numPr>
        <w:spacing w:line="360" w:lineRule="auto"/>
        <w:rPr>
          <w:rFonts w:ascii="Times New Roman" w:eastAsia="Calibri" w:hAnsi="Times New Roman" w:cs="Times New Roman"/>
          <w:b/>
          <w:bCs/>
          <w:i w:val="0"/>
          <w:iCs w:val="0"/>
          <w:color w:val="auto"/>
          <w:lang w:val="fr-FR" w:bidi="ar"/>
        </w:rPr>
      </w:pPr>
      <w:bookmarkStart w:id="146" w:name="_Toc201260133"/>
      <w:r>
        <w:rPr>
          <w:rFonts w:ascii="Times New Roman" w:hAnsi="Times New Roman" w:cs="Times New Roman"/>
          <w:b/>
          <w:bCs/>
          <w:i w:val="0"/>
          <w:iCs w:val="0"/>
          <w:color w:val="auto"/>
          <w:lang w:val="fr-FR"/>
        </w:rPr>
        <w:t xml:space="preserve">Allongement de la durée </w:t>
      </w:r>
      <w:r>
        <w:rPr>
          <w:rFonts w:ascii="Times New Roman" w:hAnsi="Times New Roman" w:cs="Times New Roman"/>
          <w:b/>
          <w:bCs/>
          <w:i w:val="0"/>
          <w:iCs w:val="0"/>
          <w:color w:val="auto"/>
          <w:lang w:val="fr-FR" w:bidi="ar"/>
        </w:rPr>
        <w:t>d'Hospitalisation</w:t>
      </w:r>
      <w:bookmarkEnd w:id="146"/>
    </w:p>
    <w:p w14:paraId="15E214FC" w14:textId="77777777" w:rsidR="00B611D1" w:rsidRDefault="00FB7689">
      <w:pPr>
        <w:spacing w:line="360" w:lineRule="auto"/>
        <w:jc w:val="both"/>
        <w:rPr>
          <w:rFonts w:eastAsia="Calibri"/>
          <w:b/>
          <w:bCs/>
          <w:lang w:val="fr-FR" w:bidi="ar"/>
        </w:rPr>
      </w:pPr>
      <w:r>
        <w:rPr>
          <w:rFonts w:eastAsia="TimesNewRomanPS-BoldMT"/>
          <w:lang w:val="fr-FR" w:eastAsia="zh-CN"/>
        </w:rPr>
        <w:t xml:space="preserve">La présence les infections causées par des bactéries multirésistantes allonge le séjour hospitalier de plusieurs jours, voire semaines. Cette prolongation engendre une surcharge des établissements de santé, une augmentation des coûts médicaux, et élève le risque d’infections nosocomiales. Il est donc indispensable de mettre en œuvre des stratégies rigoureuses de prévention et de gestion de la résistance aux antibiotiques </w:t>
      </w:r>
      <w:r>
        <w:rPr>
          <w:rFonts w:eastAsia="Calibri"/>
          <w:b/>
          <w:bCs/>
          <w:lang w:val="fr" w:bidi="ar"/>
        </w:rPr>
        <w:fldChar w:fldCharType="begin"/>
      </w:r>
      <w:r>
        <w:rPr>
          <w:rFonts w:eastAsia="Calibri"/>
          <w:b/>
          <w:bCs/>
          <w:lang w:val="fr" w:bidi="ar"/>
        </w:rPr>
        <w:instrText xml:space="preserve"> ADDIN ZOTERO_ITEM CSL_CITATION {"citationID":"ndg09Xo2","properties":{"formattedCitation":"(Nelson et al., 2022)","plainCitation":"(Nelson et al., 2022)","noteIndex":0},"citationItems":[{"id":276,"uris":["http://zotero.org/users/16279382/items/HP94LRCR"],"itemData":{"id":276,"type":"article-journal","abstract":"This study reports estimates of the healthcare costs, length of stay, and mortality associated with infections due to multidrug-resistant bacteria among elderly individuals in the United States.We conducted a retrospective cohort analysis of patients aged ≥65 admitted for inpatient stays in the Department of Veterans Affairs healthcare system between 1/2007–12/2018. We identified those with positive cultures for multidrug-resistant bacteria and matched each infected patient to ≤10 control patients. We then performed multivariable regression models to estimate the attributable cost and mortality due to the infection. We also constructed multistate models to estimate the attributable length of stay due to the infection. Finally, we multiplied these pathogen-specific attributable cost, length of stay, and mortality estimates by national case counts from hospitalized patients in 2017.Our cohort consisted of 87 509 patients with infections and 835 048 matched controls. Costs were higher for hospital-onset invasive infections, with attributable costs ranging from $22 293 (95% confidence interval: $19 101–$24 485) for methicillin-resistant Staphylococcus aureus (MRSA) to $57 390 ($34 070–$80 710) for carbapenem-resistant (CR) Acinetobacter. Similarly, for hospital-onset invasive infections, attributable mortality estimates ranged from 14.2% (12.2–16.2%) for MRSA to 24.1% (12.1–36.0%) for CR Acinetobacter. The aggregate cost of these infections was an estimated $1.9 billion ($1.3 billion–$2.5 billion) with 11 852 (8719–14 985) deaths and 448 224 (354 513–541 934) inpatient days in 2017.Efforts to prevent these infections due to multidrug-resistant bacteria could save a significant number of lives and healthcare resources.","container-title":"Clinical Infectious Diseases","DOI":"10.1093/cid/ciab696","ISSN":"1058-4838","issue":"6","journalAbbreviation":"Clinical Infectious Diseases","page":"1070-1080","source":"Silverchair","title":"Mortality, Length of Stay, and Healthcare Costs Associated With Multidrug-Resistant Bacterial Infections Among Elderly Hospitalized Patients in the United States","volume":"74","author":[{"family":"Nelson","given":"Richard E"},{"family":"Hyun","given":"David"},{"family":"Jezek","given":"Amanda"},{"family":"Samore","given":"Matthew H"}],"issued":{"date-parts":[["2022",3,15]]}}}],"schema":"https://github.com/citation-style-language/schema/raw/master/csl-citation.json"}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(Nelson </w:t>
      </w:r>
      <w:r>
        <w:rPr>
          <w:rFonts w:eastAsia="Calibri"/>
          <w:b/>
          <w:bCs/>
          <w:i/>
          <w:iCs/>
          <w:szCs w:val="22"/>
          <w:lang w:val="fr" w:bidi="ar"/>
        </w:rPr>
        <w:t>et al</w:t>
      </w:r>
      <w:r>
        <w:rPr>
          <w:rFonts w:eastAsia="Calibri"/>
          <w:b/>
          <w:bCs/>
          <w:szCs w:val="22"/>
          <w:lang w:val="fr" w:bidi="ar"/>
        </w:rPr>
        <w:t>., 2022)</w:t>
      </w:r>
      <w:r>
        <w:rPr>
          <w:rFonts w:eastAsia="Calibri"/>
          <w:b/>
          <w:bCs/>
          <w:lang w:val="fr" w:bidi="ar"/>
        </w:rPr>
        <w:fldChar w:fldCharType="end"/>
      </w:r>
      <w:r>
        <w:rPr>
          <w:rFonts w:eastAsia="Calibri"/>
          <w:b/>
          <w:bCs/>
          <w:lang w:val="fr-FR" w:bidi="ar"/>
        </w:rPr>
        <w:t>.</w:t>
      </w:r>
    </w:p>
    <w:p w14:paraId="1D4BCE0F" w14:textId="77777777" w:rsidR="00B611D1" w:rsidRDefault="00FB7689">
      <w:pPr>
        <w:pStyle w:val="Paragraphedeliste"/>
        <w:numPr>
          <w:ilvl w:val="4"/>
          <w:numId w:val="8"/>
        </w:numPr>
        <w:spacing w:line="360" w:lineRule="auto"/>
        <w:jc w:val="both"/>
        <w:rPr>
          <w:rFonts w:eastAsia="TimesNewRomanPS-BoldMT"/>
          <w:b/>
          <w:bCs/>
          <w:lang w:val="fr-FR" w:eastAsia="zh-CN"/>
        </w:rPr>
      </w:pPr>
      <w:r>
        <w:rPr>
          <w:rFonts w:asciiTheme="majorBidi" w:hAnsiTheme="majorBidi" w:cstheme="majorBidi"/>
          <w:b/>
          <w:bCs/>
          <w:lang w:val="fr-FR"/>
        </w:rPr>
        <w:t>Augmentation de la mortalité et de la morbidité</w:t>
      </w:r>
    </w:p>
    <w:p w14:paraId="002CC602" w14:textId="77777777" w:rsidR="00B611D1" w:rsidRDefault="00FB7689">
      <w:pPr>
        <w:spacing w:after="200" w:line="360" w:lineRule="auto"/>
        <w:jc w:val="both"/>
        <w:rPr>
          <w:rFonts w:eastAsia="TimesNewRomanPS-BoldMT"/>
          <w:lang w:val="fr-FR" w:eastAsia="zh-CN"/>
        </w:rPr>
      </w:pPr>
      <w:r>
        <w:rPr>
          <w:rFonts w:eastAsia="TimesNewRomanPS-BoldMT"/>
          <w:lang w:val="fr-FR" w:eastAsia="zh-CN"/>
        </w:rPr>
        <w:t xml:space="preserve">Les infections causées par des bactéries résistantes sont plus difficiles à traiter, ce qui prolonge la durée des maladies, renforce leur gravité et entraînant une augmentation significative de la morbidité et de la mortalité </w:t>
      </w:r>
      <w:r>
        <w:rPr>
          <w:rFonts w:eastAsia="Calibri"/>
          <w:b/>
          <w:bCs/>
          <w:lang w:val="fr" w:bidi="ar"/>
        </w:rPr>
        <w:fldChar w:fldCharType="begin"/>
      </w:r>
      <w:r>
        <w:rPr>
          <w:rFonts w:eastAsia="Calibri"/>
          <w:b/>
          <w:bCs/>
          <w:lang w:val="fr" w:bidi="ar"/>
        </w:rPr>
        <w:instrText xml:space="preserve"> ADDIN ZOTERO_ITEM CSL_CITATION {"citationID":"exD1PNu2","properties":{"formattedCitation":"(Cassini et al., 2019)","plainCitation":"(Cassini et al., 2019)","noteIndex":0},"citationItems":[{"id":285,"uris":["http://zotero.org/users/16279382/items/UBCJ56YV"],"itemData":{"id":285,"type":"article-journal","container-title":"The Lancet Infectious Diseases","DOI":"10.1016/S1473-3099(18)30605-4","ISSN":"1473-3099, 1474-4457","issue":"1","journalAbbreviation":"The Lancet Infectious Diseases","language":"English","note":"publisher: Elsevier\nPMID: 30409683","page":"56-66","source":"www.thelancet.com","title":"Attributable deaths and disability-adjusted life-years caused by infections with antibiotic-resistant bacteria in the EU and the European Economic Area in 2015: a population-level modelling analysis","title-short":"Attributable deaths and disability-adjusted life-years caused by infections with antibiotic-resistant bacteria in the EU and the European Economic Area in 2015","volume":"19","author":[{"family":"Cassini","given":"Alessandro"},{"family":"Högberg","given":"Liselotte Diaz"},{"family":"Plachouras","given":"Diamantis"},{"family":"Quattrocchi","given":"Annalisa"},{"family":"Hoxha","given":"Ana"},{"family":"Simonsen","given":"Gunnar Skov"},{"family":"Colomb-Cotinat","given":"Mélanie"},{"family":"Kretzschmar","given":"Mirjam E."},{"family":"Devleesschauwer","given":"Brecht"},{"family":"Cecchini","given":"Michele"},{"family":"Ouakrim","given":"Driss Ait"},{"family":"Oliveira","given":"Tiago Cravo"},{"family":"Struelens","given":"Marc J."},{"family":"Suetens","given":"Carl"},{"family":"Monnet","given":"Dominique L."},{"family":"Strauss","given":"Reinhild"},{"family":"Mertens","given":"Karl"},{"family":"Struyf","given":"Thomas"},{"family":"Catry","given":"Boudewijn"},{"family":"Latour","given":"Katrien"},{"family":"Ivanov","given":"Ivan N."},{"family":"Dobreva","given":"Elina G."},{"family":"Andraševic","given":"Arjana Tambic"},{"family":"Soprek","given":"Silvija"},{"family":"Budimir","given":"Ana"},{"family":"Paphitou","given":"Niki"},{"family":"Žemlicková","given":"Helena"},{"family":"Olsen","given":"Stefan Schytte"},{"family":"Sönksen","given":"Ute Wolff"},{"family":"Märtin","given":"Pille"},{"family":"Ivanova","given":"Marina"},{"family":"Lyytikäinen","given":"Outi"},{"family":"Jalava","given":"Jari"},{"family":"Coignard","given":"Bruno"},{"family":"Eckmanns","given":"Tim"},{"family":"Sin","given":"Muna Abu"},{"family":"Haller","given":"Sebastian"},{"family":"Daikos","given":"George L."},{"family":"Gikas","given":"Achilleas"},{"family":"Tsiodras","given":"Sotirios"},{"family":"Kontopidou","given":"Flora"},{"family":"Tóth","given":"Ákos"},{"family":"Hajdu","given":"Ágnes"},{"family":"Guólaugsson","given":"Ólafur"},{"family":"Kristinsson","given":"Karl G."},{"family":"Murchan","given":"Stephen"},{"family":"Burns","given":"Karen"},{"family":"Pezzotti","given":"Patrizio"},{"family":"Gagliotti","given":"Carlo"},{"family":"Dumpis","given":"Uga"},{"family":"Liuimiene","given":"Agne"},{"family":"Perrin","given":"Monique"},{"family":"Borg","given":"Michael A."},{"family":"Greeff","given":"Sabine C.","dropping-particle":"de"},{"family":"Monen","given":"Jos CM"},{"family":"Koek","given":"Mayke BG"},{"family":"Elstrøm","given":"Petter"},{"family":"Zabicka","given":"Dorota"},{"family":"Deptula","given":"Aleksander"},{"family":"Hryniewicz","given":"Waleria"},{"family":"Caniça","given":"Manuela"},{"family":"Nogueira","given":"Paulo Jorge"},{"family":"Fernandes","given":"Paulo André"},{"family":"Manageiro","given":"Vera"},{"family":"Popescu","given":"Gabriel A."},{"family":"Serban","given":"Roxana I."},{"family":"Schréterová","given":"Eva"},{"family":"Litvová","given":"Slavka"},{"family":"Štefkovicová","given":"Mária"},{"family":"Kolman","given":"Jana"},{"family":"Klavs","given":"Irena"},{"family":"Korošec","given":"Aleš"},{"family":"Aracil","given":"Belén"},{"family":"Asensio","given":"Angel"},{"family":"Pérez-Vázquez","given":"María"},{"family":"Billström","given":"Hanna"},{"family":"Larsson","given":"Sofie"},{"family":"Reilly","given":"Jacqui S."},{"family":"Johnson","given":"Alan"},{"family":"Hopkins","given":"Susan"}],"issued":{"date-parts":[["2019",1,1]]}}}],"schema":"https://github.com/citation-style-language/schema/raw/master/csl-citation.json"}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(Cassini </w:t>
      </w:r>
      <w:r>
        <w:rPr>
          <w:rFonts w:eastAsia="Calibri"/>
          <w:b/>
          <w:bCs/>
          <w:i/>
          <w:iCs/>
          <w:szCs w:val="22"/>
          <w:lang w:val="fr" w:bidi="ar"/>
        </w:rPr>
        <w:t>et al</w:t>
      </w:r>
      <w:r>
        <w:rPr>
          <w:rFonts w:eastAsia="Calibri"/>
          <w:b/>
          <w:bCs/>
          <w:szCs w:val="22"/>
          <w:lang w:val="fr" w:bidi="ar"/>
        </w:rPr>
        <w:t>., 2019)</w:t>
      </w:r>
      <w:r>
        <w:rPr>
          <w:rFonts w:eastAsia="Calibri"/>
          <w:b/>
          <w:bCs/>
          <w:lang w:val="fr" w:bidi="ar"/>
        </w:rPr>
        <w:fldChar w:fldCharType="end"/>
      </w:r>
      <w:r>
        <w:rPr>
          <w:rFonts w:eastAsia="Calibri"/>
          <w:b/>
          <w:bCs/>
          <w:kern w:val="2"/>
          <w:lang w:val="fr" w:eastAsia="zh-CN" w:bidi="ar"/>
        </w:rPr>
        <w:t>.</w:t>
      </w:r>
      <w:r>
        <w:rPr>
          <w:rFonts w:eastAsia="Calibri"/>
          <w:b/>
          <w:bCs/>
          <w:kern w:val="2"/>
          <w:lang w:val="fr-FR" w:eastAsia="zh-CN" w:bidi="ar"/>
        </w:rPr>
        <w:t xml:space="preserve"> </w:t>
      </w:r>
      <w:r>
        <w:rPr>
          <w:rFonts w:eastAsia="Calibri"/>
          <w:kern w:val="2"/>
          <w:lang w:val="fr" w:eastAsia="zh-CN" w:bidi="ar"/>
        </w:rPr>
        <w:t xml:space="preserve">En 2019, environ 4,95 millions de décès  étaient associés à la résistance bactérienne aux antimicrobiens, dont 1,27 million directement attribuables à cette résistance </w:t>
      </w:r>
      <w:r>
        <w:rPr>
          <w:rFonts w:eastAsia="Calibri"/>
          <w:b/>
          <w:bCs/>
          <w:kern w:val="2"/>
          <w:lang w:val="fr" w:eastAsia="zh-CN" w:bidi="ar"/>
        </w:rPr>
        <w:t xml:space="preserv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{"citationID":"F8f2yvu1","properties":{"formattedCitation":"(Collaborators, 2022)","plainCitation":"(Collaborators, 2022)","noteIndex":0},"citationItems":[{"id":281,"uris":["http://zotero.org/users/16279382/items/7IG8B6EH"],"itemData":{"id":281,"type":"article-journal","container-title":"Lancet","issue":"10325","page":"629–655","source":"Google Scholar","title":"Global burden of bacterial antimicrobial resistance in 2019: a systematic analysis","title-short":"Global burden of bacterial antimicrobial resistance in 2019","volume":"399","author":[{"family":"Collaborators","given":"Antimicrobial Resistance"}],"issued":{"date-parts":[["2022"]]}}}],"schema":"https://github.com/citation-style-language/schema/raw/master/csl-citation.json"}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(Collaborators, 2022)</w:t>
      </w:r>
      <w:r>
        <w:rPr>
          <w:rFonts w:eastAsia="Calibri"/>
          <w:b/>
          <w:bCs/>
          <w:kern w:val="2"/>
          <w:lang w:val="fr" w:eastAsia="zh-CN" w:bidi="ar"/>
        </w:rPr>
        <w:fldChar w:fldCharType="end"/>
      </w:r>
      <w:r>
        <w:rPr>
          <w:rFonts w:eastAsia="Calibri"/>
          <w:kern w:val="2"/>
          <w:lang w:val="fr" w:eastAsia="zh-CN" w:bidi="ar"/>
        </w:rPr>
        <w:t xml:space="preserve">. </w:t>
      </w:r>
    </w:p>
    <w:p w14:paraId="50B4E2D0" w14:textId="77777777" w:rsidR="00B611D1" w:rsidRDefault="00FB7689">
      <w:pPr>
        <w:pStyle w:val="Titre5"/>
        <w:numPr>
          <w:ilvl w:val="4"/>
          <w:numId w:val="8"/>
        </w:numPr>
        <w:rPr>
          <w:rFonts w:asciiTheme="majorBidi" w:hAnsiTheme="majorBidi" w:cstheme="majorBidi" w:hint="default"/>
          <w:sz w:val="24"/>
          <w:szCs w:val="24"/>
          <w:lang w:val="fr-FR"/>
        </w:rPr>
      </w:pPr>
      <w:bookmarkStart w:id="147" w:name="_Toc201260134"/>
      <w:r>
        <w:rPr>
          <w:rFonts w:asciiTheme="majorBidi" w:hAnsiTheme="majorBidi" w:cstheme="majorBidi" w:hint="default"/>
          <w:sz w:val="24"/>
          <w:szCs w:val="24"/>
          <w:lang w:val="fr-FR"/>
        </w:rPr>
        <w:t>Coûts économiques et sanitaires plus élevés</w:t>
      </w:r>
      <w:bookmarkEnd w:id="147"/>
    </w:p>
    <w:p w14:paraId="466E2639" w14:textId="77777777" w:rsidR="00B611D1" w:rsidRDefault="00FB7689">
      <w:pPr>
        <w:spacing w:after="200" w:line="360" w:lineRule="auto"/>
        <w:jc w:val="both"/>
        <w:rPr>
          <w:rFonts w:eastAsia="Calibri"/>
          <w:b/>
          <w:bCs/>
          <w:color w:val="1F497D"/>
          <w:kern w:val="2"/>
          <w:lang w:val="fr-FR" w:eastAsia="zh-CN" w:bidi="ar"/>
        </w:rPr>
      </w:pPr>
      <w:r>
        <w:rPr>
          <w:rFonts w:eastAsia="TimesNewRomanPS-BoldMT"/>
          <w:lang w:val="fr-FR" w:eastAsia="zh-CN"/>
        </w:rPr>
        <w:t xml:space="preserve">La prise en charge des infections causées par des bactéries résistantes entraîne un coût économique considérable pour les systèmes de santé. En raison de l’inefficacité des traitements de première intention, il est souvent nécessaire d’utiliser des antibiotiques de dernière ligne, plus onéreux et parfois moins accessibles. Ces engendrent également des coûts indirects importants liés à la perte de productivité des patients, à l’allongement des arrêts de travail, voire à la mortalité prématurée </w:t>
      </w:r>
      <w:r>
        <w:rPr>
          <w:rFonts w:eastAsia="Calibri"/>
          <w:b/>
          <w:bCs/>
          <w:color w:val="1F497D"/>
          <w:kern w:val="2"/>
          <w:lang w:val="fr" w:eastAsia="zh-CN" w:bidi="ar"/>
        </w:rPr>
        <w:fldChar w:fldCharType="begin"/>
      </w:r>
      <w:r>
        <w:rPr>
          <w:rFonts w:eastAsia="Calibri"/>
          <w:b/>
          <w:bCs/>
          <w:color w:val="1F497D"/>
          <w:kern w:val="2"/>
          <w:lang w:val="fr" w:eastAsia="zh-CN" w:bidi="ar"/>
        </w:rPr>
        <w:instrText xml:space="preserve"> ADDIN ZOTERO_ITEM CSL_CITATION {"citationID":"dZ6BP2mZ","properties":{"formattedCitation":"(Matta, 2023)","plainCitation":"(Matta, 2023)","noteIndex":0},"citationItems":[{"id":400,"uris":["http://zotero.org/users/16279382/items/MDBNBCJQ"],"itemData":{"id":400,"type":"thesis","abstract":"Les infections nosocomiales et la résistance bactérienne aux antibiotiques sont répandues au niveau mondial avec une prévalence plus élevée dans les pays en développement aux ressources limitées dont le Liban. Au Liban, les données épidémiologiques sur la résistance chez les bactéries à Gram négatif aux antibiotiques de dernier recours dans les hôpitaux et sur les infections nosocomiales sont rares. Objectifs : Nous avons conduit trois travaux visant à répondre aux objectifs suivants : une première étude pour identifier et comparer les différentes bactéries identifiées dans les infections communautaires et les infections nosocomiales, en mettant l'accent sur les comorbidités et les facteurs sociodémographiques associés. Puis deux études ciblant la résistance aux antibiotiques de dernier recours chez les bacilles à Gram négatif afin d’en décrire l’épidémiologie et d’identifier les caractéristiques des patients associées à cette résistance. La mortalité chez les patients porteurs d’un bacille à Gram négatif résistant aux carbapénèmes a été analysée. Méthodes. Le premier travail a consisté en une étude de cohorte rétrospective, multicentrique, menée dans cinq hôpitaux. Les données ont été recueillies à l'aide d'une fiche standardisée (données démographiques : genre et âge, maladies sous-jacentes et type d’infection acquise). Les deux autres études ont reposé sur une étude de cohorte prospective à partir d’une base de données constituée dans neuf hôpitaux libanais entre 2016-2017 (caractéristiques des patients, variables liées à l’hospitalisation et variables liées aux caractéristiques de l’infection). Les données ont été collectées et traitées avec Statistical Package for the Social Sciences SPSS, version 24. Des régressions logistiques ont été utilisées pour définir le profil des patients pour chaque type de résistance (céphalosporines de 3° génération- C3G, fluoroquinolones, aminosides, carbapénémes) observées chez les bacilles à Gram négatif (entérobactérales, Pseudomonas aeruginosa et Acinetobacter baumannii). Une analyse de sensibilité basée sur les résultats extrêmes des valeurs manquantes relatives à la sensibilité des bactéries a permis de prendre en compte les données manquantes et de fournir des résultats robustes. Résultats. La première étude a montré l’importance des bacilles à Gram négatif résistants aux antibiotiques au sein des infections nosocomiales mais aussi des infections communautaires avec deux facteurs indépendants de l’acquisition d’une infection nosocomiale : âge avancé et état d'immunosuppression. Les deux autres études ont montré des pourcentages de résistances élevées chez les bacilles à Gram négatif ciblés et ont permis d’établir différents profils de patients pour chaque type de résistance. Par exemple, pour Escherichia coli, la résistance aux C3G était associée à une admission antérieure à l’hôpital et à la présence d’une sonde urinaire. De la même façon, la résistance aux carbapénèmes chez les bacilles à Gram négatif était associée aux patients chirurgicaux, à la présence d’une sonde urinaire ainsi qu’à une infection pulmonaire ou du site opératoire. Concernant la mortalité globale, le modèle proportionnel de Cox a montré que la résistance aux carbapénèmes était associée à une différence significative en termes de survie hospitalière chez les patients porteurs de bacilles à Gram négatif non fermentants par rapport aux bactéries sensibles. Conclusions. Nous avons rapporté la résistance aux antibiotiques de derniers recours chez les entérobactérales (E. coli et entérobactérales non- E. coli) et les bacilles à Gram négatif non fermentants identifiées dans des hôpitaux libanais où les données épidémiologiques sont rares. La description des profils de patients porteurs de ces souches bactériennes résistantes permettra aux cliniciens de prescrire une antibiothérapie probabiliste adaptée.","genre":"phdthesis","language":"fr","publisher":"Université de Bordeaux","source":"theses.hal.science","title":"Infections nosocomiales et résistance aux antibiotiques chez les bacilles à GRAM négatifs : étude de cohorte multicentrique dans les hôpitaux libanais","title-short":"Infections nosocomiales et résistance aux antibiotiques chez les bacilles à GRAM négatifs","URL":"https://theses.hal.science/tel-04498032","author":[{"family":"Matta","given":"Roula"}],"accessed":{"date-parts":[["2025",6,11]]},"issued":{"date-parts":[["2023",12,21]]}}}],"schema":"https://github.com/citation-style-language/schema/raw/master/csl-citation.json"} </w:instrText>
      </w:r>
      <w:r>
        <w:rPr>
          <w:rFonts w:eastAsia="Calibri"/>
          <w:b/>
          <w:bCs/>
          <w:color w:val="1F497D"/>
          <w:kern w:val="2"/>
          <w:lang w:val="fr" w:eastAsia="zh-CN" w:bidi="ar"/>
        </w:rPr>
        <w:fldChar w:fldCharType="separate"/>
      </w:r>
      <w:r>
        <w:rPr>
          <w:rFonts w:eastAsia="Calibri"/>
          <w:b/>
          <w:bCs/>
          <w:kern w:val="2"/>
          <w:szCs w:val="22"/>
          <w:lang w:val="fr" w:eastAsia="zh-CN" w:bidi="ar"/>
        </w:rPr>
        <w:t>(Matta, 2023)</w:t>
      </w:r>
      <w:r>
        <w:rPr>
          <w:rFonts w:eastAsia="Calibri"/>
          <w:b/>
          <w:bCs/>
          <w:color w:val="1F497D"/>
          <w:kern w:val="2"/>
          <w:lang w:val="fr" w:eastAsia="zh-CN" w:bidi="ar"/>
        </w:rPr>
        <w:fldChar w:fldCharType="end"/>
      </w:r>
      <w:r>
        <w:rPr>
          <w:rFonts w:eastAsia="Calibri"/>
          <w:b/>
          <w:bCs/>
          <w:color w:val="1F497D"/>
          <w:kern w:val="2"/>
          <w:lang w:val="fr-FR" w:eastAsia="zh-CN" w:bidi="ar"/>
        </w:rPr>
        <w:t>.</w:t>
      </w:r>
    </w:p>
    <w:p w14:paraId="0ABD26B6" w14:textId="77777777" w:rsidR="00B611D1" w:rsidRDefault="00FB7689">
      <w:pPr>
        <w:pStyle w:val="Titre5"/>
        <w:numPr>
          <w:ilvl w:val="4"/>
          <w:numId w:val="8"/>
        </w:numPr>
        <w:rPr>
          <w:rFonts w:asciiTheme="majorBidi" w:hAnsiTheme="majorBidi" w:cstheme="majorBidi" w:hint="default"/>
          <w:sz w:val="24"/>
          <w:szCs w:val="24"/>
          <w:lang w:val="fr-FR" w:bidi="ar"/>
        </w:rPr>
      </w:pPr>
      <w:bookmarkStart w:id="148" w:name="_Toc201260135"/>
      <w:r>
        <w:rPr>
          <w:rFonts w:asciiTheme="majorBidi" w:hAnsiTheme="majorBidi" w:cstheme="majorBidi" w:hint="default"/>
          <w:sz w:val="24"/>
          <w:szCs w:val="24"/>
          <w:lang w:val="fr-FR" w:bidi="ar"/>
        </w:rPr>
        <w:t>Échec des traitements</w:t>
      </w:r>
      <w:bookmarkEnd w:id="148"/>
    </w:p>
    <w:p w14:paraId="1582CAF8" w14:textId="77777777" w:rsidR="00B611D1" w:rsidRDefault="00FB7689">
      <w:pPr>
        <w:spacing w:after="200" w:line="360" w:lineRule="auto"/>
        <w:jc w:val="both"/>
        <w:rPr>
          <w:color w:val="000000"/>
          <w:lang w:val="fr"/>
        </w:rPr>
      </w:pPr>
      <w:r>
        <w:rPr>
          <w:rFonts w:eastAsia="Calibri"/>
          <w:color w:val="000000"/>
          <w:kern w:val="2"/>
          <w:lang w:val="fr" w:eastAsia="zh-CN" w:bidi="ar"/>
        </w:rPr>
        <w:t xml:space="preserve">La résistance aux antibiotiques compromet sérieusement l'efficacité des thérapies antimicrobiennes, rendant de plus en plus d'infections difficiles, voire impossibles à traiter avec les médicaments classiques. De nombreuses bactéries résistantes persistent malgré l’utilisation d’antibiotiques appropriés, obligeant les médecins à recourir à des traitements de dernier recours, souvent plus coûteux, plus toxiques et moins disponibles </w:t>
      </w:r>
      <w:r>
        <w:rPr>
          <w:rFonts w:eastAsia="Calibri"/>
          <w:b/>
          <w:bCs/>
          <w:color w:val="000000"/>
          <w:kern w:val="2"/>
          <w:lang w:val="fr" w:eastAsia="zh-CN" w:bidi="ar"/>
        </w:rPr>
        <w:fldChar w:fldCharType="begin"/>
      </w:r>
      <w:r>
        <w:rPr>
          <w:rFonts w:eastAsia="Calibri"/>
          <w:b/>
          <w:bCs/>
          <w:color w:val="000000"/>
          <w:kern w:val="2"/>
          <w:lang w:val="fr" w:eastAsia="zh-CN" w:bidi="ar"/>
        </w:rPr>
        <w:instrText xml:space="preserve"> ADDIN ZOTERO_ITEM CSL_CITATION {"citationID":"Upg1P6gB","properties":{"formattedCitation":"(Dadgostar, 2019)","plainCitation":"(Dadgostar, 2019)","noteIndex":0},"citationItems":[{"id":402,"uris":["http://zotero.org/users/16279382/items/4V26SKS7"],"itemData":{"id":402,"type":"article-journal","container-title":"Infection and Drug Resistance","DOI":"10.2147/IDR.S234610","ISSN":"1178-6973","journalAbbreviation":"IDR","language":"en","license":"http://creativecommons.org/licenses/by-nc/3.0/","page":"3903-3910","source":"DOI.org (Crossref)","title":"Antimicrobial Resistance: Implications and Costs","title-short":"Antimicrobial Resistance","volume":"Volume 12","author":[{"family":"Dadgostar","given":"Porooshat"}],"issued":{"date-parts":[["2019",12]]}}}],"schema":"https://github.com/citation-style-language/schema/raw/master/csl-citation.json"} </w:instrText>
      </w:r>
      <w:r>
        <w:rPr>
          <w:rFonts w:eastAsia="Calibri"/>
          <w:b/>
          <w:bCs/>
          <w:color w:val="000000"/>
          <w:kern w:val="2"/>
          <w:lang w:val="fr" w:eastAsia="zh-CN" w:bidi="ar"/>
        </w:rPr>
        <w:fldChar w:fldCharType="separate"/>
      </w:r>
      <w:r>
        <w:rPr>
          <w:rFonts w:eastAsia="Calibri"/>
          <w:b/>
          <w:bCs/>
          <w:kern w:val="2"/>
          <w:szCs w:val="22"/>
          <w:lang w:val="fr" w:eastAsia="zh-CN" w:bidi="ar"/>
        </w:rPr>
        <w:t>(Dadgostar, 2019)</w:t>
      </w:r>
      <w:r>
        <w:rPr>
          <w:rFonts w:eastAsia="Calibri"/>
          <w:b/>
          <w:bCs/>
          <w:color w:val="000000"/>
          <w:kern w:val="2"/>
          <w:lang w:val="fr" w:eastAsia="zh-CN" w:bidi="ar"/>
        </w:rPr>
        <w:fldChar w:fldCharType="end"/>
      </w:r>
      <w:r>
        <w:rPr>
          <w:rFonts w:eastAsia="Calibri"/>
          <w:b/>
          <w:bCs/>
          <w:color w:val="000000"/>
          <w:kern w:val="2"/>
          <w:lang w:val="fr" w:eastAsia="zh-CN" w:bidi="ar"/>
        </w:rPr>
        <w:t>.</w:t>
      </w:r>
      <w:r>
        <w:rPr>
          <w:rFonts w:eastAsia="Calibri"/>
          <w:color w:val="000000"/>
          <w:kern w:val="2"/>
          <w:lang w:val="fr" w:eastAsia="zh-CN" w:bidi="ar"/>
        </w:rPr>
        <w:t xml:space="preserve"> Cette situation entraîne un cercle vicieux de complications médicales et de rechutes fréquentes</w:t>
      </w:r>
    </w:p>
    <w:p w14:paraId="55B13E12" w14:textId="77777777" w:rsidR="00B611D1" w:rsidRDefault="00FB7689">
      <w:pPr>
        <w:pStyle w:val="Titre5"/>
        <w:numPr>
          <w:ilvl w:val="4"/>
          <w:numId w:val="8"/>
        </w:numPr>
        <w:rPr>
          <w:rFonts w:asciiTheme="majorBidi" w:hAnsiTheme="majorBidi" w:cstheme="majorBidi" w:hint="default"/>
          <w:sz w:val="24"/>
          <w:szCs w:val="24"/>
          <w:lang w:val="fr-FR"/>
        </w:rPr>
      </w:pPr>
      <w:bookmarkStart w:id="149" w:name="_Toc201260136"/>
      <w:r>
        <w:rPr>
          <w:rFonts w:asciiTheme="majorBidi" w:hAnsiTheme="majorBidi" w:cstheme="majorBidi" w:hint="default"/>
          <w:sz w:val="24"/>
          <w:szCs w:val="24"/>
          <w:lang w:val="fr-FR"/>
        </w:rPr>
        <w:t>Impact sur les actes médicaux</w:t>
      </w:r>
      <w:bookmarkEnd w:id="149"/>
    </w:p>
    <w:p w14:paraId="0BA7184D" w14:textId="77777777" w:rsidR="00B611D1" w:rsidRDefault="00FB7689">
      <w:pPr>
        <w:spacing w:after="200" w:line="360" w:lineRule="auto"/>
        <w:jc w:val="both"/>
        <w:rPr>
          <w:rFonts w:eastAsia="TimesNewRomanPS-BoldMT"/>
          <w:lang w:val="fr-FR" w:eastAsia="zh-CN"/>
        </w:rPr>
      </w:pPr>
      <w:r>
        <w:rPr>
          <w:rFonts w:eastAsia="TimesNewRomanPS-BoldMT"/>
          <w:lang w:val="fr-FR" w:eastAsia="zh-CN"/>
        </w:rPr>
        <w:t xml:space="preserve">La résistance aux antibiotiques remet en question la sécurité de nombreuses procédures médicales modernes. Des interventions telles que la transplantation d'organes ou les chirurgies majeures deviennent plus risquées, car l’échec de la prophylaxie antibiotique peut exposer les patients à des infections graves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{"citationID":"RzTn1m1c","properties":{"formattedCitation":"(Friedman et al., 2016)","plainCitation":"(Friedman et al., 2016)","noteIndex":0},"citationItems":[{"id":291,"uris":["http://zotero.org/users/16279382/items/6QZ8MMGG"],"itemData":{"id":291,"type":"article-journal","abstract":"Antibacterial therapy is one of the most important medical developments of the twentieth century; however, the spread of resistance in healthcare settings and in the community threatens the enormous gains made by the availability of antibiotic therapy. Infections caused by resistant bacteria lead to up to two-fold higher rates of adverse outcomes compared with similar infections caused by susceptible strains. These adverse outcomes may be clinical or economic and reflect primarily the failure or delay of antibiotic treatment. The magnitude of these adverse outcomes will be more pronounced as disease severity, strain virulence, or host vulnerability increases. The negative impacts of antibacterial resistance can be measured at the patient level by increased morbidity and mortality, at the healthcare level by increased resource utilization, higher costs and reduced hospital activity and at the society level by antibiotic treatment guidelines favouring increasingly broad-spectrum empiric therapy. In this review we will discuss the negative impact of antibiotic resistance on patients, the healthcare system and society.","container-title":"Clinical Microbiology and Infection","DOI":"10.1016/j.cmi.2015.12.002","ISSN":"1198-743X","issue":"5","journalAbbreviation":"Clinical Microbiology and Infection","page":"416-422","source":"ScienceDirect","title":"The negative impact of antibiotic resistance","volume":"22","author":[{"family":"Friedman","given":"N. D."},{"family":"Temkin","given":"E."},{"family":"Carmeli","given":"Y."}],"issued":{"date-parts":[["2016",5,1]]}}}],"schema":"https://github.com/citation-style-language/schema/raw/master/csl-citation.json"}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(Friedman</w:t>
      </w:r>
      <w:r>
        <w:rPr>
          <w:rFonts w:eastAsia="Calibri"/>
          <w:b/>
          <w:bCs/>
          <w:i/>
          <w:iCs/>
          <w:kern w:val="2"/>
          <w:szCs w:val="22"/>
          <w:lang w:val="fr" w:eastAsia="zh-CN" w:bidi="ar"/>
        </w:rPr>
        <w:t xml:space="preserve"> et al</w:t>
      </w:r>
      <w:r>
        <w:rPr>
          <w:rFonts w:eastAsia="Calibri"/>
          <w:b/>
          <w:bCs/>
          <w:kern w:val="2"/>
          <w:szCs w:val="22"/>
          <w:lang w:val="fr" w:eastAsia="zh-CN" w:bidi="ar"/>
        </w:rPr>
        <w:t>., 2016)</w:t>
      </w:r>
      <w:r>
        <w:rPr>
          <w:rFonts w:eastAsia="Calibri"/>
          <w:b/>
          <w:bCs/>
          <w:kern w:val="2"/>
          <w:lang w:val="fr" w:eastAsia="zh-CN" w:bidi="ar"/>
        </w:rPr>
        <w:fldChar w:fldCharType="end"/>
      </w:r>
      <w:r>
        <w:rPr>
          <w:rFonts w:eastAsia="TimesNewRomanPS-BoldMT"/>
          <w:b/>
          <w:bCs/>
          <w:lang w:val="fr-FR" w:eastAsia="zh-CN"/>
        </w:rPr>
        <w:t>.</w:t>
      </w:r>
    </w:p>
    <w:p w14:paraId="245BFAB2" w14:textId="77777777" w:rsidR="00B611D1" w:rsidRDefault="00B611D1">
      <w:pPr>
        <w:pStyle w:val="Paragraphedeliste"/>
        <w:numPr>
          <w:ilvl w:val="0"/>
          <w:numId w:val="10"/>
        </w:numPr>
        <w:spacing w:line="360" w:lineRule="auto"/>
        <w:jc w:val="both"/>
        <w:outlineLvl w:val="2"/>
        <w:rPr>
          <w:rFonts w:eastAsia="TimesNewRomanPS-BoldMT"/>
          <w:b/>
          <w:bCs/>
          <w:vanish/>
        </w:rPr>
      </w:pPr>
      <w:bookmarkStart w:id="150" w:name="_Toc201260137"/>
      <w:bookmarkEnd w:id="150"/>
    </w:p>
    <w:p w14:paraId="77AD4565" w14:textId="77777777" w:rsidR="00B611D1" w:rsidRDefault="00B611D1">
      <w:pPr>
        <w:pStyle w:val="Paragraphedeliste"/>
        <w:numPr>
          <w:ilvl w:val="1"/>
          <w:numId w:val="10"/>
        </w:numPr>
        <w:spacing w:line="360" w:lineRule="auto"/>
        <w:jc w:val="both"/>
        <w:outlineLvl w:val="2"/>
        <w:rPr>
          <w:rFonts w:eastAsia="TimesNewRomanPS-BoldMT"/>
          <w:b/>
          <w:bCs/>
          <w:vanish/>
        </w:rPr>
      </w:pPr>
      <w:bookmarkStart w:id="151" w:name="_Toc201260138"/>
      <w:bookmarkEnd w:id="151"/>
    </w:p>
    <w:p w14:paraId="4D4C1F83" w14:textId="77777777" w:rsidR="00B611D1" w:rsidRDefault="00B611D1">
      <w:pPr>
        <w:pStyle w:val="Paragraphedeliste"/>
        <w:numPr>
          <w:ilvl w:val="1"/>
          <w:numId w:val="10"/>
        </w:numPr>
        <w:spacing w:line="360" w:lineRule="auto"/>
        <w:jc w:val="both"/>
        <w:outlineLvl w:val="2"/>
        <w:rPr>
          <w:rFonts w:eastAsia="TimesNewRomanPS-BoldMT"/>
          <w:b/>
          <w:bCs/>
          <w:vanish/>
        </w:rPr>
      </w:pPr>
      <w:bookmarkStart w:id="152" w:name="_Toc201260139"/>
      <w:bookmarkEnd w:id="152"/>
    </w:p>
    <w:p w14:paraId="7C61CD1D" w14:textId="77777777" w:rsidR="00B611D1" w:rsidRDefault="00B611D1">
      <w:pPr>
        <w:pStyle w:val="Paragraphedeliste"/>
        <w:numPr>
          <w:ilvl w:val="1"/>
          <w:numId w:val="10"/>
        </w:numPr>
        <w:spacing w:line="360" w:lineRule="auto"/>
        <w:jc w:val="both"/>
        <w:outlineLvl w:val="2"/>
        <w:rPr>
          <w:rFonts w:eastAsia="TimesNewRomanPS-BoldMT"/>
          <w:b/>
          <w:bCs/>
          <w:vanish/>
        </w:rPr>
      </w:pPr>
      <w:bookmarkStart w:id="153" w:name="_Toc201260140"/>
      <w:bookmarkEnd w:id="153"/>
    </w:p>
    <w:p w14:paraId="4F06BA49" w14:textId="77777777" w:rsidR="00B611D1" w:rsidRDefault="00B611D1">
      <w:pPr>
        <w:pStyle w:val="Paragraphedeliste"/>
        <w:numPr>
          <w:ilvl w:val="2"/>
          <w:numId w:val="10"/>
        </w:numPr>
        <w:spacing w:line="360" w:lineRule="auto"/>
        <w:jc w:val="both"/>
        <w:outlineLvl w:val="2"/>
        <w:rPr>
          <w:rFonts w:eastAsia="TimesNewRomanPS-BoldMT"/>
          <w:b/>
          <w:bCs/>
          <w:vanish/>
        </w:rPr>
      </w:pPr>
      <w:bookmarkStart w:id="154" w:name="_Toc201260141"/>
      <w:bookmarkEnd w:id="154"/>
    </w:p>
    <w:p w14:paraId="502559F6" w14:textId="77777777" w:rsidR="00B611D1" w:rsidRDefault="00FB7689">
      <w:pPr>
        <w:pStyle w:val="Titre3"/>
        <w:numPr>
          <w:ilvl w:val="2"/>
          <w:numId w:val="10"/>
        </w:numPr>
        <w:spacing w:line="360" w:lineRule="auto"/>
        <w:rPr>
          <w:rFonts w:eastAsia="TimesNewRomanPS-BoldMT"/>
          <w:lang w:val="fr-FR"/>
        </w:rPr>
      </w:pPr>
      <w:bookmarkStart w:id="155" w:name="_Toc201260142"/>
      <w:r>
        <w:rPr>
          <w:rFonts w:eastAsia="TimesNewRomanPS-BoldMT"/>
          <w:lang w:val="fr-FR"/>
        </w:rPr>
        <w:t>Les types des bactérie multirésistante (BMR)</w:t>
      </w:r>
      <w:bookmarkEnd w:id="155"/>
    </w:p>
    <w:p w14:paraId="43F90B3B" w14:textId="77777777" w:rsidR="00B611D1" w:rsidRDefault="00FB7689">
      <w:pPr>
        <w:spacing w:line="360" w:lineRule="auto"/>
        <w:jc w:val="both"/>
        <w:rPr>
          <w:rFonts w:eastAsia="TimesNewRomanPS-BoldMT"/>
          <w:lang w:val="fr-FR" w:eastAsia="zh-CN"/>
        </w:rPr>
      </w:pPr>
      <w:r>
        <w:rPr>
          <w:rFonts w:eastAsia="TimesNewRomanPS-BoldMT"/>
          <w:lang w:val="fr-FR" w:eastAsia="zh-CN"/>
        </w:rPr>
        <w:t xml:space="preserve">Les bactéries résistantes aux antibiotiques représentent aujourd’hui une menace majeure pour la santé publique. Elles se caractérisent par une virulence accrue et une capacité importante à se propager, que ce soit au sein des hôpitaux ou dans la communauté. Cette résistance à plusieurs familles d’antibiotiques complique le traitement des infections qu’elles causent et favorise leur dissémination à grande échelle </w:t>
      </w:r>
      <w:r>
        <w:rPr>
          <w:rFonts w:eastAsia="Calibri"/>
          <w:b/>
          <w:bCs/>
          <w:lang w:val="fr" w:bidi="ar"/>
        </w:rPr>
        <w:fldChar w:fldCharType="begin"/>
      </w:r>
      <w:r>
        <w:rPr>
          <w:rFonts w:eastAsia="Calibri"/>
          <w:b/>
          <w:bCs/>
          <w:lang w:val="fr" w:bidi="ar"/>
        </w:rPr>
        <w:instrText xml:space="preserve"> ADDIN ZOTERO_ITEM CSL_CITATION {"citationID":"OMitFKrQ","properties":{"formattedCitation":"(Rather et al., 2017)","plainCitation":"(Rather et al., 2017)","noteIndex":0},"citationItems":[{"id":181,"uris":["http://zotero.org/users/16279382/items/KWVD92U2"],"itemData":{"id":181,"type":"article-journal","abstract":"The present study aims to explore the crisis of antibiotic resistance and discover more about the current challenges related to self-medication. The current challenges related to antibiotic resistance are unique and differ from the challenges of the past since new bacterial pathogens are involved and continue to evolve. Strains with resistance to multiple antibiotic classes have emerged which the discovery of new antibiotics has failed to match. The consequences of antibiotic resistance are grave with mortality and morbidity continually on the rise. This paper also highlights the possible interventions that can be effective at the micro or individual level in the prevention of development of antibiotic resistance.","container-title":"Saudi Journal of Biological Sciences","DOI":"10.1016/j.sjbs.2017.01.004","ISSN":"1319-562X","issue":"4","journalAbbreviation":"Saudi Journal of Biological Sciences","page":"808-812","source":"ScienceDirect","title":"Self-medication and antibiotic resistance: Crisis, current challenges, and prevention","title-short":"Self-medication and antibiotic resistance","volume":"24","author":[{"family":"Rather","given":"Irfan A."},{"family":"Kim","given":"Byung-Chun"},{"family":"Bajpai","given":"Vivek K."},{"family":"Park","given":"Yong-Ha"}],"issued":{"date-parts":[["2017",5,1]]}}}],"schema":"https://github.com/citation-style-language/schema/raw/master/csl-citation.json"}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(Rather </w:t>
      </w:r>
      <w:r>
        <w:rPr>
          <w:rFonts w:eastAsia="Calibri"/>
          <w:b/>
          <w:bCs/>
          <w:i/>
          <w:iCs/>
          <w:szCs w:val="22"/>
          <w:lang w:val="fr" w:bidi="ar"/>
        </w:rPr>
        <w:t>et al</w:t>
      </w:r>
      <w:r>
        <w:rPr>
          <w:rFonts w:eastAsia="Calibri"/>
          <w:b/>
          <w:bCs/>
          <w:szCs w:val="22"/>
          <w:lang w:val="fr" w:bidi="ar"/>
        </w:rPr>
        <w:t>., 2017)</w:t>
      </w:r>
      <w:r>
        <w:rPr>
          <w:rFonts w:eastAsia="Calibri"/>
          <w:b/>
          <w:bCs/>
          <w:lang w:val="fr" w:bidi="ar"/>
        </w:rPr>
        <w:fldChar w:fldCharType="end"/>
      </w:r>
      <w:r>
        <w:rPr>
          <w:rFonts w:eastAsia="Calibri"/>
          <w:b/>
          <w:bCs/>
          <w:lang w:val="fr" w:bidi="ar"/>
        </w:rPr>
        <w:t>.</w:t>
      </w:r>
    </w:p>
    <w:p w14:paraId="4430C09B" w14:textId="77777777" w:rsidR="00B611D1" w:rsidRDefault="00FB7689">
      <w:pPr>
        <w:spacing w:line="360" w:lineRule="auto"/>
        <w:jc w:val="both"/>
        <w:rPr>
          <w:rFonts w:eastAsia="TimesNewRomanPS-BoldMT"/>
          <w:lang w:val="fr-FR" w:eastAsia="zh-CN"/>
        </w:rPr>
      </w:pPr>
      <w:r>
        <w:rPr>
          <w:rFonts w:eastAsia="TimesNewRomanPS-BoldMT"/>
          <w:lang w:val="fr-FR" w:eastAsia="zh-CN"/>
        </w:rPr>
        <w:t>Parmi ces agents pathogènes les plus courants, on trouve :</w:t>
      </w:r>
    </w:p>
    <w:p w14:paraId="1D59E2E9" w14:textId="77777777" w:rsidR="00B611D1" w:rsidRDefault="00FB7689">
      <w:pPr>
        <w:pStyle w:val="Titre4"/>
        <w:numPr>
          <w:ilvl w:val="3"/>
          <w:numId w:val="10"/>
        </w:numPr>
        <w:spacing w:line="360" w:lineRule="auto"/>
        <w:rPr>
          <w:rFonts w:ascii="Times New Roman" w:hAnsi="Times New Roman" w:cs="Times New Roman"/>
          <w:b/>
          <w:bCs/>
          <w:color w:val="auto"/>
          <w:lang w:val="fr-FR"/>
        </w:rPr>
      </w:pPr>
      <w:bookmarkStart w:id="156" w:name="_Toc201260143"/>
      <w:r>
        <w:rPr>
          <w:rStyle w:val="Accentuation"/>
          <w:rFonts w:ascii="Times New Roman" w:eastAsia="Georgia" w:hAnsi="Times New Roman" w:cs="Times New Roman"/>
          <w:b/>
          <w:bCs/>
          <w:i/>
          <w:iCs/>
          <w:color w:val="auto"/>
          <w:lang w:val="fr-FR"/>
        </w:rPr>
        <w:t>Staphylococcus aureus</w:t>
      </w:r>
      <w:r>
        <w:rPr>
          <w:rStyle w:val="Accentuation"/>
          <w:rFonts w:ascii="Times New Roman" w:eastAsia="Georgia" w:hAnsi="Times New Roman" w:cs="Times New Roman"/>
          <w:b/>
          <w:bCs/>
          <w:color w:val="auto"/>
          <w:lang w:val="fr-FR"/>
        </w:rPr>
        <w:t xml:space="preserve"> résistant </w:t>
      </w:r>
      <w:r>
        <w:rPr>
          <w:rFonts w:ascii="Times New Roman" w:hAnsi="Times New Roman" w:cs="Times New Roman"/>
          <w:b/>
          <w:bCs/>
          <w:color w:val="auto"/>
          <w:lang w:val="fr-FR"/>
        </w:rPr>
        <w:t>à la méticilline (SARM)</w:t>
      </w:r>
      <w:bookmarkEnd w:id="156"/>
    </w:p>
    <w:p w14:paraId="1C62CE00" w14:textId="77777777" w:rsidR="00B611D1" w:rsidRDefault="00FB7689">
      <w:pPr>
        <w:spacing w:line="360" w:lineRule="auto"/>
        <w:jc w:val="both"/>
        <w:rPr>
          <w:lang w:val="fr-FR" w:eastAsia="zh-CN"/>
        </w:rPr>
      </w:pPr>
      <w:r>
        <w:rPr>
          <w:lang w:val="fr-FR"/>
        </w:rPr>
        <w:t xml:space="preserve">Les </w:t>
      </w:r>
      <w:r>
        <w:rPr>
          <w:rStyle w:val="Accentuation"/>
          <w:lang w:val="fr-FR"/>
        </w:rPr>
        <w:t>Staphylococcus aureus</w:t>
      </w:r>
      <w:r>
        <w:rPr>
          <w:lang w:val="fr-FR"/>
        </w:rPr>
        <w:t xml:space="preserve"> résistants à la méticilline (SARM) constituent l’un des principaux agents pathogènes impliqués dans les infections nosocomiales. Leur résistance aux antibiotiques </w:t>
      </w:r>
      <w:r>
        <w:t>β</w:t>
      </w:r>
      <w:r>
        <w:rPr>
          <w:lang w:val="fr-FR"/>
        </w:rPr>
        <w:t xml:space="preserve">-lactamines, y compris la Méticilline, l’Oxacilline et les céphalosporines, repose essentiellement sur l’acquisition du gène </w:t>
      </w:r>
      <w:r>
        <w:rPr>
          <w:rStyle w:val="lev"/>
          <w:b w:val="0"/>
          <w:bCs w:val="0"/>
          <w:lang w:val="fr-FR"/>
        </w:rPr>
        <w:t>mecA</w:t>
      </w:r>
      <w:r>
        <w:rPr>
          <w:lang w:val="fr-FR"/>
        </w:rPr>
        <w:t xml:space="preserve">. Ce gène est situé sur un élément génétique mobile appelé </w:t>
      </w:r>
      <w:r>
        <w:rPr>
          <w:rStyle w:val="lev"/>
          <w:b w:val="0"/>
          <w:bCs w:val="0"/>
          <w:lang w:val="fr-FR"/>
        </w:rPr>
        <w:t>SCCmec</w:t>
      </w:r>
      <w:r>
        <w:rPr>
          <w:lang w:val="fr-FR"/>
        </w:rPr>
        <w:t xml:space="preserve"> (</w:t>
      </w:r>
      <w:r>
        <w:rPr>
          <w:rStyle w:val="Accentuation"/>
          <w:lang w:val="fr-FR"/>
        </w:rPr>
        <w:t>Staphylococcal Cassette Chromosome mec</w:t>
      </w:r>
      <w:r>
        <w:rPr>
          <w:lang w:val="fr-FR"/>
        </w:rPr>
        <w:t xml:space="preserve">), intégré au chromosome bactérien </w:t>
      </w:r>
      <w:r>
        <w:rPr>
          <w:rFonts w:eastAsia="Calibri" w:cs="Arial"/>
          <w:b/>
          <w:bCs/>
          <w:lang w:val="fr" w:bidi="ar"/>
        </w:rPr>
        <w:fldChar w:fldCharType="begin"/>
      </w:r>
      <w:r>
        <w:rPr>
          <w:rFonts w:eastAsia="Calibri" w:cs="Arial"/>
          <w:b/>
          <w:bCs/>
          <w:lang w:val="fr" w:bidi="ar"/>
        </w:rPr>
        <w:instrText xml:space="preserve"> ADDIN ZOTERO_ITEM CSL_CITATION {"citationID":"OPdpNbUV","properties":{"formattedCitation":"(Touaitia, 2016)","plainCitation":"(Touaitia, 2016)","noteIndex":0},"citationItems":[{"id":195,"uris":["http://zotero.org/users/16279382/items/PJ7SSHAY"],"itemData":{"id":195,"type":"article-journal","container-title":"Univrsite Badji Mokhtar–Annaba","source":"Google Scholar","title":"Staphylococcus aureus résistant à la méthicilline: Emergence et mécanismes de résistance","title-short":"Staphylococcus aureus résistant à la méthicilline","author":[{"family":"Touaitia","given":"R."}],"issued":{"date-parts":[["2016"]]}}}],"schema":"https://github.com/citation-style-language/schema/raw/master/csl-citation.json"} </w:instrText>
      </w:r>
      <w:r>
        <w:rPr>
          <w:rFonts w:eastAsia="Calibri" w:cs="Arial"/>
          <w:b/>
          <w:bCs/>
          <w:lang w:val="fr" w:bidi="ar"/>
        </w:rPr>
        <w:fldChar w:fldCharType="separate"/>
      </w:r>
      <w:r>
        <w:rPr>
          <w:rFonts w:eastAsia="Calibri"/>
          <w:b/>
          <w:bCs/>
          <w:szCs w:val="22"/>
          <w:lang w:val="fr" w:bidi="ar"/>
        </w:rPr>
        <w:t>(Touaitia, 2016)</w:t>
      </w:r>
      <w:r>
        <w:rPr>
          <w:rFonts w:eastAsia="Calibri" w:cs="Arial"/>
          <w:b/>
          <w:bCs/>
          <w:lang w:val="fr" w:bidi="ar"/>
        </w:rPr>
        <w:fldChar w:fldCharType="end"/>
      </w:r>
      <w:r>
        <w:rPr>
          <w:lang w:val="fr-FR"/>
        </w:rPr>
        <w:t>.</w:t>
      </w:r>
    </w:p>
    <w:p w14:paraId="1585A92C" w14:textId="77777777" w:rsidR="00B611D1" w:rsidRDefault="00FB7689">
      <w:pPr>
        <w:spacing w:line="360" w:lineRule="auto"/>
        <w:jc w:val="both"/>
        <w:rPr>
          <w:lang w:val="fr-FR" w:eastAsia="zh-CN"/>
        </w:rPr>
      </w:pPr>
      <w:r>
        <w:rPr>
          <w:lang w:val="fr-FR"/>
        </w:rPr>
        <w:t xml:space="preserve">Le gène </w:t>
      </w:r>
      <w:r>
        <w:rPr>
          <w:rStyle w:val="lev"/>
          <w:b w:val="0"/>
          <w:bCs w:val="0"/>
          <w:lang w:val="fr-FR"/>
        </w:rPr>
        <w:t>mecA</w:t>
      </w:r>
      <w:r>
        <w:rPr>
          <w:lang w:val="fr-FR"/>
        </w:rPr>
        <w:t xml:space="preserve"> code pour une </w:t>
      </w:r>
      <w:r>
        <w:rPr>
          <w:rStyle w:val="lev"/>
          <w:b w:val="0"/>
          <w:bCs w:val="0"/>
          <w:lang w:val="fr-FR"/>
        </w:rPr>
        <w:t>protéine de liaison à la pénicilline altérée</w:t>
      </w:r>
      <w:r>
        <w:rPr>
          <w:lang w:val="fr-FR"/>
        </w:rPr>
        <w:t xml:space="preserve">, connue sous le nom de </w:t>
      </w:r>
      <w:r>
        <w:rPr>
          <w:rStyle w:val="lev"/>
          <w:b w:val="0"/>
          <w:bCs w:val="0"/>
          <w:lang w:val="fr-FR"/>
        </w:rPr>
        <w:t>PBP2a</w:t>
      </w:r>
      <w:r>
        <w:rPr>
          <w:lang w:val="fr-FR"/>
        </w:rPr>
        <w:t xml:space="preserve"> (</w:t>
      </w:r>
      <w:r>
        <w:rPr>
          <w:rStyle w:val="Accentuation"/>
          <w:lang w:val="fr-FR"/>
        </w:rPr>
        <w:t>Penicillin-Binding Protein 2a</w:t>
      </w:r>
      <w:r>
        <w:rPr>
          <w:lang w:val="fr-FR"/>
        </w:rPr>
        <w:t xml:space="preserve">), qui se distingue par sa faible affinité pour les </w:t>
      </w:r>
      <w:r>
        <w:t>β</w:t>
      </w:r>
      <w:r>
        <w:rPr>
          <w:lang w:val="fr-FR"/>
        </w:rPr>
        <w:t xml:space="preserve">-lactamines. Cette protéine permet à la bactérie de continuer à synthétiser sa paroi cellulaire, même en présence de ces antibiotiques, ce qui rend leur action inefficace </w:t>
      </w:r>
      <w:r>
        <w:rPr>
          <w:rFonts w:eastAsia="Calibri"/>
          <w:b/>
          <w:bCs/>
          <w:lang w:val="fr" w:bidi="ar"/>
        </w:rPr>
        <w:fldChar w:fldCharType="begin"/>
      </w:r>
      <w:r>
        <w:rPr>
          <w:rFonts w:eastAsia="Calibri"/>
          <w:b/>
          <w:bCs/>
          <w:lang w:val="fr" w:bidi="ar"/>
        </w:rPr>
        <w:instrText xml:space="preserve"> ADDIN ZOTERO_ITEM CSL_CITATION {"citationID":"Aq9J9EjS","properties":{"formattedCitation":"(Tattevin, 2011)","plainCitation":"(Tattevin, 2011)","noteIndex":0},"citationItems":[{"id":186,"uris":["http://zotero.org/users/16279382/items/LTHGJM7N"],"itemData":{"id":186,"type":"article-journal","abstract":"Résumé\nStaphylococcus aureus résistant à la méticilline (SARM) est longtemps resté le prototype du pathogène exclusivement nosocomial, ce qui permettait de maintenir les bétalactamines comme principal traitement présomptif des infections communautaires graves, où le SARM n’était pas à prendre en compte. La situation a radicalement changé en quelques années avec l’émergence presque simultanée, en Australie, en Europe, puis en Amérique du Nord, de plusieurs clones distincts de SARM d’acquisition communautaire. Bien qu’ayant émergé de manière indépendante à partir d’ancêtres clairement distincts, ces clones présentent deux caractéristiques quasi constantes chez les SARM communautaires et très rares chez les autres clones de S. aureus : (i) les gènes de résistance à la méticilline sont hébergés par une cassette chromosomique de petite taille (SCCmec type IV) ; (ii) ces SARM communautaires portent les gènes codant la synthèse de la leucocidine de Panton-Valentine (toxine PVL). Depuis le début des années 2000, un groupe clonal appelé USA300 a connu un essor spectaculaire en Amérique du Nord, marqué par (i) l’efficacité de sa transmission interhumaine ; (ii) la description de pathologies invasives non rencontrées jusqu’alors avec les souches traditionnelles de SARM, notamment les pneumopathies nécrosantes de l’immunocompétent. En Europe, les SARM communautaires appartiennent majoritairement au groupe clonal ST80 et la situation n’a pas évolué vers l’état d’endémie documenté en Amérique du Nord mais il faut rester vigilant et mettre en œuvre toutes les mesures qui pourraient nous éviter le fléau de santé publique que représente la situation d’endémie de SARM communautaires qui règne actuellement en Amérique du Nord.\nMethicillin-resistant Staphylococcus aureus (MRSA) has long remained the typical exclusively nosocomial pathogen, allowing using betalactam agents as first line presumptive treatment for severe community-associated infections in which MRSA was not taken into account. The situation dramatically changed with the simultaneous emergence of several strains of community-acquired MRSA in Australia, Europe and in North America. Although these clones clearly emerged from independent ancestors, they present almost invariably with two remarkable features, rarely found in other MRSA clones: (i) methicillin-resistance genes are harboured on a small size staphylococcal cassette chromosome (SCCmec type IV); (ii) they are all transfected by a phage carrying Panton-Valentine leukocidin (PVL) genes. Since the early 2000, a specific clonal group, USA300, spread spectacularly all over North America. A great number of publications documented (i) the unprecedented success of its dissemination in many settings; (ii) its virulence, illustrated by the description of invasive diseases not encountered thus far with traditional clones of hospital-associated MRSA (e.g. necrotizing pneumonia in immunocompetent patients). In Europe, where community-acquired MRSA isolates mainly belong to the ST80 clonal group, its incidence has remained low, thus far. However, cautious surveillance and prompt responses are required if we are to avoid the public health scourge created by the emergence of community-associated MRSA in North America.","container-title":"Médecine et Maladies Infectieuses","DOI":"10.1016/j.medmal.2010.11.017","ISSN":"0399-077X","issue":"4","journalAbbreviation":"Médecine et Maladies Infectieuses","page":"167-175","source":"ScienceDirect","title":"Les infections à &lt;i&gt;&lt;/i&gt;","volume":"41","author":[{"family":"Tattevin","given":"P."}],"issued":{"date-parts":[["2011",4,1]]}}}],"schema":"https://github.com/citation-style-language/schema/raw/master/csl-citation.json"} </w:instrText>
      </w:r>
      <w:r>
        <w:rPr>
          <w:rFonts w:eastAsia="Calibri"/>
          <w:b/>
          <w:bCs/>
          <w:lang w:val="fr" w:bidi="ar"/>
        </w:rPr>
        <w:fldChar w:fldCharType="separate"/>
      </w:r>
      <w:r>
        <w:rPr>
          <w:rFonts w:eastAsia="Calibri"/>
          <w:b/>
          <w:bCs/>
          <w:szCs w:val="22"/>
          <w:lang w:val="fr" w:bidi="ar"/>
        </w:rPr>
        <w:t>(Tattevin, 2011)</w:t>
      </w:r>
      <w:r>
        <w:rPr>
          <w:rFonts w:eastAsia="Calibri"/>
          <w:b/>
          <w:bCs/>
          <w:lang w:val="fr" w:bidi="ar"/>
        </w:rPr>
        <w:fldChar w:fldCharType="end"/>
      </w:r>
      <w:r>
        <w:rPr>
          <w:b/>
          <w:bCs/>
          <w:lang w:val="fr-FR"/>
        </w:rPr>
        <w:t>.</w:t>
      </w:r>
      <w:r>
        <w:rPr>
          <w:rFonts w:hint="eastAsia"/>
          <w:lang w:val="fr-FR" w:eastAsia="zh-CN"/>
        </w:rPr>
        <w:t xml:space="preserve"> </w:t>
      </w:r>
      <w:r>
        <w:rPr>
          <w:lang w:val="fr-FR"/>
        </w:rPr>
        <w:t xml:space="preserve">En plus de cette résistance aux </w:t>
      </w:r>
      <w:r>
        <w:t>β</w:t>
      </w:r>
      <w:r>
        <w:rPr>
          <w:lang w:val="fr-FR"/>
        </w:rPr>
        <w:t xml:space="preserve">-lactamines, de nombreuses souches de SARM présentent une </w:t>
      </w:r>
      <w:r>
        <w:rPr>
          <w:rStyle w:val="lev"/>
          <w:b w:val="0"/>
          <w:bCs w:val="0"/>
          <w:lang w:val="fr-FR"/>
        </w:rPr>
        <w:t>multirésistance à d'autres classes d'antibiotiques</w:t>
      </w:r>
      <w:r>
        <w:rPr>
          <w:lang w:val="fr-FR"/>
        </w:rPr>
        <w:t xml:space="preserve">, incluant les aminosides, les macrolides, les cyclines, les fluoroquinolones et les lincosamides. Certaines souches expriment une </w:t>
      </w:r>
      <w:r>
        <w:rPr>
          <w:rStyle w:val="lev"/>
          <w:b w:val="0"/>
          <w:bCs w:val="0"/>
          <w:lang w:val="fr-FR"/>
        </w:rPr>
        <w:t>résistance inductible</w:t>
      </w:r>
      <w:r>
        <w:rPr>
          <w:lang w:val="fr-FR"/>
        </w:rPr>
        <w:t xml:space="preserve"> aux lincosamides (comme la clindamycine), détectable par le test de D, et peuvent également être résistantes aux streptogramines </w:t>
      </w:r>
      <w:r>
        <w:rPr>
          <w:rFonts w:eastAsia="Calibri"/>
          <w:b/>
          <w:bCs/>
          <w:lang w:val="fr" w:bidi="ar"/>
        </w:rPr>
        <w:fldChar w:fldCharType="begin"/>
      </w:r>
      <w:r>
        <w:rPr>
          <w:rFonts w:eastAsia="Calibri"/>
          <w:b/>
          <w:bCs/>
          <w:lang w:val="fr" w:bidi="ar"/>
        </w:rPr>
        <w:instrText xml:space="preserve"> ADDIN ZOTERO_ITEM CSL_CITATION {"citationID":"Aq9J9EjS","properties":{"formattedCitation":"(Tattevin, 2011)","plainCitation":"(Tattevin, 2011)","noteIndex":0},"citationItems":[{"id":186,"uris":["http://zotero.org/users/16279382/items/LTHGJM7N"],"itemData":{"id":186,"type":"article-journal","abstract":"Résumé\nStaphylococcus aureus résistant à la méticilline (SARM) est longtemps resté le prototype du pathogène exclusivement nosocomial, ce qui permettait de maintenir les bétalactamines comme principal traitement présomptif des infections communautaires graves, où le SARM n’était pas à prendre en compte. La situation a radicalement changé en quelques années avec l’émergence presque simultanée, en Australie, en Europe, puis en Amérique du Nord, de plusieurs clones distincts de SARM d’acquisition communautaire. Bien qu’ayant émergé de manière indépendante à partir d’ancêtres clairement distincts, ces clones présentent deux caractéristiques quasi constantes chez les SARM communautaires et très rares chez les autres clones de S. aureus : (i) les gènes de résistance à la méticilline sont hébergés par une cassette chromosomique de petite taille (SCCmec type IV) ; (ii) ces SARM communautaires portent les gènes codant la synthèse de la leucocidine de Panton-Valentine (toxine PVL). Depuis le début des années 2000, un groupe clonal appelé USA300 a connu un essor spectaculaire en Amérique du Nord, marqué par (i) l’efficacité de sa transmission interhumaine ; (ii) la description de pathologies invasives non rencontrées jusqu’alors avec les souches traditionnelles de SARM, notamment les pneumopathies nécrosantes de l’immunocompétent. En Europe, les SARM communautaires appartiennent majoritairement au groupe clonal ST80 et la situation n’a pas évolué vers l’état d’endémie documenté en Amérique du Nord mais il faut rester vigilant et mettre en œuvre toutes les mesures qui pourraient nous éviter le fléau de santé publique que représente la situation d’endémie de SARM communautaires qui règne actuellement en Amérique du Nord.\nMethicillin-resistant Staphylococcus aureus (MRSA) has long remained the typical exclusively nosocomial pathogen, allowing using betalactam agents as first line presumptive treatment for severe community-associated infections in which MRSA was not taken into account. The situation dramatically changed with the simultaneous emergence of several strains of community-acquired MRSA in Australia, Europe and in North America. Although these clones clearly emerged from independent ancestors, they present almost invariably with two remarkable features, rarely found in other MRSA clones: (i) methicillin-resistance genes are harboured on a small size staphylococcal cassette chromosome (SCCmec type IV); (ii) they are all transfected by a phage carrying Panton-Valentine leukocidin (PVL) genes. Since the early 2000, a specific clonal group, USA300, spread spectacularly all over North America. A great number of publications documented (i) the unprecedented success of its dissemination in many settings; (ii) its virulence, illustrated by the description of invasive diseases not encountered thus far with traditional clones of hospital-associated MRSA (e.g. necrotizing pneumonia in immunocompetent patients). In Europe, where community-acquired MRSA isolates mainly belong to the ST80 clonal group, its incidence has remained low, thus far. However, cautious surveillance and prompt responses are required if we are to avoid the public health scourge created by the emergence of community-associated MRSA in North America.","container-title":"Médecine et Maladies Infectieuses","DOI":"10.1016/j.medmal.2010.11.017","ISSN":"0399-077X","issue":"4","journalAbbreviation":"Médecine et Maladies Infectieuses","page":"167-175","source":"ScienceDirect","title":"Les infections à &lt;i&gt;&lt;/i&gt;","volume":"41","author":[{"family":"Tattevin","given":"P."}],"issued":{"date-parts":[["2011",4,1]]}}}],"schema":"https://github.com/citation-style-language/schema/raw/master/csl-citation.json"} </w:instrText>
      </w:r>
      <w:r>
        <w:rPr>
          <w:rFonts w:eastAsia="Calibri"/>
          <w:b/>
          <w:bCs/>
          <w:lang w:val="fr" w:bidi="ar"/>
        </w:rPr>
        <w:fldChar w:fldCharType="separate"/>
      </w:r>
      <w:r>
        <w:rPr>
          <w:rFonts w:eastAsia="Calibri"/>
          <w:b/>
          <w:bCs/>
          <w:szCs w:val="22"/>
          <w:lang w:val="fr" w:bidi="ar"/>
        </w:rPr>
        <w:t>(Tattevin, 2011)</w:t>
      </w:r>
      <w:r>
        <w:rPr>
          <w:rFonts w:eastAsia="Calibri"/>
          <w:b/>
          <w:bCs/>
          <w:lang w:val="fr" w:bidi="ar"/>
        </w:rPr>
        <w:fldChar w:fldCharType="end"/>
      </w:r>
      <w:r>
        <w:rPr>
          <w:lang w:val="fr-FR"/>
        </w:rPr>
        <w:t>.</w:t>
      </w:r>
    </w:p>
    <w:p w14:paraId="43B7C84A" w14:textId="77777777" w:rsidR="00B611D1" w:rsidRDefault="00FB7689">
      <w:pPr>
        <w:spacing w:line="360" w:lineRule="auto"/>
        <w:jc w:val="both"/>
        <w:rPr>
          <w:rFonts w:eastAsia="Georgia"/>
          <w:b/>
          <w:bCs/>
          <w:lang w:val="fr-FR"/>
        </w:rPr>
      </w:pPr>
      <w:r>
        <w:rPr>
          <w:lang w:val="fr-FR"/>
        </w:rPr>
        <w:t xml:space="preserve">Cette large gamme de résistances complique considérablement la prise en charge thérapeutique des infections à SARM, en particulier dans les services hospitaliers à haut risque comme les unités de soins intensifs </w:t>
      </w:r>
      <w:r>
        <w:rPr>
          <w:rFonts w:eastAsia="Calibri" w:cs="Arial"/>
          <w:b/>
          <w:bCs/>
          <w:lang w:val="fr" w:bidi="ar"/>
        </w:rPr>
        <w:fldChar w:fldCharType="begin"/>
      </w:r>
      <w:r>
        <w:rPr>
          <w:rFonts w:eastAsia="Calibri" w:cs="Arial"/>
          <w:b/>
          <w:bCs/>
          <w:lang w:val="fr" w:bidi="ar"/>
        </w:rPr>
        <w:instrText xml:space="preserve"> ADDIN ZOTERO_ITEM CSL_CITATION {"citationID":"BIlMtU64","properties":{"formattedCitation":"(Hasanpour et al., 2023)","plainCitation":"(Hasanpour et al., 2023)","noteIndex":0},"citationItems":[{"id":192,"uris":["http://zotero.org/users/16279382/items/YG87IAGT"],"itemData":{"id":192,"type":"article-journal","abstract":"Methicillin-resistant Staphylococcus aureus (MRSA) is a difficult to treat infection, particularly in residents of elderly care centers (ECCs). Despite the substantial burden of MRSA, an inadequate number of studies have analyzed MRSA prevalence in ECCs.","container-title":"Antimicrobial Resistance &amp; Infection Control","DOI":"10.1186/s13756-023-01210-6","ISSN":"2047-2994","issue":"1","journalAbbreviation":"Antimicrob Resist Infect Control","language":"en","page":"4","source":"Springer Link","title":"The global prevalence of methicillin-resistant Staphylococcus aureus colonization in residents of elderly care centers: a systematic review and meta-analysis","title-short":"The global prevalence of methicillin-resistant Staphylococcus aureus colonization in residents of elderly care centers","volume":"12","author":[{"family":"Hasanpour","given":"Amir Hossein"},{"family":"Sepidarkish","given":"Mahdi"},{"family":"Mollalo","given":"Abolfazl"},{"family":"Ardekani","given":"Ali"},{"family":"Almukhtar","given":"Mustafa"},{"family":"Mechaal","given":"Amal"},{"family":"Hosseini","given":"Seyed Reza"},{"family":"Bayani","given":"Masoumeh"},{"family":"Javanian","given":"Mostafa"},{"family":"Rostami","given":"Ali"}],"issued":{"date-parts":[["2023",1,29]]}}}],"schema":"https://github.com/citation-style-language/schema/raw/master/csl-citation.json"} </w:instrText>
      </w:r>
      <w:r>
        <w:rPr>
          <w:rFonts w:eastAsia="Calibri" w:cs="Arial"/>
          <w:b/>
          <w:bCs/>
          <w:lang w:val="fr" w:bidi="ar"/>
        </w:rPr>
        <w:fldChar w:fldCharType="separate"/>
      </w:r>
      <w:r>
        <w:rPr>
          <w:rFonts w:eastAsia="Calibri"/>
          <w:b/>
          <w:bCs/>
          <w:szCs w:val="22"/>
          <w:lang w:val="fr" w:bidi="ar"/>
        </w:rPr>
        <w:t>(Hasanpour</w:t>
      </w:r>
      <w:r>
        <w:rPr>
          <w:rFonts w:eastAsia="Calibri"/>
          <w:b/>
          <w:bCs/>
          <w:i/>
          <w:iCs/>
          <w:szCs w:val="22"/>
          <w:lang w:val="fr" w:bidi="ar"/>
        </w:rPr>
        <w:t xml:space="preserve"> et al</w:t>
      </w:r>
      <w:r>
        <w:rPr>
          <w:rFonts w:eastAsia="Calibri"/>
          <w:b/>
          <w:bCs/>
          <w:szCs w:val="22"/>
          <w:lang w:val="fr" w:bidi="ar"/>
        </w:rPr>
        <w:t>., 2023)</w:t>
      </w:r>
      <w:r>
        <w:rPr>
          <w:rFonts w:eastAsia="Calibri" w:cs="Arial"/>
          <w:b/>
          <w:bCs/>
          <w:lang w:val="fr" w:bidi="ar"/>
        </w:rPr>
        <w:fldChar w:fldCharType="end"/>
      </w:r>
      <w:r>
        <w:rPr>
          <w:lang w:val="fr-FR"/>
        </w:rPr>
        <w:t>.</w:t>
      </w:r>
    </w:p>
    <w:p w14:paraId="7C8B8769" w14:textId="77777777" w:rsidR="00B611D1" w:rsidRDefault="00FB7689">
      <w:pPr>
        <w:pStyle w:val="Titre4"/>
        <w:numPr>
          <w:ilvl w:val="3"/>
          <w:numId w:val="10"/>
        </w:numPr>
        <w:spacing w:line="360" w:lineRule="auto"/>
        <w:rPr>
          <w:rFonts w:ascii="Times New Roman" w:hAnsi="Times New Roman" w:cs="Times New Roman"/>
          <w:b/>
          <w:bCs/>
          <w:i w:val="0"/>
          <w:iCs w:val="0"/>
          <w:lang w:val="fr-FR" w:eastAsia="zh-CN"/>
        </w:rPr>
      </w:pPr>
      <w:bookmarkStart w:id="157" w:name="_Toc201260144"/>
      <w:r>
        <w:rPr>
          <w:rFonts w:ascii="Times New Roman" w:hAnsi="Times New Roman" w:cs="Times New Roman"/>
          <w:b/>
          <w:bCs/>
          <w:i w:val="0"/>
          <w:iCs w:val="0"/>
          <w:color w:val="auto"/>
          <w:lang w:val="fr-FR" w:eastAsia="zh-CN"/>
        </w:rPr>
        <w:t>Les entérobactéries productrices de bêta-lactamases à spectre étendu (BLSE)</w:t>
      </w:r>
      <w:bookmarkEnd w:id="157"/>
      <w:r>
        <w:rPr>
          <w:rFonts w:ascii="Times New Roman" w:hAnsi="Times New Roman" w:cs="Times New Roman"/>
          <w:b/>
          <w:bCs/>
          <w:i w:val="0"/>
          <w:iCs w:val="0"/>
          <w:color w:val="auto"/>
          <w:lang w:val="fr-FR" w:eastAsia="zh-CN"/>
        </w:rPr>
        <w:t xml:space="preserve"> </w:t>
      </w:r>
    </w:p>
    <w:p w14:paraId="0FD6C0C2" w14:textId="77777777" w:rsidR="00B611D1" w:rsidRDefault="00FB7689">
      <w:pPr>
        <w:spacing w:line="360" w:lineRule="auto"/>
        <w:jc w:val="both"/>
        <w:rPr>
          <w:rFonts w:eastAsia="Calibri"/>
          <w:b/>
          <w:bCs/>
          <w:kern w:val="2"/>
          <w:lang w:val="fr-FR" w:eastAsia="zh-CN" w:bidi="ar"/>
        </w:rPr>
      </w:pPr>
      <w:r>
        <w:rPr>
          <w:rFonts w:eastAsia="TimesNewRomanPS-BoldMT"/>
          <w:lang w:val="fr-FR" w:eastAsia="zh-CN"/>
        </w:rPr>
        <w:t xml:space="preserve">Les entérobactéries productrices de bêta-lactamases à spectre étendu (BLSE) constituent aujourd’hui une préoccupation majeure en santé publique, en raison de leur capacité à inactiver un large éventail d’antibiotiques β-lactamines. Parmi les espèces les plus fréquemment impliquées figurent </w:t>
      </w:r>
      <w:r>
        <w:rPr>
          <w:rFonts w:eastAsia="TimesNewRomanPS-BoldMT"/>
          <w:i/>
          <w:iCs/>
          <w:lang w:val="fr-FR" w:eastAsia="zh-CN"/>
        </w:rPr>
        <w:t xml:space="preserve">Escherichia coli </w:t>
      </w:r>
      <w:r>
        <w:rPr>
          <w:rFonts w:eastAsia="TimesNewRomanPS-BoldMT"/>
          <w:lang w:val="fr-FR" w:eastAsia="zh-CN"/>
        </w:rPr>
        <w:t xml:space="preserve">et </w:t>
      </w:r>
      <w:r>
        <w:rPr>
          <w:rFonts w:eastAsia="TimesNewRomanPS-BoldMT"/>
          <w:i/>
          <w:iCs/>
          <w:lang w:val="fr-FR" w:eastAsia="zh-CN"/>
        </w:rPr>
        <w:t>Klebsiella pneumoniae</w:t>
      </w:r>
      <w:r>
        <w:rPr>
          <w:rFonts w:eastAsia="TimesNewRomanPS-BoldMT"/>
          <w:lang w:val="fr-FR" w:eastAsia="zh-CN"/>
        </w:rPr>
        <w:t xml:space="preserve">. Ces bactéries produisent des enzymes capables d’hydrolyser les céphalosporines de troisième génération et l’aztréonam, ce qui compromet l’efficacité de ces traitements </w:t>
      </w:r>
      <w:r>
        <w:rPr>
          <w:rFonts w:eastAsia="Calibri"/>
          <w:b/>
          <w:bCs/>
          <w:lang w:val="fr" w:bidi="ar"/>
        </w:rPr>
        <w:fldChar w:fldCharType="begin"/>
      </w:r>
      <w:r>
        <w:rPr>
          <w:rFonts w:eastAsia="Calibri"/>
          <w:b/>
          <w:bCs/>
          <w:lang w:val="fr" w:bidi="ar"/>
        </w:rPr>
        <w:instrText xml:space="preserve"> ADDIN ZOTERO_ITEM CSL_CITATION {"citationID":"cPrOUgQF","properties":{"formattedCitation":"(Rupp\\uc0\\u233{}, 2010)","plainCitation":"(Ruppé, 2010)","noteIndex":0},"citationItems":[{"id":196,"uris":["http://zotero.org/users/16279382/items/4EIDXSHT"],"itemData":{"id":196,"type":"article-journal","abstract":"Résumé\nLes β-lactamines sont les antibiotiques de première ligne dans le traitement des infections causées par les entérobactéries. Cependant, dès le début de leur utilisation de masse dans les années 1940, leur efficacité a été confrontée à la production d’enzymes les inactivant : les β-lactamases. Parmi elles, les β-lactamases à spectre élargi (BLSE) hydrolysent la majorité des β-lactamines en n’épargnant que les céphamycines (comme la céfoxitine) et les carbapénèmes. L’épidémiologie des BLSE au sein des entérobactéries a récemment changé avec la dissémination massive des enzymes de type CTX-M. Dans les années 1990, les principales BLSE étaient dérivées des enzymes de type TEM et SHV et diffusaient majoritairement au sein de clones hospitaliers de Klebsiella pneumoniae et d’Enterobacter sp. La diffusion de CTX-M au sein de l’espèce Escherichia coli a bouleversé cette situation. Les CTX-M constituent désormais la majorité des BLSE quelle que soit la région du monde à tel point qu’on qualifie leur diffusion de pandémique. Elles sont indifféremment isolées en milieu communautaire ou hospitalier et semblent endémiques dans les établissements de long séjour. La diversité génétique des E. coli les hébergeant est importante, même si l’étude des CTX-M a permis de mettre en évidence la diffusion de clones virulents. La prévalence croissante des BLSE en milieu communautaire pose un problème inédit qui est l’afflux de bactéries multirésistantes de la communauté vers l’hôpital, d’autant plus compliqué à anticiper que les facteurs de risque s’appliquant aux BLSE de type TEM et SHV sont peu efficaces dans la prédiction des CTX-M. Cette revue se focalisera particulièrement sur les nouvelles conditions épidémiologiques des BLSE provoquées par la pandémie des CTX-M (colonisation et infections), particulièrement à travers trois environnements distincts : la communauté, l’hôpital et les établissements de long séjour.\nSummary\nβ-lactam are the first-line antibiotic therapy for infections involving enterobacteria, yet as soon as they were large-scale used, they were challenged by the production of β-lactamases i.e. specific inactivating enzymes. Among them, extended-spectrum β-lactamases (ESBL) hydrolyze most of β-lactam in sparing only cephamycins (such as cefoxitin) and carbapenems. Epidemiology of ESBL-producing enterobacteria (ESBL-E) has recently changed with the emergence and rise of a certain type of ESBL named CTX-M. Unlike former TEM or SHV-derived ESBLs, CTX-M have massively spread over community environments especially through the E. coli host. The steadily increasing prevalence in the community led to an original situation in creating an influx of CTX-M carriers/infected patients from the community to healthcare structures. Plus, CTX-M prediction based on healthcare-related risk factors appears to be weakly effective. Aside community and hospital environments, CTX-M-type β-lactamases have successfully spread over long-term care facilities. The present review will focus on the origin of the ESBL switch, its consequences and the different epidemiological routes of CTX-M in the community, hospitals and long-term care facilities.","container-title":"Antibiotiques","DOI":"10.1016/j.antib.2010.01.003","ISSN":"1294-5501","issue":"1","journalAbbreviation":"Antibiotiques","page":"3-16","source":"ScienceDirect","title":"Épidémiologie des bêta-lactamases à spectre élargi : l’avènement des CTX-M","title-short":"Épidémiologie des bêta-lactamases à spectre élargi","volume":"12","author":[{"family":"Ruppé","given":"E."}],"issued":{"date-parts":[["2010",3,1]]}}}],"schema":"https://github.com/citation-style-language/schema/raw/master/csl-citation.json"} </w:instrText>
      </w:r>
      <w:r>
        <w:rPr>
          <w:rFonts w:eastAsia="Calibri"/>
          <w:b/>
          <w:bCs/>
          <w:lang w:val="fr" w:bidi="ar"/>
        </w:rPr>
        <w:fldChar w:fldCharType="separate"/>
      </w:r>
      <w:r>
        <w:rPr>
          <w:rFonts w:eastAsia="Calibri"/>
          <w:b/>
          <w:bCs/>
          <w:szCs w:val="22"/>
          <w:lang w:val="fr" w:bidi="ar"/>
        </w:rPr>
        <w:t>(Ruppé, 2010)</w:t>
      </w:r>
      <w:r>
        <w:rPr>
          <w:rFonts w:eastAsia="Calibri"/>
          <w:b/>
          <w:bCs/>
          <w:lang w:val="fr" w:bidi="ar"/>
        </w:rPr>
        <w:fldChar w:fldCharType="end"/>
      </w:r>
      <w:r>
        <w:rPr>
          <w:rFonts w:eastAsia="Calibri"/>
          <w:b/>
          <w:bCs/>
          <w:lang w:val="fr-FR" w:bidi="ar"/>
        </w:rPr>
        <w:t xml:space="preserve">. </w:t>
      </w:r>
      <w:r>
        <w:rPr>
          <w:rFonts w:eastAsia="Calibri"/>
          <w:lang w:val="fr-FR"/>
        </w:rPr>
        <w:t>Ce phénomène de résistance ne se limite pas aux β-lactamines : les souches BLSE présentent souvent des co-résistances à plusieurs autres familles d’antibiotiques, notamment les fluoroquinolones, les aminosides et le triméthoprime-sulfaméthoxazole. Cette multirésistance restreint considérablement les choix thérapeutiques disponibles, conduisant fréquemment à l’utilisation de carbapénèmes comme recours ultime. Toutefois, le recours croissant à ces molécules favorise l’émergence de nouvelles menaces, telles que les entérobactéries productrices de carbapénémases, aggravant davantage la problématique de la résistance</w:t>
      </w:r>
      <w:r>
        <w:rPr>
          <w:rFonts w:eastAsia="TimesNewRomanPS-BoldMT"/>
          <w:lang w:val="fr-FR" w:eastAsia="zh-CN"/>
        </w:rPr>
        <w:t xml:space="preserve"> </w:t>
      </w:r>
      <w:r>
        <w:rPr>
          <w:rFonts w:eastAsia="Calibri"/>
          <w:b/>
          <w:bCs/>
          <w:kern w:val="2"/>
          <w:lang w:val="en-US" w:eastAsia="zh-CN" w:bidi="ar"/>
        </w:rPr>
        <w:fldChar w:fldCharType="begin"/>
      </w:r>
      <w:r>
        <w:rPr>
          <w:rFonts w:eastAsia="Calibri"/>
          <w:b/>
          <w:bCs/>
          <w:kern w:val="2"/>
          <w:lang w:val="fr" w:eastAsia="zh-CN" w:bidi="ar"/>
        </w:rPr>
        <w:instrText xml:space="preserve"> ADDIN ZOTERO_ITEM CSL_CITATION {"citationID":"rfeHSSGf","properties":{"formattedCitation":"(Rodr\\uc0\\u237{}guez-Ba\\uc0\\u241{}o et al., 2018)","plainCitation":"(Rodríguez-Baño et al., 2018)","noteIndex":0},"citationItems":[{"id":199,"uris":["http://zotero.org/users/16279382/items/IPHHKPSD"],"itemData":{"id":199,"type":"article-journal","abstract":"Therapy of invasive infections due to multidrug-resistant Enterobacteriaceae (MDR-E) is challenging, and some of the few active drugs are not available in many countries. For extended-spectrum β-lactamase and AmpC producers, carbapenems are the drugs of choice, but alternatives are needed because the rate of carbapenem resistance is rising. Potential active drugs include classic and newer β-lactam–β-lactamase inhibitor combinations, cephamycins, temocillin, aminoglycosides, tigecycline, fosfomycin, and, rarely, fluoroquinolones or trimethoprim-sulfamethoxazole. These drugs might be considered in some specific situations. AmpC producers are resistant to cephamycins, but cefepime is an option. In the case of carbapenemase-producing Enterobacteriaceae (CPE), only some “second-line” drugs, such as polymyxins, tigecycline, aminoglycosides, and fosfomycin, may be active; double carbapenems can also be considered in specific situations. Combination therapy is associated with better outcomes for high-risk patients, such as those in septic shock or with pneumonia. Ceftazidime-avibactam was recently approved and is active against KPC and OXA-48 producers; the available experience is scarce but promising, although development of resistance is a concern. New drugs active against some CPE isolates are in different stages of development, including meropenem-vaborbactam, imipenem-relebactam, plazomicin, cefiderocol, eravacycline, and aztreonam-avibactam. Overall, therapy of MDR-E infection must be individualized according to the susceptibility profile, type, and severity of infection and the features of the patient.","container-title":"Clinical Microbiology Reviews","DOI":"10.1128/CMR.00079-17","ISSN":"0893-8512","issue":"2","journalAbbreviation":"Clin Microbiol Rev","note":"PMID: 29444952\nPMCID: PMC5967687","page":"e00079-17","source":"PubMed Central","title":"Treatment of Infections Caused by Extended-Spectrum-Beta-Lactamase-, AmpC-, and Carbapenemase-Producing Enterobacteriaceae","volume":"31","author":[{"family":"Rodríguez-Baño","given":"Jesús"},{"family":"Gutiérrez-Gutiérrez","given":"Belén"},{"family":"Machuca","given":"Isabel"},{"family":"Pascual","given":"Alvaro"}],"issued":{"date-parts":[["2018",2,14]]}}}],"schema":"https://github.com/citation-style-language/schema/raw/master/csl-citation.json"} </w:instrText>
      </w:r>
      <w:r>
        <w:rPr>
          <w:rFonts w:eastAsia="Calibri"/>
          <w:b/>
          <w:bCs/>
          <w:kern w:val="2"/>
          <w:lang w:val="en-US" w:eastAsia="zh-CN" w:bidi="ar"/>
        </w:rPr>
        <w:fldChar w:fldCharType="separate"/>
      </w:r>
      <w:r>
        <w:rPr>
          <w:rFonts w:eastAsia="Calibri"/>
          <w:b/>
          <w:bCs/>
          <w:szCs w:val="22"/>
          <w:lang w:val="fr" w:eastAsia="zh-CN" w:bidi="ar"/>
        </w:rPr>
        <w:t xml:space="preserve">(Rodríguez-Baño </w:t>
      </w:r>
      <w:r>
        <w:rPr>
          <w:rFonts w:eastAsia="Calibri"/>
          <w:b/>
          <w:bCs/>
          <w:i/>
          <w:iCs/>
          <w:szCs w:val="22"/>
          <w:lang w:val="fr" w:eastAsia="zh-CN" w:bidi="ar"/>
        </w:rPr>
        <w:t>et al</w:t>
      </w:r>
      <w:r>
        <w:rPr>
          <w:rFonts w:eastAsia="Calibri"/>
          <w:b/>
          <w:bCs/>
          <w:szCs w:val="22"/>
          <w:lang w:val="fr" w:eastAsia="zh-CN" w:bidi="ar"/>
        </w:rPr>
        <w:t>., 2018)</w:t>
      </w:r>
      <w:r>
        <w:rPr>
          <w:rFonts w:eastAsia="Calibri"/>
          <w:b/>
          <w:bCs/>
          <w:kern w:val="2"/>
          <w:lang w:val="en-US" w:eastAsia="zh-CN" w:bidi="ar"/>
        </w:rPr>
        <w:fldChar w:fldCharType="end"/>
      </w:r>
      <w:r>
        <w:rPr>
          <w:rFonts w:eastAsia="Calibri"/>
          <w:b/>
          <w:bCs/>
          <w:kern w:val="2"/>
          <w:lang w:val="fr-FR" w:eastAsia="zh-CN" w:bidi="ar"/>
        </w:rPr>
        <w:t>.</w:t>
      </w:r>
    </w:p>
    <w:p w14:paraId="3CAD7E76" w14:textId="77777777" w:rsidR="00B611D1" w:rsidRDefault="00B611D1">
      <w:pPr>
        <w:pStyle w:val="Paragraphedeliste"/>
        <w:keepNext/>
        <w:keepLines/>
        <w:numPr>
          <w:ilvl w:val="0"/>
          <w:numId w:val="11"/>
        </w:numPr>
        <w:spacing w:before="40" w:line="360" w:lineRule="auto"/>
        <w:outlineLvl w:val="3"/>
        <w:rPr>
          <w:rFonts w:asciiTheme="majorHAnsi" w:eastAsiaTheme="majorEastAsia" w:hAnsiTheme="majorHAnsi" w:cstheme="majorBidi"/>
          <w:i/>
          <w:iCs/>
          <w:vanish/>
          <w:color w:val="365F91" w:themeColor="accent1" w:themeShade="BF"/>
        </w:rPr>
      </w:pPr>
      <w:bookmarkStart w:id="158" w:name="_Toc201260145"/>
      <w:bookmarkEnd w:id="158"/>
    </w:p>
    <w:p w14:paraId="66D9403E" w14:textId="77777777" w:rsidR="00B611D1" w:rsidRDefault="00B611D1">
      <w:pPr>
        <w:pStyle w:val="Paragraphedeliste"/>
        <w:keepNext/>
        <w:keepLines/>
        <w:numPr>
          <w:ilvl w:val="1"/>
          <w:numId w:val="11"/>
        </w:numPr>
        <w:spacing w:before="40" w:line="360" w:lineRule="auto"/>
        <w:outlineLvl w:val="3"/>
        <w:rPr>
          <w:rFonts w:asciiTheme="majorHAnsi" w:eastAsiaTheme="majorEastAsia" w:hAnsiTheme="majorHAnsi" w:cstheme="majorBidi"/>
          <w:i/>
          <w:iCs/>
          <w:vanish/>
          <w:color w:val="365F91" w:themeColor="accent1" w:themeShade="BF"/>
        </w:rPr>
      </w:pPr>
      <w:bookmarkStart w:id="159" w:name="_Toc201260146"/>
      <w:bookmarkEnd w:id="159"/>
    </w:p>
    <w:p w14:paraId="37828063" w14:textId="77777777" w:rsidR="00B611D1" w:rsidRDefault="00B611D1">
      <w:pPr>
        <w:pStyle w:val="Paragraphedeliste"/>
        <w:keepNext/>
        <w:keepLines/>
        <w:numPr>
          <w:ilvl w:val="1"/>
          <w:numId w:val="11"/>
        </w:numPr>
        <w:spacing w:before="40" w:line="360" w:lineRule="auto"/>
        <w:outlineLvl w:val="3"/>
        <w:rPr>
          <w:rFonts w:asciiTheme="majorHAnsi" w:eastAsiaTheme="majorEastAsia" w:hAnsiTheme="majorHAnsi" w:cstheme="majorBidi"/>
          <w:i/>
          <w:iCs/>
          <w:vanish/>
          <w:color w:val="365F91" w:themeColor="accent1" w:themeShade="BF"/>
        </w:rPr>
      </w:pPr>
      <w:bookmarkStart w:id="160" w:name="_Toc201260147"/>
      <w:bookmarkEnd w:id="160"/>
    </w:p>
    <w:p w14:paraId="24842517" w14:textId="77777777" w:rsidR="00B611D1" w:rsidRDefault="00B611D1">
      <w:pPr>
        <w:pStyle w:val="Paragraphedeliste"/>
        <w:keepNext/>
        <w:keepLines/>
        <w:numPr>
          <w:ilvl w:val="1"/>
          <w:numId w:val="11"/>
        </w:numPr>
        <w:spacing w:before="40" w:line="360" w:lineRule="auto"/>
        <w:outlineLvl w:val="3"/>
        <w:rPr>
          <w:rFonts w:asciiTheme="majorHAnsi" w:eastAsiaTheme="majorEastAsia" w:hAnsiTheme="majorHAnsi" w:cstheme="majorBidi"/>
          <w:i/>
          <w:iCs/>
          <w:vanish/>
          <w:color w:val="365F91" w:themeColor="accent1" w:themeShade="BF"/>
        </w:rPr>
      </w:pPr>
      <w:bookmarkStart w:id="161" w:name="_Toc201260148"/>
      <w:bookmarkEnd w:id="161"/>
    </w:p>
    <w:p w14:paraId="7C8FB5FF" w14:textId="77777777" w:rsidR="00B611D1" w:rsidRDefault="00B611D1">
      <w:pPr>
        <w:pStyle w:val="Paragraphedeliste"/>
        <w:keepNext/>
        <w:keepLines/>
        <w:numPr>
          <w:ilvl w:val="2"/>
          <w:numId w:val="11"/>
        </w:numPr>
        <w:spacing w:before="40" w:line="360" w:lineRule="auto"/>
        <w:outlineLvl w:val="3"/>
        <w:rPr>
          <w:rFonts w:asciiTheme="majorHAnsi" w:eastAsiaTheme="majorEastAsia" w:hAnsiTheme="majorHAnsi" w:cstheme="majorBidi"/>
          <w:i/>
          <w:iCs/>
          <w:vanish/>
          <w:color w:val="365F91" w:themeColor="accent1" w:themeShade="BF"/>
        </w:rPr>
      </w:pPr>
      <w:bookmarkStart w:id="162" w:name="_Toc201260149"/>
      <w:bookmarkEnd w:id="162"/>
    </w:p>
    <w:p w14:paraId="30460541" w14:textId="77777777" w:rsidR="00B611D1" w:rsidRDefault="00B611D1">
      <w:pPr>
        <w:pStyle w:val="Paragraphedeliste"/>
        <w:keepNext/>
        <w:keepLines/>
        <w:numPr>
          <w:ilvl w:val="2"/>
          <w:numId w:val="11"/>
        </w:numPr>
        <w:spacing w:before="40" w:line="360" w:lineRule="auto"/>
        <w:outlineLvl w:val="3"/>
        <w:rPr>
          <w:rFonts w:asciiTheme="majorHAnsi" w:eastAsiaTheme="majorEastAsia" w:hAnsiTheme="majorHAnsi" w:cstheme="majorBidi"/>
          <w:i/>
          <w:iCs/>
          <w:vanish/>
          <w:color w:val="365F91" w:themeColor="accent1" w:themeShade="BF"/>
        </w:rPr>
      </w:pPr>
      <w:bookmarkStart w:id="163" w:name="_Toc201260150"/>
      <w:bookmarkEnd w:id="163"/>
    </w:p>
    <w:p w14:paraId="09444DC8" w14:textId="77777777" w:rsidR="00B611D1" w:rsidRDefault="00B611D1">
      <w:pPr>
        <w:pStyle w:val="Paragraphedeliste"/>
        <w:keepNext/>
        <w:keepLines/>
        <w:numPr>
          <w:ilvl w:val="3"/>
          <w:numId w:val="11"/>
        </w:numPr>
        <w:spacing w:before="40" w:line="360" w:lineRule="auto"/>
        <w:outlineLvl w:val="3"/>
        <w:rPr>
          <w:rFonts w:asciiTheme="majorHAnsi" w:eastAsiaTheme="majorEastAsia" w:hAnsiTheme="majorHAnsi" w:cstheme="majorBidi"/>
          <w:i/>
          <w:iCs/>
          <w:vanish/>
          <w:color w:val="365F91" w:themeColor="accent1" w:themeShade="BF"/>
        </w:rPr>
      </w:pPr>
      <w:bookmarkStart w:id="164" w:name="_Toc201260151"/>
      <w:bookmarkEnd w:id="164"/>
    </w:p>
    <w:p w14:paraId="1C68A9DB" w14:textId="77777777" w:rsidR="00B611D1" w:rsidRDefault="00B611D1">
      <w:pPr>
        <w:pStyle w:val="Paragraphedeliste"/>
        <w:keepNext/>
        <w:keepLines/>
        <w:numPr>
          <w:ilvl w:val="3"/>
          <w:numId w:val="11"/>
        </w:numPr>
        <w:spacing w:before="40" w:line="360" w:lineRule="auto"/>
        <w:outlineLvl w:val="3"/>
        <w:rPr>
          <w:rFonts w:asciiTheme="majorHAnsi" w:eastAsiaTheme="majorEastAsia" w:hAnsiTheme="majorHAnsi" w:cstheme="majorBidi"/>
          <w:i/>
          <w:iCs/>
          <w:vanish/>
          <w:color w:val="365F91" w:themeColor="accent1" w:themeShade="BF"/>
        </w:rPr>
      </w:pPr>
      <w:bookmarkStart w:id="165" w:name="_Toc201260152"/>
      <w:bookmarkEnd w:id="165"/>
    </w:p>
    <w:p w14:paraId="7648F2DF" w14:textId="77777777" w:rsidR="00B611D1" w:rsidRDefault="00FB7689">
      <w:pPr>
        <w:pStyle w:val="Titre4"/>
        <w:numPr>
          <w:ilvl w:val="3"/>
          <w:numId w:val="11"/>
        </w:numPr>
        <w:spacing w:line="360" w:lineRule="auto"/>
        <w:rPr>
          <w:rFonts w:ascii="Times New Roman" w:hAnsi="Times New Roman" w:cs="Times New Roman"/>
          <w:b/>
          <w:bCs/>
          <w:i w:val="0"/>
          <w:iCs w:val="0"/>
          <w:color w:val="auto"/>
          <w:lang w:val="fr-FR"/>
        </w:rPr>
      </w:pPr>
      <w:bookmarkStart w:id="166" w:name="_Toc201260153"/>
      <w:r>
        <w:rPr>
          <w:rFonts w:ascii="Times New Roman" w:hAnsi="Times New Roman" w:cs="Times New Roman"/>
          <w:b/>
          <w:bCs/>
          <w:i w:val="0"/>
          <w:iCs w:val="0"/>
          <w:color w:val="auto"/>
          <w:lang w:val="fr-FR"/>
        </w:rPr>
        <w:t>Bactéries résistantes à la vancomycine (VRE et VRSA)</w:t>
      </w:r>
      <w:bookmarkEnd w:id="166"/>
    </w:p>
    <w:p w14:paraId="679A5DAE" w14:textId="77777777" w:rsidR="00B611D1" w:rsidRDefault="00FB7689">
      <w:pPr>
        <w:spacing w:line="360" w:lineRule="auto"/>
        <w:jc w:val="both"/>
        <w:rPr>
          <w:rFonts w:eastAsia="Calibri"/>
          <w:kern w:val="2"/>
          <w:lang w:val="fr-FR" w:eastAsia="zh-CN"/>
        </w:rPr>
      </w:pPr>
      <w:r>
        <w:rPr>
          <w:rFonts w:eastAsia="Calibri"/>
          <w:kern w:val="2"/>
          <w:lang w:val="fr-FR" w:eastAsia="zh-CN"/>
        </w:rPr>
        <w:t xml:space="preserve">La résistance à la vancomycine constitue une menace croissante en santé publique, particulièrement chez les bactéries à Gram positif telles que les entérocoques et </w:t>
      </w:r>
      <w:r>
        <w:rPr>
          <w:rFonts w:eastAsia="Calibri"/>
          <w:i/>
          <w:iCs/>
          <w:kern w:val="2"/>
          <w:lang w:val="fr-FR" w:eastAsia="zh-CN"/>
        </w:rPr>
        <w:t>Staphylococcus aureus</w:t>
      </w:r>
      <w:r>
        <w:rPr>
          <w:rFonts w:eastAsia="Calibri"/>
          <w:kern w:val="2"/>
          <w:lang w:val="fr-FR" w:eastAsia="zh-CN"/>
        </w:rPr>
        <w:t xml:space="preserve">. </w:t>
      </w:r>
    </w:p>
    <w:p w14:paraId="2808C20A" w14:textId="77777777" w:rsidR="00B611D1" w:rsidRDefault="00FB7689">
      <w:pPr>
        <w:spacing w:line="360" w:lineRule="auto"/>
        <w:jc w:val="both"/>
        <w:rPr>
          <w:rFonts w:eastAsia="Calibri"/>
          <w:lang w:val="fr-FR" w:eastAsia="zh-CN"/>
        </w:rPr>
      </w:pPr>
      <w:r>
        <w:rPr>
          <w:rFonts w:eastAsia="Calibri"/>
          <w:kern w:val="2"/>
          <w:lang w:val="fr-FR" w:eastAsia="zh-CN"/>
        </w:rPr>
        <w:t xml:space="preserve">Les entérocoques résistants à la vancomycine (VRE), principalement Enterococcus faecium et Enterococcus faecalis, ont acquis des gènes de résistance tels que vanA et vanB, souvent portés par des plasmides ou des transposons.  Ces gènes modifient la cible de la vancomycine dans la paroi cellulaire, réduisant ainsi l'affinité de l'antibiotique et rendant les traitements inefficaces </w:t>
      </w:r>
      <w:r>
        <w:rPr>
          <w:rFonts w:eastAsia="Calibri"/>
          <w:b/>
          <w:bCs/>
          <w:lang w:val="fr" w:bidi="ar"/>
        </w:rPr>
        <w:fldChar w:fldCharType="begin"/>
      </w:r>
      <w:r>
        <w:rPr>
          <w:rFonts w:eastAsia="Calibri"/>
          <w:b/>
          <w:bCs/>
          <w:lang w:val="fr" w:bidi="ar"/>
        </w:rPr>
        <w:instrText xml:space="preserve"> ADDIN ZOTERO_ITEM CSL_CITATION {"citationID":"MPW9Kb8L","properties":{"formattedCitation":"(Iqbal et al., 2024)","plainCitation":"(Iqbal et al., 2024)","noteIndex":0},"citationItems":[{"id":202,"uris":["http://zotero.org/users/16279382/items/49QS27PK"],"itemData":{"id":202,"type":"article-journal","abstract":"Introduction\nImproper antibiotic use triggers outbreaks of hospital-acquired VRE infections. Relevant studies were gathered from Scopus, and PubMed. Over two decades, prevalence of VRE in humans and animals grew from 0.05 % to 99.0 % globally and from 1.0 % to 45.6 % in India. Identifying VRE at the species level helps identify acquired/intrinsic resistance.\nResults and conclusion\nVRE infections, especially bloodstream infections, inflict significant mortality (60-70%-global; 23%-India) and economic burden ($539 million). Linezolid and daptomycin are frequently used without adequate clinical trial evidence. India lacks studies on prevalence, mortality and cost, which needs political will, public-private partnership, and prioritizing public health.","container-title":"Clinical Epidemiology and Global Health","DOI":"10.1016/j.cegh.2024.101663","ISSN":"2213-3984","journalAbbreviation":"Clinical Epidemiology and Global Health","page":"101663","source":"ScienceDirect","title":"Vancomycin-resistant enterococci: A rising challenge to global health","title-short":"Vancomycin-resistant enterococci","volume":"28","author":[{"family":"Iqbal","given":"Faiza"},{"family":"Alocious","given":"Arya"},{"family":"Joy","given":"Selin C."},{"family":"Stanly","given":"Elstin Anbu Raj"},{"family":"Rajesh","given":"V."},{"family":"Unnikrishnan","given":"M. K."},{"family":"Steinke","given":"Douglas"},{"family":"Chandra","given":"Prashant"}],"issued":{"date-parts":[["2024",7,1]]}}}],"schema":"https://github.com/citation-style-language/schema/raw/master/csl-citation.json"}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(Iqbal </w:t>
      </w:r>
      <w:r>
        <w:rPr>
          <w:rFonts w:eastAsia="Calibri"/>
          <w:b/>
          <w:bCs/>
          <w:i/>
          <w:iCs/>
          <w:szCs w:val="22"/>
          <w:lang w:val="fr" w:bidi="ar"/>
        </w:rPr>
        <w:t>et al</w:t>
      </w:r>
      <w:r>
        <w:rPr>
          <w:rFonts w:eastAsia="Calibri"/>
          <w:b/>
          <w:bCs/>
          <w:szCs w:val="22"/>
          <w:lang w:val="fr" w:bidi="ar"/>
        </w:rPr>
        <w:t>., 2024)</w:t>
      </w:r>
      <w:r>
        <w:rPr>
          <w:rFonts w:eastAsia="Calibri"/>
          <w:b/>
          <w:bCs/>
          <w:lang w:val="fr" w:bidi="ar"/>
        </w:rPr>
        <w:fldChar w:fldCharType="end"/>
      </w:r>
      <w:r>
        <w:rPr>
          <w:rFonts w:eastAsia="Calibri"/>
          <w:b/>
          <w:bCs/>
          <w:lang w:val="fr" w:bidi="ar"/>
        </w:rPr>
        <w:t>.</w:t>
      </w:r>
    </w:p>
    <w:p w14:paraId="7308CDB3" w14:textId="77777777" w:rsidR="00B611D1" w:rsidRDefault="00FB7689">
      <w:pPr>
        <w:spacing w:after="200" w:line="360" w:lineRule="auto"/>
        <w:jc w:val="both"/>
        <w:rPr>
          <w:rFonts w:eastAsia="Calibri"/>
          <w:b/>
          <w:bCs/>
          <w:kern w:val="2"/>
          <w:lang w:val="fr" w:eastAsia="zh-CN" w:bidi="ar"/>
        </w:rPr>
      </w:pPr>
      <w:r>
        <w:rPr>
          <w:rFonts w:eastAsia="Calibri"/>
          <w:kern w:val="2"/>
          <w:lang w:val="fr" w:eastAsia="zh-CN" w:bidi="ar"/>
        </w:rPr>
        <w:t xml:space="preserve">La résistance des souches </w:t>
      </w:r>
      <w:r>
        <w:rPr>
          <w:rFonts w:eastAsia="Calibri"/>
          <w:i/>
          <w:iCs/>
          <w:kern w:val="2"/>
          <w:lang w:val="fr" w:eastAsia="zh-CN" w:bidi="ar"/>
        </w:rPr>
        <w:t>Staphylococcus aureus</w:t>
      </w:r>
      <w:r>
        <w:rPr>
          <w:rFonts w:eastAsia="Calibri"/>
          <w:kern w:val="2"/>
          <w:lang w:val="fr" w:eastAsia="zh-CN" w:bidi="ar"/>
        </w:rPr>
        <w:t xml:space="preserve"> résulte principalement de l’acquisition horizontale du gène vanA, généralement transmis par des Enterococcus faecalis résistants à la vancomycine (VRE). Ce gène est intégré dans le génome du staphylocoque via le transposon Tn1546, localisé sur un plasmide. Cette intégration entraîne une modification de la structure du peptidoglycane de la paroi cellulaire, par substitution du dipeptide D-Ala-D-Ala par D-Ala-D-Lac, réduisant ainsi l'affinité de la vancomycine pour sa cible et compromettant son efficacité antibactérienne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{"citationID":"oiuw6ZiH","properties":{"formattedCitation":"(Cong et al., 2020)","plainCitation":"(Cong et al., 2020)","noteIndex":0},"citationItems":[{"id":214,"uris":["http://zotero.org/users/16279382/items/BJC4Q4QX"],"itemData":{"id":214,"type":"article-journal","abstract":"The infection caused by methicillin-resistant Staphylococcus aureus (MRSA) is a global threat to public health. Vancomycin remains one of the first-line drugs for the treatment of MRSA infections. However, S. aureus isolates with complete resistance to vancomycin have emerged in recent years. Vancomycin-resistant S. aureus (VRSA) is mediated by a vanA gene cluster, which is transferred from vancomycin-resistant enterococcus. Since the first VRSA isolate was recovered from Michigan, USA in 2002, 52 VRSA strains have been isolated worldwide. In this paper, we review the latest progresses in VRSA, highlighting its resistance mechanism, characteristics of VRSA infections, as well as clinical treatments.","container-title":"Journal of Advanced Research","DOI":"10.1016/j.jare.2019.10.005","ISSN":"2090-1232","journalAbbreviation":"Journal of Advanced Research","page":"169-176","source":"ScienceDirect","title":"Vancomycin resistant &lt;i&gt;Staphylococcus aureus&lt;/i&gt; infections: A review of case updating and clinical features","title-short":"Vancomycin resistant &lt;i&gt;Staphylococcus aureus&lt;/i&gt; infections","volume":"21","author":[{"family":"Cong","given":"Yanguang"},{"family":"Yang","given":"Sijin"},{"family":"Rao","given":"Xiancai"}],"issued":{"date-parts":[["2020",1,1]]}}}],"schema":"https://github.com/citation-style-language/schema/raw/master/csl-citation.json"}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 xml:space="preserve">(Cong </w:t>
      </w:r>
      <w:r>
        <w:rPr>
          <w:rFonts w:eastAsia="Calibri"/>
          <w:b/>
          <w:bCs/>
          <w:i/>
          <w:iCs/>
          <w:kern w:val="2"/>
          <w:szCs w:val="22"/>
          <w:lang w:val="fr" w:eastAsia="zh-CN" w:bidi="ar"/>
        </w:rPr>
        <w:t>et al</w:t>
      </w:r>
      <w:r>
        <w:rPr>
          <w:rFonts w:eastAsia="Calibri"/>
          <w:b/>
          <w:bCs/>
          <w:kern w:val="2"/>
          <w:szCs w:val="22"/>
          <w:lang w:val="fr" w:eastAsia="zh-CN" w:bidi="ar"/>
        </w:rPr>
        <w:t>., 2020)</w:t>
      </w:r>
      <w:r>
        <w:rPr>
          <w:rFonts w:eastAsia="Calibri"/>
          <w:b/>
          <w:bCs/>
          <w:kern w:val="2"/>
          <w:lang w:val="fr" w:eastAsia="zh-CN" w:bidi="ar"/>
        </w:rPr>
        <w:fldChar w:fldCharType="end"/>
      </w:r>
      <w:r>
        <w:rPr>
          <w:rFonts w:eastAsia="Calibri"/>
          <w:b/>
          <w:bCs/>
          <w:kern w:val="2"/>
          <w:lang w:val="fr" w:eastAsia="zh-CN" w:bidi="ar"/>
        </w:rPr>
        <w:t>.</w:t>
      </w:r>
      <w:r>
        <w:rPr>
          <w:rFonts w:eastAsia="Calibri"/>
          <w:b/>
          <w:bCs/>
          <w:kern w:val="2"/>
          <w:lang w:val="fr-FR" w:eastAsia="zh-CN" w:bidi="ar"/>
        </w:rPr>
        <w:t xml:space="preserve"> </w:t>
      </w:r>
      <w:r>
        <w:rPr>
          <w:rFonts w:eastAsia="Calibri"/>
          <w:kern w:val="2"/>
          <w:lang w:val="fr" w:eastAsia="zh-CN" w:bidi="ar"/>
        </w:rPr>
        <w:t xml:space="preserve">Bien que les cas de VRSA restent relativement rares à l’échelle mondiale, plusieurs études ont rapporté une augmentation progressive de leur prévalence dans certaines régions, ce qui souligne la nécessité d'une surveillance épidémiologique rigoureuse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{"citationID":"Knrq6s4H","properties":{"formattedCitation":"(Belete et al., 2023)","plainCitation":"(Belete et al., 2023)","noteIndex":0},"citationItems":[{"id":207,"uris":["http://zotero.org/users/16279382/items/UAEBVHVL"],"itemData":{"id":207,"type":"article-journal","abstract":"Vancomycin-resistant Staphylococcus aureus, identified as a “high priority antibiotic-resistant pathogen” by the World Health Organization, poses a significant threat to human health. This systematic review and meta-analysis aimed to estimate the pooled prevalence of vancomycin-resistant Staphylococcus aureus in Ethiopia.","container-title":"Antimicrobial Resistance &amp; Infection Control","DOI":"10.1186/s13756-023-01291-3","ISSN":"2047-2994","issue":"1","journalAbbreviation":"Antimicrob Resist Infect Control","language":"en","page":"86","source":"Springer Link","title":"The prevalence of vancomycin-resistant Staphylococcus aureus in Ethiopia: a systematic review and meta-analysis","title-short":"The prevalence of vancomycin-resistant Staphylococcus aureus in Ethiopia","volume":"12","author":[{"family":"Belete","given":"Melaku Ashagrie"},{"family":"Gedefie","given":"Alemu"},{"family":"Alemayehu","given":"Ermiyas"},{"family":"Debash","given":"Habtu"},{"family":"Mohammed","given":"Ousman"},{"family":"Gebretsadik","given":"Daniel"},{"family":"Ebrahim","given":"Hussen"},{"family":"Tilahun","given":"Mihret"}],"issued":{"date-parts":[["2023",8,30]]}}}],"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 xml:space="preserve">(Belete </w:t>
      </w:r>
      <w:r>
        <w:rPr>
          <w:rFonts w:eastAsia="Calibri"/>
          <w:b/>
          <w:bCs/>
          <w:i/>
          <w:iCs/>
          <w:kern w:val="2"/>
          <w:szCs w:val="22"/>
          <w:lang w:val="fr" w:eastAsia="zh-CN" w:bidi="ar"/>
        </w:rPr>
        <w:t>et al</w:t>
      </w:r>
      <w:r>
        <w:rPr>
          <w:rFonts w:eastAsia="Calibri"/>
          <w:b/>
          <w:bCs/>
          <w:kern w:val="2"/>
          <w:szCs w:val="22"/>
          <w:lang w:val="fr" w:eastAsia="zh-CN" w:bidi="ar"/>
        </w:rPr>
        <w:t>., 2023)</w:t>
      </w:r>
      <w:r>
        <w:rPr>
          <w:rFonts w:eastAsia="Calibri"/>
          <w:b/>
          <w:bCs/>
          <w:kern w:val="2"/>
          <w:lang w:val="fr" w:eastAsia="zh-CN" w:bidi="ar"/>
        </w:rPr>
        <w:fldChar w:fldCharType="end"/>
      </w:r>
      <w:r>
        <w:rPr>
          <w:rFonts w:eastAsia="Calibri"/>
          <w:b/>
          <w:bCs/>
          <w:kern w:val="2"/>
          <w:lang w:val="fr" w:eastAsia="zh-CN" w:bidi="ar"/>
        </w:rPr>
        <w:t>.</w:t>
      </w:r>
    </w:p>
    <w:p w14:paraId="33C84497" w14:textId="77777777" w:rsidR="00B611D1" w:rsidRDefault="00B611D1">
      <w:pPr>
        <w:pStyle w:val="Paragraphedeliste"/>
        <w:numPr>
          <w:ilvl w:val="2"/>
          <w:numId w:val="1"/>
        </w:numPr>
        <w:spacing w:line="360" w:lineRule="auto"/>
        <w:jc w:val="both"/>
        <w:outlineLvl w:val="2"/>
        <w:rPr>
          <w:rFonts w:eastAsia="Calibri"/>
          <w:b/>
          <w:bCs/>
          <w:vanish/>
          <w:lang w:val="fr" w:eastAsia="zh-CN" w:bidi="ar"/>
        </w:rPr>
      </w:pPr>
      <w:bookmarkStart w:id="167" w:name="_Toc201260154"/>
      <w:bookmarkEnd w:id="167"/>
    </w:p>
    <w:p w14:paraId="24FC1260" w14:textId="77777777" w:rsidR="00B611D1" w:rsidRDefault="00FB7689">
      <w:pPr>
        <w:pStyle w:val="Titre3"/>
        <w:numPr>
          <w:ilvl w:val="2"/>
          <w:numId w:val="1"/>
        </w:numPr>
        <w:spacing w:line="360" w:lineRule="auto"/>
        <w:rPr>
          <w:rFonts w:eastAsia="Calibri"/>
          <w:lang w:val="fr" w:eastAsia="zh-CN" w:bidi="ar"/>
        </w:rPr>
      </w:pPr>
      <w:bookmarkStart w:id="168" w:name="_Toc201260155"/>
      <w:r>
        <w:rPr>
          <w:rFonts w:eastAsia="Calibri"/>
          <w:lang w:val="fr" w:eastAsia="zh-CN" w:bidi="ar"/>
        </w:rPr>
        <w:t>Mécanismes de résistance émergents</w:t>
      </w:r>
      <w:bookmarkEnd w:id="168"/>
    </w:p>
    <w:p w14:paraId="7559A538" w14:textId="77777777" w:rsidR="00B611D1" w:rsidRDefault="00FB7689">
      <w:pPr>
        <w:spacing w:after="200" w:line="360" w:lineRule="auto"/>
        <w:jc w:val="both"/>
        <w:rPr>
          <w:rFonts w:eastAsia="Calibri"/>
          <w:lang w:val="fr" w:bidi="ar"/>
        </w:rPr>
      </w:pPr>
      <w:r>
        <w:rPr>
          <w:rFonts w:eastAsia="Calibri"/>
          <w:kern w:val="2"/>
          <w:lang w:val="fr-FR" w:eastAsia="zh-CN" w:bidi="ar"/>
        </w:rPr>
        <w:t>Fa</w:t>
      </w:r>
      <w:r>
        <w:rPr>
          <w:rFonts w:eastAsia="Calibri"/>
          <w:kern w:val="2"/>
          <w:lang w:val="fr" w:eastAsia="zh-CN" w:bidi="ar"/>
        </w:rPr>
        <w:t xml:space="preserve">ce à la pression sélective exercée par l’utilisation massive des antibiotiques, les bactéries ont développé divers mécanismes leur permettant de survivre et de se multiplier malgré l'exposition à ces médicaments </w:t>
      </w:r>
      <w:r>
        <w:rPr>
          <w:rFonts w:eastAsia="Calibri"/>
          <w:b/>
          <w:bCs/>
          <w:kern w:val="2"/>
          <w:lang w:val="fr" w:eastAsia="zh-CN" w:bidi="ar"/>
        </w:rPr>
        <w:t xml:space="preserve">(Figure </w:t>
      </w:r>
      <w:r>
        <w:rPr>
          <w:rFonts w:eastAsia="Calibri"/>
          <w:b/>
          <w:bCs/>
          <w:kern w:val="2"/>
          <w:lang w:val="fr-FR" w:eastAsia="zh-CN" w:bidi="ar"/>
        </w:rPr>
        <w:t>8</w:t>
      </w:r>
      <w:r>
        <w:rPr>
          <w:rFonts w:eastAsia="Calibri"/>
          <w:b/>
          <w:bCs/>
          <w:kern w:val="2"/>
          <w:lang w:val="fr" w:eastAsia="zh-CN" w:bidi="ar"/>
        </w:rPr>
        <w:t>)</w:t>
      </w:r>
      <w:r>
        <w:rPr>
          <w:rFonts w:eastAsia="Calibri"/>
          <w:kern w:val="2"/>
          <w:lang w:val="fr" w:eastAsia="zh-CN" w:bidi="ar"/>
        </w:rPr>
        <w:t xml:space="preserve">. Ces mécanismes comprennent des mutations génétiques altérant la cible de l’antibiotique, des pompes d’efflux qui expulsent l'antibiotique hors de la cellule,  et la production d'enzymes qui inactivent l'antibiotique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{"citationID":"NV1krqYA","properties":{"formattedCitation":"(Salam et al., 2023)","plainCitation":"(Salam et al., 2023)","noteIndex":0},"citationItems":[{"id":220,"uris":["http://zotero.org/users/16279382/items/BTJJZG8D"],"itemData":{"id":220,"type":"article-journal","abstract":"Antibiotics are among the most important discoveries of the 20th century, having saved millions of lives from infectious diseases. Microbes have developed acquired antimicrobial resistance (AMR) to many drugs due to high selection pressure from increasing use and misuse of antibiotics over the years. The transmission and acquisition of AMR occur primarily via a human–human interface both within and outside of healthcare facilities. A huge number of interdependent factors related to healthcare and agriculture govern the development of AMR through various drug-resistance mechanisms. The emergence and spread of AMR from the unrestricted use of antimicrobials in livestock feed has been a major contributing factor. The prevalence of antimicrobial-resistant bacteria has attained an incongruous level worldwide and threatens global public health as a silent pandemic, necessitating urgent intervention. Therapeutic options of infections caused by antimicrobial-resistant bacteria are limited, resulting in significant morbidity and mortality with high financial impact. The paucity in discovery and supply of new novel antimicrobials to treat life-threatening infections by resistant pathogens stands in sharp contrast to demand. Immediate interventions to contain AMR include surveillance and monitoring, minimizing over-the-counter antibiotics and antibiotics in food animals, access to quality and affordable medicines, vaccines and diagnostics, and enforcement of legislation. An orchestrated collaborative action within and between multiple national and international organizations is required urgently, otherwise, a postantibiotic era can be a more real possibility than an apocalyptic fantasy for the 21st century. This narrative review highlights on this basis, mechanisms and factors in microbial resistance, and key strategies to combat antimicrobial resistance.","container-title":"Healthcare","DOI":"10.3390/healthcare11131946","ISSN":"2227-9032","issue":"13","language":"en","license":"http://creativecommons.org/licenses/by/3.0/","note":"number: 13\npublisher: Multidisciplinary Digital Publishing Institute","page":"1946","source":"www.mdpi.com","title":"Antimicrobial Resistance: A Growing Serious Threat for Global Public Health","title-short":"Antimicrobial Resistance","volume":"11","author":[{"family":"Salam","given":"Md Abdus"},{"family":"Al-Amin","given":"Md Yusuf"},{"family":"Salam","given":"Moushumi Tabassoom"},{"family":"Pawar","given":"Jogendra Singh"},{"family":"Akhter","given":"Naseem"},{"family":"Rabaan","given":"Ali A."},{"family":"Alqumber","given":"Mohammed A. A."}],"issued":{"date-parts":[["2023",1]]}}}],"schema":"https://github.com/citation-style-language/schema/raw/master/csl-citation.json"}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 xml:space="preserve">(Salam </w:t>
      </w:r>
      <w:r>
        <w:rPr>
          <w:rFonts w:eastAsia="Calibri"/>
          <w:b/>
          <w:bCs/>
          <w:i/>
          <w:iCs/>
          <w:kern w:val="2"/>
          <w:szCs w:val="22"/>
          <w:lang w:val="fr" w:eastAsia="zh-CN" w:bidi="ar"/>
        </w:rPr>
        <w:t>et al</w:t>
      </w:r>
      <w:r>
        <w:rPr>
          <w:rFonts w:eastAsia="Calibri"/>
          <w:b/>
          <w:bCs/>
          <w:kern w:val="2"/>
          <w:szCs w:val="22"/>
          <w:lang w:val="fr" w:eastAsia="zh-CN" w:bidi="ar"/>
        </w:rPr>
        <w:t>., 2023)</w:t>
      </w:r>
      <w:r>
        <w:rPr>
          <w:rFonts w:eastAsia="Calibri"/>
          <w:b/>
          <w:bCs/>
          <w:kern w:val="2"/>
          <w:lang w:val="fr" w:eastAsia="zh-CN" w:bidi="ar"/>
        </w:rPr>
        <w:fldChar w:fldCharType="end"/>
      </w:r>
      <w:r>
        <w:rPr>
          <w:rFonts w:eastAsia="Calibri"/>
          <w:b/>
          <w:bCs/>
          <w:kern w:val="2"/>
          <w:lang w:val="fr-FR" w:eastAsia="zh-CN"/>
        </w:rPr>
        <w:t xml:space="preserve">. </w:t>
      </w:r>
      <w:r>
        <w:rPr>
          <w:rFonts w:eastAsia="Calibri"/>
          <w:kern w:val="2"/>
          <w:lang w:val="fr-FR" w:eastAsia="zh-CN"/>
        </w:rPr>
        <w:t xml:space="preserve">Grâce à ces stratégies adaptatives, les bactéries peuvent non seulement résister au traitement, mais aussi transmettre ces caractères de résistance à leur descendance, contribuant ainsi à la propagation de souches multirésistantes </w:t>
      </w:r>
      <w:r>
        <w:rPr>
          <w:rFonts w:eastAsia="Calibri"/>
          <w:b/>
          <w:bCs/>
          <w:lang w:val="fr" w:bidi="ar"/>
        </w:rPr>
        <w:fldChar w:fldCharType="begin"/>
      </w:r>
      <w:r>
        <w:rPr>
          <w:rFonts w:eastAsia="Calibri"/>
          <w:b/>
          <w:bCs/>
          <w:lang w:val="fr" w:bidi="ar"/>
        </w:rPr>
        <w:instrText xml:space="preserve"> ADDIN ZOTERO_ITEM CSL_CITATION {"citationID":"eGTHmOx7","properties":{"formattedCitation":"(Tao et al., 2022)","plainCitation":"(Tao et al., 2022)","noteIndex":0},"citationItems":[{"id":227,"uris":["http://zotero.org/users/16279382/items/ZIMUTFEN"],"itemData":{"id":227,"type":"article-journal","abstract":"Infections caused by antibiotic-resistant bacteria are a major public health threat. The emergence and spread of antibiotic resistance genes (ARGs) in the environment or clinical setting pose a serious threat to human and animal health worldwide. Horizontal gene transfer (HGT) of ARGs is one of the main reasons for the dissemination of antibiotic resistance in vitro and in vivo environments. There is a consensus on the role of mobile genetic elements (MGEs) in the spread of bacterial resistance. Most drug resistance genes are located on plasmids, and the spread of drug resistance genes among microorganisms through plasmid-mediated conjugation transfer is the most common and effective way for the spread of multidrug resistance. Experimental studies of the processes driving the spread of antibiotic resistance have focused on simple in vitro model systems, but the current in vitro protocols might not correctly reflect the HGT of antibiotic resistance genes in realistic conditions. This calls for better models of how resistance genes transfer and disseminate in vivo. The in vivo model can better mimic the situation that occurs in patients, helping study the situation in more detail. This is crucial to develop innovative strategies to curtail the spread of antibiotic resistance genes in the future. This review aims to give an overview of the mechanisms of the spread of antibiotic resistance genes and then demonstrate the spread of antibiotic resistance genes in the in vivo model. Finally, we discuss the challenges in controlling the spread of antibiotic resistance genes and their potential solutions.","container-title":"Canadian Journal of Infectious Diseases and Medical Microbiology","DOI":"10.1155/2022/3348695","ISSN":"1918-1493, 1712-9532","journalAbbreviation":"Canadian Journal of Infectious Diseases and Medical Microbiology","language":"en","license":"https://creativecommons.org/licenses/by/4.0/","page":"1-11","source":"DOI.org (Crossref)","title":"The Spread of Antibiotic Resistance Genes In Vivo Model","volume":"2022","author":[{"family":"Tao","given":"Shuan"},{"family":"Chen","given":"Huimin"},{"family":"Li","given":"Na"},{"family":"Wang","given":"Tong"},{"family":"Liang","given":"Wei"}],"editor":[{"family":"Kaushik","given":"Sanket"}],"issued":{"date-parts":[["2022",7,18]]}}}],"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(Tao </w:t>
      </w:r>
      <w:r>
        <w:rPr>
          <w:rFonts w:eastAsia="Calibri"/>
          <w:b/>
          <w:bCs/>
          <w:i/>
          <w:iCs/>
          <w:szCs w:val="22"/>
          <w:lang w:val="fr" w:bidi="ar"/>
        </w:rPr>
        <w:t>et al</w:t>
      </w:r>
      <w:r>
        <w:rPr>
          <w:rFonts w:eastAsia="Calibri"/>
          <w:b/>
          <w:bCs/>
          <w:szCs w:val="22"/>
          <w:lang w:val="fr" w:bidi="ar"/>
        </w:rPr>
        <w:t>., 2022)</w:t>
      </w:r>
      <w:r>
        <w:rPr>
          <w:rFonts w:eastAsia="Calibri"/>
          <w:b/>
          <w:bCs/>
          <w:lang w:val="fr" w:bidi="ar"/>
        </w:rPr>
        <w:fldChar w:fldCharType="end"/>
      </w:r>
      <w:r>
        <w:rPr>
          <w:rFonts w:eastAsia="Calibri"/>
          <w:b/>
          <w:bCs/>
          <w:lang w:val="fr" w:bidi="ar"/>
        </w:rPr>
        <w:t>.</w:t>
      </w:r>
      <w:r>
        <w:rPr>
          <w:rFonts w:eastAsia="Calibri"/>
          <w:lang w:val="fr" w:bidi="ar"/>
        </w:rPr>
        <w:t xml:space="preserve">  </w:t>
      </w:r>
      <w:r>
        <w:rPr>
          <w:rFonts w:eastAsia="Calibri"/>
          <w:kern w:val="2"/>
          <w:lang w:val="fr-FR" w:eastAsia="zh-CN"/>
        </w:rPr>
        <w:t>Il est donc essentiel de comprendre en détail ces mécanismes pour mieux orienter les approches thérapeutiques et les stratégies de prévention.</w:t>
      </w:r>
    </w:p>
    <w:p w14:paraId="0B2445F7" w14:textId="77777777" w:rsidR="00B611D1" w:rsidRDefault="00FB7689">
      <w:pPr>
        <w:keepNext/>
        <w:spacing w:after="200" w:line="360" w:lineRule="auto"/>
        <w:jc w:val="both"/>
        <w:rPr>
          <w:rFonts w:eastAsia="TimesNewRomanPS-BoldMT"/>
          <w:b/>
          <w:bCs/>
          <w:color w:val="000000"/>
          <w:lang w:val="fr-FR" w:eastAsia="zh-CN"/>
        </w:rPr>
      </w:pPr>
      <w:r>
        <w:rPr>
          <w:rFonts w:eastAsia="Calibri" w:hint="cs"/>
          <w:b/>
          <w:bCs/>
          <w:noProof/>
          <w:color w:val="000000"/>
          <w:lang w:val="fr" w:bidi="ar-DZ"/>
        </w:rPr>
        <w:drawing>
          <wp:inline distT="0" distB="0" distL="114300" distR="114300" wp14:anchorId="4F278383" wp14:editId="39ED19D9">
            <wp:extent cx="6070600" cy="3702050"/>
            <wp:effectExtent l="0" t="0" r="0" b="6350"/>
            <wp:docPr id="2" name="Image 2" descr="&amp;éé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amp;ééé"/>
                    <pic:cNvPicPr>
                      <a:picLocks noChangeAspect="1"/>
                    </pic:cNvPicPr>
                  </pic:nvPicPr>
                  <pic:blipFill>
                    <a:blip r:embed="rId43"/>
                    <a:stretch>
                      <a:fillRect/>
                    </a:stretch>
                  </pic:blipFill>
                  <pic:spPr>
                    <a:xfrm>
                      <a:off x="0" y="0"/>
                      <a:ext cx="6070600" cy="3702050"/>
                    </a:xfrm>
                    <a:prstGeom prst="rect">
                      <a:avLst/>
                    </a:prstGeom>
                  </pic:spPr>
                </pic:pic>
              </a:graphicData>
            </a:graphic>
          </wp:inline>
        </w:drawing>
      </w:r>
    </w:p>
    <w:p w14:paraId="099CC882" w14:textId="77777777" w:rsidR="00B611D1" w:rsidRDefault="00FB7689">
      <w:pPr>
        <w:pStyle w:val="Lgende"/>
        <w:jc w:val="both"/>
        <w:rPr>
          <w:b/>
          <w:bCs/>
          <w:i w:val="0"/>
          <w:iCs w:val="0"/>
          <w:color w:val="auto"/>
          <w:sz w:val="24"/>
          <w:szCs w:val="24"/>
          <w:lang w:val="fr-FR"/>
        </w:rPr>
      </w:pPr>
      <w:bookmarkStart w:id="169" w:name="_Toc201269652"/>
      <w:bookmarkStart w:id="170" w:name="_Toc201260156"/>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9</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Cibles bactériennes et mécanisme de résistance aux antibiotiques</w:t>
      </w:r>
      <w:r>
        <w:rPr>
          <w:b/>
          <w:bCs/>
          <w:i w:val="0"/>
          <w:iCs w:val="0"/>
          <w:color w:val="auto"/>
          <w:sz w:val="24"/>
          <w:szCs w:val="24"/>
          <w:lang w:val="fr-FR"/>
        </w:rPr>
        <w:t xml:space="preserve"> (ChapElAin, 2023).</w:t>
      </w:r>
      <w:bookmarkEnd w:id="169"/>
    </w:p>
    <w:p w14:paraId="5EC4EA68" w14:textId="77777777" w:rsidR="00B611D1" w:rsidRDefault="00B611D1">
      <w:pPr>
        <w:rPr>
          <w:lang w:val="fr-FR"/>
        </w:rPr>
      </w:pPr>
    </w:p>
    <w:p w14:paraId="4361870D" w14:textId="77777777" w:rsidR="00B611D1" w:rsidRDefault="00FB7689">
      <w:pPr>
        <w:pStyle w:val="Titre4"/>
        <w:numPr>
          <w:ilvl w:val="3"/>
          <w:numId w:val="1"/>
        </w:numPr>
        <w:spacing w:line="360" w:lineRule="auto"/>
        <w:rPr>
          <w:rFonts w:ascii="Times New Roman" w:hAnsi="Times New Roman" w:cs="Times New Roman"/>
          <w:b/>
          <w:bCs/>
          <w:i w:val="0"/>
          <w:iCs w:val="0"/>
          <w:color w:val="000000" w:themeColor="text1"/>
          <w:lang w:val="fr-FR"/>
        </w:rPr>
      </w:pPr>
      <w:r>
        <w:rPr>
          <w:rFonts w:ascii="Times New Roman" w:hAnsi="Times New Roman" w:cs="Times New Roman"/>
          <w:b/>
          <w:bCs/>
          <w:i w:val="0"/>
          <w:iCs w:val="0"/>
          <w:color w:val="000000" w:themeColor="text1"/>
          <w:lang w:val="fr-FR"/>
        </w:rPr>
        <w:t>Inactivation enzymatique de l’antibiotique</w:t>
      </w:r>
      <w:bookmarkEnd w:id="170"/>
    </w:p>
    <w:p w14:paraId="0F86CD73" w14:textId="77777777" w:rsidR="00B611D1" w:rsidRDefault="00FB7689">
      <w:pPr>
        <w:spacing w:line="360" w:lineRule="auto"/>
        <w:jc w:val="both"/>
        <w:rPr>
          <w:rFonts w:eastAsia="TimesNewRomanPS-BoldMT"/>
          <w:b/>
          <w:bCs/>
          <w:color w:val="000000"/>
          <w:lang w:val="fr-FR" w:eastAsia="zh-CN"/>
        </w:rPr>
      </w:pPr>
      <w:r>
        <w:rPr>
          <w:lang w:val="fr-FR"/>
        </w:rPr>
        <w:t xml:space="preserve">La capacité d'une bactérie à produire des enzymes qui peuvent inactiver les antibiotiques soit en clivant ou en modifiant leur structure chimique </w:t>
      </w:r>
      <w:r>
        <w:rPr>
          <w:rFonts w:eastAsia="Calibri"/>
          <w:b/>
          <w:bCs/>
          <w:color w:val="000000"/>
          <w:lang w:val="fr" w:bidi="ar"/>
        </w:rPr>
        <w:fldChar w:fldCharType="begin"/>
      </w:r>
      <w:r>
        <w:rPr>
          <w:rFonts w:eastAsia="Calibri"/>
          <w:b/>
          <w:bCs/>
          <w:color w:val="000000"/>
          <w:lang w:val="fr" w:bidi="ar"/>
        </w:rPr>
        <w:instrText xml:space="preserve"> ADDIN ZOTERO_ITEM CSL_CITATION {"citationID":"GsaKAezi","properties":{"formattedCitation":"(Varela et al., 2021)","plainCitation":"(Varela et al., 2021)","noteIndex":0},"citationItems":[{"id":477,"uris":["http://zotero.org/users/16279382/items/Q4V54ZCG"],"itemData":{"id":477,"type":"article-journal","abstract":"Bacterial pathogens as causative agents of infection constitute an alarming concern in the public health sector. In particular, bacteria with resistance to multiple antimicrobial agents can confound chemotherapeutic efficacy towards infectious diseases. Multidrug-resistant bacteria harbor various molecular and cellular mechanisms for antimicrobial resistance. These antimicrobial resistance mechanisms include active antimicrobial efflux, reduced drug entry into cells of pathogens, enzymatic metabolism of antimicrobial agents to inactive products, biofilm formation, altered drug targets, and protection of antimicrobial targets. These microbial systems represent suitable focuses for investigation to establish the means for their circumvention and to reestablish therapeutic effectiveness. This review briefly summarizes the various antimicrobial resistance mechanisms that are harbored within infectious bacteria.","container-title":"Antibiotics","DOI":"10.3390/antibiotics10050593","ISSN":"2079-6382","issue":"5","language":"en","license":"http://creativecommons.org/licenses/by/3.0/","note":"number: 5\npublisher: Multidisciplinary Digital Publishing Institute","page":"593","source":"www.mdpi.com","title":"Bacterial Resistance to Antimicrobial Agents","volume":"10","author":[{"family":"Varela","given":"Manuel F."},{"family":"Stephen","given":"Jerusha"},{"family":"Lekshmi","given":"Manjusha"},{"family":"Ojha","given":"Manisha"},{"family":"Wenzel","given":"Nicholas"},{"family":"Sanford","given":"Leslie M."},{"family":"Hernandez","given":"Alberto J."},{"family":"Parvathi","given":"Ammini"},{"family":"Kumar","given":"Sanath H."}],"issued":{"date-parts":[["2021",5]]}}}],"schema":"https://github.com/citation-style-language/schema/raw/master/csl-citation.json"}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(Varela </w:t>
      </w:r>
      <w:r>
        <w:rPr>
          <w:rFonts w:eastAsia="Calibri"/>
          <w:b/>
          <w:bCs/>
          <w:i/>
          <w:iCs/>
          <w:szCs w:val="22"/>
          <w:lang w:val="fr" w:bidi="ar"/>
        </w:rPr>
        <w:t>et al</w:t>
      </w:r>
      <w:r>
        <w:rPr>
          <w:rFonts w:eastAsia="Calibri"/>
          <w:b/>
          <w:bCs/>
          <w:szCs w:val="22"/>
          <w:lang w:val="fr" w:bidi="ar"/>
        </w:rPr>
        <w:t>., 2021)</w:t>
      </w:r>
      <w:r>
        <w:rPr>
          <w:rFonts w:eastAsia="Calibri"/>
          <w:b/>
          <w:bCs/>
          <w:color w:val="000000"/>
          <w:lang w:val="fr" w:bidi="ar"/>
        </w:rPr>
        <w:fldChar w:fldCharType="end"/>
      </w:r>
      <w:r>
        <w:rPr>
          <w:b/>
          <w:bCs/>
          <w:lang w:val="fr-FR"/>
        </w:rPr>
        <w:t>.</w:t>
      </w:r>
      <w:r>
        <w:rPr>
          <w:lang w:val="fr-FR"/>
        </w:rPr>
        <w:t xml:space="preserve"> Ces enzymes agissent contre les béta-lactamines (tels que les pénicillines et les céphalosporines), les aminoglycosides, le chloramphénicol et les chloramphénicol acétyltransférases </w:t>
      </w:r>
      <w:r>
        <w:rPr>
          <w:rFonts w:eastAsia="Calibri"/>
          <w:b/>
          <w:bCs/>
          <w:color w:val="000000"/>
          <w:lang w:val="fr" w:bidi="ar"/>
        </w:rPr>
        <w:fldChar w:fldCharType="begin"/>
      </w:r>
      <w:r>
        <w:rPr>
          <w:rFonts w:eastAsia="Calibri"/>
          <w:b/>
          <w:bCs/>
          <w:color w:val="000000"/>
          <w:lang w:val="fr" w:bidi="ar"/>
        </w:rPr>
        <w:instrText xml:space="preserve"> ADDIN ZOTERO_ITEM CSL_CITATION {"citationID":"EBXRovs9","properties":{"formattedCitation":"(Kapoor et al., 2017)","plainCitation":"(Kapoor et al., 2017)","noteIndex":0},"citationItems":[{"id":233,"uris":["http://zotero.org/users/16279382/items/EZPTGG6S"],"itemData":{"id":233,"type":"article-journal","abstract":"Les infections représentent une cause majeure de décès dans les pays en développement. Ceci est principalement dû à l'émergence de nouveaux agents infectieux et, plus particulièrement, à l'apparition de la résistance aux antimicrobiens. Avec le temps, les bactéries sont devenues plus intelligentes et, parallèlement, l'utilisation massive et imprudente d'antibiotiques en pratique clinique a entraîné une résistance bactérienne aux agents antimicrobiens. La résistance aux antimicrobiens est reconnue comme un problème majeur dans le traitement des infections microbiennes. Les mécanismes de résistance biochimique utilisés par les bactéries comprennent : l'inactivation des antibiotiques, la modification de la cible, l'altération de la perméabilité et le contournement des voies métaboliques. La détermination de la résistance bactérienne aux antibiotiques de toutes classes (phénotypes) et des mutations responsables de cette résistance (analyse génétique) est utile. Une meilleure compréhension des mécanismes de résistance aux antibiotiques aidera les cliniciens à mieux utiliser les antibiotiques dans différentes situations. Cette revue examine le mécanisme d'action et le développement de la résistance aux antimicrobiens couramment utilisés.","container-title":"Journal of Anaesthesiology Clinical Pharmacology","DOI":"10.4103/joacp.JOACP_349_15","ISSN":"0970-9185","issue":"3","language":"fr","page":"300","source":"journals.lww.com","title":"Action and resistance mechanisms of antibiotics: A guide for clinicians","title-short":"Action and resistance mechanisms of antibiotics","volume":"33","author":[{"family":"Kapoor","given":"Garima"},{"family":"Saigal","given":"Saurabh"},{"family":"Elongavan","given":"Ashok"}],"issued":{"date-parts":[["2017",9]]}}}],"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(Kapoor </w:t>
      </w:r>
      <w:r>
        <w:rPr>
          <w:rFonts w:eastAsia="Calibri"/>
          <w:b/>
          <w:bCs/>
          <w:i/>
          <w:iCs/>
          <w:szCs w:val="22"/>
          <w:lang w:val="fr" w:bidi="ar"/>
        </w:rPr>
        <w:t>et al</w:t>
      </w:r>
      <w:r>
        <w:rPr>
          <w:rFonts w:eastAsia="Calibri"/>
          <w:b/>
          <w:bCs/>
          <w:szCs w:val="22"/>
          <w:lang w:val="fr" w:bidi="ar"/>
        </w:rPr>
        <w:t>., 2017)</w:t>
      </w:r>
      <w:r>
        <w:rPr>
          <w:rFonts w:eastAsia="Calibri"/>
          <w:b/>
          <w:bCs/>
          <w:color w:val="000000"/>
          <w:lang w:val="fr" w:bidi="ar"/>
        </w:rPr>
        <w:fldChar w:fldCharType="end"/>
      </w:r>
      <w:r>
        <w:rPr>
          <w:rFonts w:eastAsia="Calibri"/>
          <w:b/>
          <w:bCs/>
          <w:color w:val="000000"/>
          <w:lang w:val="fr" w:bidi="ar"/>
        </w:rPr>
        <w:t>.</w:t>
      </w:r>
    </w:p>
    <w:p w14:paraId="41847272" w14:textId="77777777" w:rsidR="00B611D1" w:rsidRDefault="00FB7689">
      <w:pPr>
        <w:pStyle w:val="Titre4"/>
        <w:numPr>
          <w:ilvl w:val="3"/>
          <w:numId w:val="1"/>
        </w:numPr>
        <w:spacing w:line="360" w:lineRule="auto"/>
        <w:rPr>
          <w:rFonts w:ascii="Times New Roman" w:hAnsi="Times New Roman" w:cs="Times New Roman"/>
          <w:b/>
          <w:bCs/>
          <w:i w:val="0"/>
          <w:iCs w:val="0"/>
          <w:color w:val="000000" w:themeColor="text1"/>
          <w:lang w:val="fr-FR" w:eastAsia="zh-CN" w:bidi="ar"/>
        </w:rPr>
      </w:pPr>
      <w:bookmarkStart w:id="171" w:name="_Toc201260157"/>
      <w:r>
        <w:rPr>
          <w:rFonts w:ascii="Times New Roman" w:hAnsi="Times New Roman" w:cs="Times New Roman"/>
          <w:b/>
          <w:bCs/>
          <w:i w:val="0"/>
          <w:iCs w:val="0"/>
          <w:color w:val="000000" w:themeColor="text1"/>
          <w:lang w:val="fr-FR" w:eastAsia="zh-CN" w:bidi="ar"/>
        </w:rPr>
        <w:t>Efflux actif de l’antibiotiques</w:t>
      </w:r>
      <w:bookmarkEnd w:id="171"/>
    </w:p>
    <w:p w14:paraId="112745B3" w14:textId="77777777" w:rsidR="00B611D1" w:rsidRDefault="00FB7689">
      <w:pPr>
        <w:spacing w:line="360" w:lineRule="auto"/>
        <w:jc w:val="both"/>
        <w:rPr>
          <w:lang w:val="fr-FR"/>
        </w:rPr>
      </w:pPr>
      <w:r>
        <w:rPr>
          <w:rFonts w:eastAsia="TimesNewRomanPS-BoldMT"/>
          <w:color w:val="000000"/>
          <w:lang w:val="fr-FR" w:eastAsia="zh-CN"/>
        </w:rPr>
        <w:t xml:space="preserve">Il s’agit d’un systèmes bactériens complexes dépendants de l'énergie. Elles ont la capacité d'expulser les antibiotiques, contribuant ainsi à la résistance de multiples antibiotiques </w:t>
      </w:r>
      <w:r>
        <w:rPr>
          <w:rFonts w:eastAsia="Calibri"/>
          <w:b/>
          <w:bCs/>
          <w:color w:val="000000"/>
          <w:lang w:val="fr" w:bidi="ar"/>
        </w:rPr>
        <w:fldChar w:fldCharType="begin"/>
      </w:r>
      <w:r>
        <w:rPr>
          <w:rFonts w:eastAsia="Calibri"/>
          <w:b/>
          <w:bCs/>
          <w:color w:val="000000"/>
          <w:lang w:val="fr" w:bidi="ar"/>
        </w:rPr>
        <w:instrText xml:space="preserve"> ADDIN ZOTERO_ITEM CSL_CITATION {"citationID":"BMLNLR0d","properties":{"formattedCitation":"(Abdi et al., 2020)","plainCitation":"(Abdi et al., 2020)","noteIndex":0},"citationItems":[{"id":238,"uris":["http://zotero.org/users/16279382/items/7KN58AZX"],"itemData":{"id":238,"type":"article-journal","abstract":"Acinetobacter baumannii is a nosocomial pathogen and gram-negative coccobacillus that is responsible for opportunistic infections, pneumonia, and infections of the urinary tract, bloodstream, skin, and soft tissue. This bacterium poses a major public health problem due to inducing resistance to several drugs, isolates, multidrug treatment, and occasionally pan drugs. Drug resistance is not only a major concern caused by A. baumannii but also is considered as the main challenge in many other pathogens. Several factors such as the efflux pump are associated with antibiotic resistance, biofilm production, and genetic mutations. In this review, A. baumannii is introduced in then some of the practical works conducted on the existing efflux pump are reviewed. The importance of the efflux pump is considered in this paper in relation to the antibiotic resistance and mechanisms developed for the inhibition of these pumps as well.","container-title":"Infection and Drug Resistance","DOI":"10.2147/IDR.S228089","ISSN":"null","note":"publisher: Dove Medical Press\n_eprint: https://www.tandfonline.com/doi/pdf/10.2147/IDR.S228089\nPMID: 32104014","page":"423-434","source":"Taylor and Francis+NEJM","title":"Acinetobacter baumannii Efflux Pumps and Antibiotic Resistance","volume":"13","author":[{"family":"Abdi","given":"Seyyed Naser"},{"family":"","given":"Ghotaslou ,Reza"},{"family":"","given":"Ganbarov ,Khudaverdi"},{"family":"","given":"Mobed ,Ahmad"},{"family":"","given":"Tanomand ,Asghar"},{"family":"","given":"Yousefi ,Mehdi"},{"family":"","given":"Asgharzadeh ,Mohammad"},{"family":"Kafil","given":"Hossein Samadi","non-dropping-particle":"and"}],"issued":{"date-parts":[["2020",2,12]]}}}],"schema":"https://github.com/citation-style-language/schema/raw/master/csl-citation.json"} </w:instrText>
      </w:r>
      <w:r>
        <w:rPr>
          <w:rFonts w:eastAsia="Calibri"/>
          <w:b/>
          <w:bCs/>
          <w:color w:val="000000"/>
          <w:lang w:val="fr" w:bidi="ar"/>
        </w:rPr>
        <w:fldChar w:fldCharType="separate"/>
      </w:r>
      <w:r>
        <w:rPr>
          <w:rFonts w:eastAsia="Calibri"/>
          <w:b/>
          <w:bCs/>
          <w:lang w:val="fr" w:bidi="ar"/>
        </w:rPr>
        <w:t xml:space="preserve">(Abdi </w:t>
      </w:r>
      <w:r>
        <w:rPr>
          <w:rFonts w:eastAsia="Calibri"/>
          <w:b/>
          <w:bCs/>
          <w:i/>
          <w:iCs/>
          <w:lang w:val="fr" w:bidi="ar"/>
        </w:rPr>
        <w:t>et al</w:t>
      </w:r>
      <w:r>
        <w:rPr>
          <w:rFonts w:eastAsia="Calibri"/>
          <w:b/>
          <w:bCs/>
          <w:lang w:val="fr" w:bidi="ar"/>
        </w:rPr>
        <w:t>., 2020)</w:t>
      </w:r>
      <w:r>
        <w:rPr>
          <w:rFonts w:eastAsia="Calibri"/>
          <w:b/>
          <w:bCs/>
          <w:color w:val="000000"/>
          <w:lang w:val="fr" w:bidi="ar"/>
        </w:rPr>
        <w:fldChar w:fldCharType="end"/>
      </w:r>
      <w:r>
        <w:rPr>
          <w:rFonts w:eastAsia="Calibri"/>
          <w:b/>
          <w:bCs/>
          <w:color w:val="000000"/>
          <w:lang w:val="fr" w:bidi="ar"/>
        </w:rPr>
        <w:t>.</w:t>
      </w:r>
      <w:r>
        <w:rPr>
          <w:rFonts w:eastAsia="Calibri"/>
          <w:b/>
          <w:bCs/>
          <w:color w:val="000000"/>
          <w:lang w:val="fr-FR" w:bidi="ar"/>
        </w:rPr>
        <w:t xml:space="preserve"> </w:t>
      </w:r>
      <w:r>
        <w:rPr>
          <w:lang w:val="fr-FR"/>
        </w:rPr>
        <w:t xml:space="preserve">Ces pompes peuvent être spécifiques à une seule classe ou présenter un spectre d’action large (multispécifiques). Elles sont codées soit par des gènes situés sur le chromosome bactérien, soit sur des éléments génétiques mobiles tels que les plasmides ou les transposons. Ce mécanisme de résistance est souvent associé à une perméabilité réduite de la membrane bactérienne, ce qui renforce encore l’efficacité de l’efflux </w:t>
      </w:r>
      <w:r>
        <w:rPr>
          <w:rFonts w:eastAsia="Calibri"/>
          <w:b/>
          <w:bCs/>
          <w:color w:val="000000"/>
          <w:lang w:val="fr" w:bidi="ar"/>
        </w:rPr>
        <w:fldChar w:fldCharType="begin"/>
      </w:r>
      <w:r>
        <w:rPr>
          <w:rFonts w:eastAsia="Calibri"/>
          <w:b/>
          <w:bCs/>
          <w:color w:val="000000"/>
          <w:lang w:val="fr" w:bidi="ar"/>
        </w:rPr>
        <w:instrText xml:space="preserve"> ADDIN ZOTERO_ITEM CSL_CITATION {"citationID":"C03a9JvR","properties":{"formattedCitation":"(Gauba &amp; Rahman, 2023)","plainCitation":"(Gauba &amp; Rahman, 2023)","noteIndex":0},"citationItems":[{"id":406,"uris":["http://zotero.org/users/16279382/items/BP28PIQU"],"itemData":{"id":406,"type":"article-journal","abstract":"Multidrug-resistant Gram-negative bacterial infections are exponentially increasing, posing one of the most urgent global healthcare and economic threats. Due to the lack of new therapies, the World Health Organization classified these bacterial species as priority pathogens in 2017, known as ESKAPE pathogens. This classification emphasizes the need for urgent research and development of novel targeted therapies. The majority of these priority pathogens are Gram-negative species, which possess a structurally dynamic cell envelope enabling them to resist multiple antibiotics, thereby leading to increased mortality rates. Despite 6 years having passed since the WHO classification, the progress in generating new treatment ideas has not been sufficient, and antimicrobial resistance continues to escalate, acting as a global ticking time bomb. Numerous efforts and strategies have been employed to combat the rising levels of antibiotic resistance by targeting specific resistance mechanisms. These mechanisms include antibiotic inactivating/modifying enzymes, outer membrane porin remodelling, enhanced efflux pump action, and alteration of antibiotic target sites. Some strategies have demonstrated clinical promise, such as the utilization of beta-lactamase inhibitors as antibiotic adjuvants, as well as recent advancements in machine-based learning employing artificial intelligence to facilitate the production of novel narrow-spectrum antibiotics. However, further research into an enhanced understanding of the precise mechanisms by which antibiotic resistance occurs, specifically tailored to each bacterial species, could pave the way for exploring narrow-spectrum targeted therapies. This review aims to introduce the key features of Gram-negative bacteria and their current treatment approaches, summarizing the major antibiotic resistance mechanisms with a focus on Escherichia coli, Acinetobacter baumannii, Pseudomonas aeruginosa, and Klebsiella pneumoniae. Additionally, potential directions for alternative therapies will be discussed, along with their relative modes of action, providing a future perspective and insight into the discipline of antimicrobial resistance.","container-title":"Antibiotics","DOI":"10.3390/antibiotics12111590","ISSN":"2079-6382","issue":"11","language":"en","license":"http://creativecommons.org/licenses/by/3.0/","note":"number: 11\npublisher: Multidisciplinary Digital Publishing Institute","page":"1590","source":"www.mdpi.com","title":"Evaluation of Antibiotic Resistance Mechanisms in Gram-Negative Bacteria","volume":"12","author":[{"family":"Gauba","given":"Anusha"},{"family":"Rahman","given":"Khondaker Miraz"}],"issued":{"date-parts":[["2023",11]]}}}],"schema":"https://github.com/citation-style-language/schema/raw/master/csl-citation.json"}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(Gauba &amp; Rahman, 2023)</w:t>
      </w:r>
      <w:r>
        <w:rPr>
          <w:rFonts w:eastAsia="Calibri"/>
          <w:b/>
          <w:bCs/>
          <w:color w:val="000000"/>
          <w:lang w:val="fr" w:bidi="ar"/>
        </w:rPr>
        <w:fldChar w:fldCharType="end"/>
      </w:r>
      <w:r>
        <w:rPr>
          <w:rFonts w:eastAsia="Calibri"/>
          <w:b/>
          <w:bCs/>
          <w:color w:val="000000"/>
          <w:lang w:val="fr-FR" w:bidi="ar"/>
        </w:rPr>
        <w:t>.</w:t>
      </w:r>
    </w:p>
    <w:p w14:paraId="2AA9A60A" w14:textId="77777777" w:rsidR="00B611D1" w:rsidRDefault="00FB7689">
      <w:pPr>
        <w:pStyle w:val="Titre5"/>
        <w:numPr>
          <w:ilvl w:val="4"/>
          <w:numId w:val="1"/>
        </w:numPr>
        <w:rPr>
          <w:rFonts w:ascii="Times New Roman" w:hAnsi="Times New Roman" w:hint="default"/>
          <w:sz w:val="24"/>
          <w:szCs w:val="24"/>
          <w:lang w:val="fr-FR"/>
        </w:rPr>
      </w:pPr>
      <w:bookmarkStart w:id="172" w:name="_Toc201260158"/>
      <w:r>
        <w:rPr>
          <w:rFonts w:ascii="Times New Roman" w:hAnsi="Times New Roman" w:hint="default"/>
          <w:sz w:val="24"/>
          <w:szCs w:val="24"/>
          <w:lang w:val="fr-FR"/>
        </w:rPr>
        <w:t>Bactéries à Gram négatif</w:t>
      </w:r>
      <w:bookmarkEnd w:id="172"/>
    </w:p>
    <w:p w14:paraId="4953A872" w14:textId="77777777" w:rsidR="00B611D1" w:rsidRDefault="00FB7689">
      <w:pPr>
        <w:spacing w:line="360" w:lineRule="auto"/>
        <w:jc w:val="both"/>
        <w:rPr>
          <w:rFonts w:eastAsia="Calibri"/>
          <w:lang w:val="fr-FR" w:bidi="ar"/>
        </w:rPr>
      </w:pPr>
      <w:r>
        <w:rPr>
          <w:rFonts w:eastAsia="Calibri"/>
          <w:lang w:val="fr-FR"/>
        </w:rPr>
        <w:t xml:space="preserve">Chez les bactéries à Gram négatif, la présence d'une membrane externe peu perméable, combinée à des systèmes d'efflux intrinsèques, confère une résistance naturelle à plusieurs classes d'antibiotiques </w:t>
      </w:r>
      <w:r>
        <w:rPr>
          <w:rFonts w:eastAsia="Calibri"/>
          <w:b/>
          <w:bCs/>
          <w:color w:val="000000"/>
          <w:lang w:val="fr" w:bidi="ar"/>
        </w:rPr>
        <w:fldChar w:fldCharType="begin"/>
      </w:r>
      <w:r>
        <w:rPr>
          <w:rFonts w:eastAsia="Calibri"/>
          <w:b/>
          <w:bCs/>
          <w:color w:val="000000"/>
          <w:lang w:val="fr" w:bidi="ar"/>
        </w:rPr>
        <w:instrText xml:space="preserve"> ADDIN ZOTERO_ITEM CSL_CITATION {"citationID":"a6N7V8eA","properties":{"formattedCitation":"(Lustig, 2022a)","plainCitation":"(Lustig, 2022a)","noteIndex":0},"citationItems":[{"id":408,"uris":["http://zotero.org/users/16279382/items/9HE23GU8"],"itemData":{"id":408,"type":"thesis","abstract":"Pseudomonas aeruginosa, bactérie à Gram négatif, est un pathogène opportuniste, responsable de près de 10% des infections nosocomiales. Elle infecte également les poumons de patients atteints de mucoviscidose où elle devient prépondérante au fur et à mesure des traitements antibiotiques. Sa pathogénicité et sa virulence, associées à sa résistance naturelle aux antibiotiques, font de cette bactérie un problème sanitaire majeur, raison pour laquelle l'OMS l'a classé en 2017 comme une des priorités n°1 mondiale dans la découverte de nouveaux antibiotiques. Parmi les divers mécanismes développés par les bactéries pour résister aux antibiotiques, nous nous sommes intéressés au mécanisme d'efflux actif, et plus spécifiquement aux pompes à efflux de la famille des transporteurs RND (Resistance-Nodulation-Division). Il s'agit d'un assemblage macromoléculaire constitué d'un transporteur (RND) trimérique inséré dans la membrane interne, un canal (OMF) trimérique dans la membrane externe, et une protéine de fusion/adaptatrice (MFP) hexamèrique située dans le périplasme. Chez P. aeruginosa il existe plusieurs gènes codant pour des pompes d'efflux, quatre ayant été montrées comme impliquées dans la résistance aux antibiotiques. Mon projet de thèse portait sur l'étude de deux d'entre elles, MexAB-OprM et MexXY/OprM. La pompe MexAB-OprM est la mieux décrite. Elle est exprimée de manière constitutive au sein de la bactérie, et est capable d'effluer une large gamme de molécules allant de l'antibiotique au détergent. Néanmoins, des questions restent ouvertes sur le mode d'assemblage, et sur le rôle des différents constituants membranaires, notamment le peptidoglycane. Lors de ma thèse, nous avons réussi à montrer que le peptidoglycane, polymère présent dans l'espace périplasmique, jouait un rôle important dans la stabilisation de l'édifice. La pompe MexXY-OprM est, quant à elle, la seule pompe chez P. aeruginosa qui soit capable d'effluer les antibiotiques de la classe des amino(glyco)sides, largement utilisés en clinique, ce qui en fait une cible d'étude intéressante. Après avoir optimisé le protocole de production de MexY et de MexX, j'ai essayé de résoudre la structure du transporteur afin de mieux comprendre les mécanismes et les particularités qui régissent l'efflux des aminosides. J'ai utilisé en parallèle les techniques de cristallographie et de (cryo-) microscopie électronique (en collaboration avec le Dr. Olivier Lambert, CBMN, Bordeaux). Malgré des résultats encourageants obtenus pour les deux approches, des optimisations restent nécessaires afin de permettre cette étude structurale. Le dernier volet de ma thèse était la mise au point d'un test fonctionnel afin de cribler des molécules capables d'inhiber l'efflux des pompes MexAB-OprM et MexXY/OprM, que ce soit en bloquant les sites d'accès des antibiotiques ou en déstabilisant l'architecture de la machinerie. Pour ce faire, nous suivons la capacité d'efflux de différentes souches de P. aeruginosa, la souche originelle et des souches délétés des gènes codant pour les pompes d'intérêt, par mesure de fluorescence de substrats spécifiques. Différents protocoles ont été testés. Celui qui a été retenu utilise le Nile Red comme rapporteur d'efflux. Il a été optimisé pour la bactérie Escherichia coli, cependant, des optimisations sont encore nécessaires pour être fonctionnel pour la bactérie Pseudomonas aeruginosa. Des essais préliminaires de ce protocole avec des molécules potentiellement inhibitrices ont été effectués chez E. coli transformée avec des plasmides portant les gènes codant pour les pompes de P. aeruginosa que nous étudions. Certaines de ces molécules, développées par nos collaborateurs, sembleraient avoir un effet sur l'efflux, même si cela doit être confirmé.","genre":"phdthesis","language":"fr","publisher":"Université Paris Cité","source":"theses.hal.science","title":"Étude du mécanisme d'efflux des pompes MexAB-OprM et MexXY-OprM chez Pseudomonas aeruginosa, pathogène multirésistant présent dans les poumons de patients mucoviscidose.","URL":"https://theses.hal.science/tel-04071702","author":[{"family":"Lustig","given":"Margaux"}],"accessed":{"date-parts":[["2025",6,11]]},"issued":{"date-parts":[["2022",2,18]]}}}],"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(Lustig, 2022)</w:t>
      </w:r>
      <w:r>
        <w:rPr>
          <w:rFonts w:eastAsia="Calibri"/>
          <w:b/>
          <w:bCs/>
          <w:color w:val="000000"/>
          <w:lang w:val="fr" w:bidi="ar"/>
        </w:rPr>
        <w:fldChar w:fldCharType="end"/>
      </w:r>
      <w:r>
        <w:rPr>
          <w:rFonts w:eastAsia="Calibri"/>
          <w:lang w:val="fr-FR"/>
        </w:rPr>
        <w:t>.</w:t>
      </w:r>
      <w:r>
        <w:rPr>
          <w:rFonts w:eastAsia="Calibri"/>
          <w:lang w:val="fr-FR" w:bidi="ar"/>
        </w:rPr>
        <w:t xml:space="preserve"> </w:t>
      </w:r>
    </w:p>
    <w:p w14:paraId="2971FCF3" w14:textId="77777777" w:rsidR="00B611D1" w:rsidRDefault="00FB7689">
      <w:pPr>
        <w:pStyle w:val="Titre5"/>
        <w:numPr>
          <w:ilvl w:val="4"/>
          <w:numId w:val="1"/>
        </w:numPr>
        <w:rPr>
          <w:rFonts w:ascii="Times New Roman" w:hAnsi="Times New Roman" w:hint="default"/>
          <w:sz w:val="24"/>
          <w:szCs w:val="24"/>
          <w:lang w:val="fr-FR"/>
        </w:rPr>
      </w:pPr>
      <w:bookmarkStart w:id="173" w:name="_Toc201260159"/>
      <w:r>
        <w:rPr>
          <w:rFonts w:ascii="Times New Roman" w:hAnsi="Times New Roman" w:hint="default"/>
          <w:sz w:val="24"/>
          <w:szCs w:val="24"/>
          <w:lang w:val="fr-FR"/>
        </w:rPr>
        <w:t>Bactéries à Gram positif</w:t>
      </w:r>
      <w:bookmarkEnd w:id="173"/>
    </w:p>
    <w:p w14:paraId="1501C076" w14:textId="77777777" w:rsidR="00B611D1" w:rsidRDefault="00FB7689">
      <w:pPr>
        <w:spacing w:line="360" w:lineRule="auto"/>
        <w:jc w:val="both"/>
        <w:rPr>
          <w:rFonts w:eastAsia="Calibri"/>
          <w:lang w:val="fr-FR" w:eastAsia="zh-CN"/>
        </w:rPr>
      </w:pPr>
      <w:r>
        <w:rPr>
          <w:rFonts w:eastAsia="Calibri"/>
          <w:lang w:val="fr-FR" w:eastAsia="zh-CN"/>
        </w:rPr>
        <w:t xml:space="preserve">Contrairement aux bactéries à Gram négatif, les bactéries à Gram positif sont dépourvues de membrane externe. Leurs systèmes d'efflux sont intégrés à la membrane cytoplasmique. Ces pompes interviennent principalement dans la résistance aux fluoroquinolones et aux macrolides </w:t>
      </w:r>
      <w:r>
        <w:rPr>
          <w:rFonts w:eastAsia="Calibri"/>
          <w:b/>
          <w:bCs/>
          <w:color w:val="000000"/>
          <w:lang w:val="fr" w:bidi="ar"/>
        </w:rPr>
        <w:fldChar w:fldCharType="begin"/>
      </w:r>
      <w:r>
        <w:rPr>
          <w:rFonts w:eastAsia="Calibri"/>
          <w:b/>
          <w:bCs/>
          <w:color w:val="000000"/>
          <w:lang w:val="fr" w:bidi="ar"/>
        </w:rPr>
        <w:instrText xml:space="preserve"> ADDIN ZOTERO_ITEM CSL_CITATION {"citationID":"awKXFIKf","properties":{"formattedCitation":"(Handzlik et al., 2013)","plainCitation":"(Handzlik et al., 2013)","noteIndex":0},"citationItems":[{"id":479,"uris":["http://zotero.org/users/16279382/items/WSDDFXZV"],"itemData":{"id":479,"type":"article-journal","abstract":"The paper focuses on recent achievements in the search for new chemical compounds able to inhibit multidrug resistance (MDR) mechanisms in Gram-positive pathogens. An analysis of the results of the search for new efflux pump inhibitors (EPIs) for Gram-positive bacteria, which have been performed over the last decade, indicates that almost all efforts are focused on the NorA (MFS) efflux pump in S. aureus. Considering the chemical structures of the NorA EPIs that have been identified, it can be observed that the most active agents belong to the families of compounds possessing conjugated double bonds, e.g., chalcones, piperine-like compounds, N-cinnamoylphenalkylamides or citral amide derivatives. Indole-, dihydronaphthyl-, 2-chloro-5-bromo-phenyl- or piperidine moieties seem to be profitable for the EPI properties, as well. These results, together with an increasing knowledge about a variety of efflux pumps that are involved in MDR of Gram-positive pathogens underline that further search for new EPIs should pay more attention to develop MDR efflux protein targets, including SMR, MATE, ABC or other members of the MFS family.","container-title":"Antibiotics","DOI":"10.3390/antibiotics2010028","ISSN":"2079-6382","issue":"1","language":"en","license":"http://creativecommons.org/licenses/by/3.0/","note":"number: 1\npublisher: Multidisciplinary Digital Publishing Institute","page":"28-45","source":"www.mdpi.com","title":"Recent Advances in Multi-Drug Resistance (MDR) Efflux Pump Inhibitors of Gram-Positive Bacteria S. aureus","volume":"2","author":[{"family":"Handzlik","given":"Jadwiga"},{"family":"Matys","given":"Anna"},{"family":"Kieć-Kononowicz","given":"Katarzyna"}],"issued":{"date-parts":[["2013",3]]}}}],"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(Handzlik </w:t>
      </w:r>
      <w:r>
        <w:rPr>
          <w:rFonts w:eastAsia="Calibri"/>
          <w:b/>
          <w:bCs/>
          <w:i/>
          <w:iCs/>
          <w:szCs w:val="22"/>
          <w:lang w:val="fr" w:bidi="ar"/>
        </w:rPr>
        <w:t>et al</w:t>
      </w:r>
      <w:r>
        <w:rPr>
          <w:rFonts w:eastAsia="Calibri"/>
          <w:b/>
          <w:bCs/>
          <w:szCs w:val="22"/>
          <w:lang w:val="fr" w:bidi="ar"/>
        </w:rPr>
        <w:t>., 2013)</w:t>
      </w:r>
      <w:r>
        <w:rPr>
          <w:rFonts w:eastAsia="Calibri"/>
          <w:b/>
          <w:bCs/>
          <w:color w:val="000000"/>
          <w:lang w:val="fr" w:bidi="ar"/>
        </w:rPr>
        <w:fldChar w:fldCharType="end"/>
      </w:r>
      <w:r>
        <w:rPr>
          <w:rFonts w:eastAsia="Calibri"/>
          <w:b/>
          <w:bCs/>
          <w:lang w:val="fr-FR" w:eastAsia="zh-CN"/>
        </w:rPr>
        <w:t>.</w:t>
      </w:r>
    </w:p>
    <w:p w14:paraId="7F411B99" w14:textId="77777777" w:rsidR="00B611D1" w:rsidRDefault="00FB7689">
      <w:pPr>
        <w:pStyle w:val="Titre5"/>
        <w:numPr>
          <w:ilvl w:val="4"/>
          <w:numId w:val="1"/>
        </w:numPr>
        <w:rPr>
          <w:rFonts w:ascii="Times New Roman" w:hAnsi="Times New Roman" w:hint="default"/>
          <w:sz w:val="24"/>
          <w:szCs w:val="24"/>
          <w:lang w:val="fr-FR" w:bidi="ar"/>
        </w:rPr>
      </w:pPr>
      <w:bookmarkStart w:id="174" w:name="_Toc201260160"/>
      <w:r>
        <w:rPr>
          <w:rFonts w:ascii="Times New Roman" w:hAnsi="Times New Roman" w:hint="default"/>
          <w:sz w:val="24"/>
          <w:szCs w:val="24"/>
          <w:lang w:val="fr-FR" w:bidi="ar"/>
        </w:rPr>
        <w:t>Mycobactéries</w:t>
      </w:r>
      <w:bookmarkEnd w:id="174"/>
    </w:p>
    <w:p w14:paraId="7FCCA747" w14:textId="77777777" w:rsidR="00B611D1" w:rsidRDefault="00FB7689">
      <w:pPr>
        <w:spacing w:after="200" w:line="360" w:lineRule="auto"/>
        <w:jc w:val="both"/>
        <w:rPr>
          <w:rFonts w:eastAsia="Calibri"/>
          <w:lang w:val="fr-FR" w:eastAsia="zh-CN"/>
        </w:rPr>
      </w:pPr>
      <w:r>
        <w:rPr>
          <w:rFonts w:eastAsia="Calibri"/>
          <w:lang w:val="fr-FR" w:eastAsia="zh-CN"/>
        </w:rPr>
        <w:t xml:space="preserve">Les mycobactéries possèdent une paroi cellulaire riche en acides mycoliques, ce qui limite la pénétration des antibiotiques. Par ailleurs, la présence de plasmides et de transposons contribue à leur résistance à la fois naturelle et acquise vis-à-vis de nombreux agents antimicrobiens </w:t>
      </w:r>
      <w:r>
        <w:rPr>
          <w:rFonts w:eastAsia="Calibri"/>
          <w:b/>
          <w:bCs/>
          <w:color w:val="000000"/>
          <w:kern w:val="2"/>
          <w:lang w:val="fr" w:eastAsia="zh-CN" w:bidi="ar"/>
        </w:rPr>
        <w:fldChar w:fldCharType="begin"/>
      </w:r>
      <w:r>
        <w:rPr>
          <w:rFonts w:eastAsia="Calibri"/>
          <w:b/>
          <w:bCs/>
          <w:color w:val="000000"/>
          <w:kern w:val="2"/>
          <w:lang w:val="fr" w:eastAsia="zh-CN" w:bidi="ar"/>
        </w:rPr>
        <w:instrText xml:space="preserve"> ADDIN ZOTERO_ITEM CSL_CITATION {"citationID":"2HAedFjI","properties":{"formattedCitation":"(Ratovonirina, 2017)","plainCitation":"(Ratovonirina, 2017)","noteIndex":0},"citationItems":[{"id":410,"uris":["http://zotero.org/users/16279382/items/LMZQFZMP"],"itemData":{"id":410,"type":"thesis","abstract":"Pour l’amélioration de la lutte contre la tuberculose à Madagascar, nous avons décidé de mener des études sur l’analyse de la diversité et la distribution des génotypes de BK y circulant au cours du temps et dans l’espace afin de connaitre le mode de transmission de la TB et les sources potentielles de la TB malgache. Plus spécifiquement il s’agit premièrement, d’étudier la diversité génétique et la distribution des génotypes des BK dans le pays pour évaluer le niveau de transmission de la maladie et d’essayer de retracer les sources potentielles d’importation de la TB malgache ; deuxièmement, étudier la diversité de la souche endémique de Madagascar, le SIT109, afin de voir le niveau de transmission d’une souche à l’intérieur de l’île ainsi que son niveau d’évolution ; et troisièmement, identifier les zones de transmission de la TB par combinaison d’analyse spatiale et de génotypage en commençant par une étude pilote dans la capitale.Pour réaliser cela, 1014 souches représentatives de Madagascar isolés de 2005 à 2007 ont été typés par le spoligotypage. Les génotypes définis ont servi pour l’estimation de la transmission de la TB et l’identification des sources potentielles de la TB ; ensuite, 156 BK endémiques de Madagascar portant l’identité SIT109 ont été typés par la méthode des MIRU-VNTR (« Mycobacterial Interspersed Repetitive Units – Variable Number of Tandem Repeat ») afin d’étudier leur diversité, leur niveau d’évolution et le niveau de distribution de la TB au niveau d’une seule souche et enfin, 523 patients ont été recrutés à Antananarivo en 2013 afin de typer par le spoligotypage leur BK, d’identifier à partir de leur génotype ceux qui sont potentiellement associés à des cas de transmission récente et d’analyser leur clusterisation spatiale par la méthode de Kulldorff.Les résultats nous ont montré une grande diversité génétique des BK circulant dans le pays avec une prédomination de deux lignées de BK qui sont les souches « East african Indian » et « Tuscan » ; une distribution particulière des BK dans la capitale par rapport aux autres provinces ; des similitudes particulières des BK circulant avec des pays comme les USA, la France, l’Italie, le Danemark, l’Arabie Saoudite ou encore le Pays Bas ; une grande diversité des souches SIT109 ainsi que leur distribution dans tout le pays ; ainsi que quatre clusters spatiaux de cas de TB associé à la transmission récente dans la capitale.Cette étude nous a permis de déterminer que la transmission de la TB à Madagascar est toujours très active et se fait à très grande échelle, une petite part de la TB à Madagascar a pu être importée par les populations d’origines mais la majorité des cas actuels provient d’importation assez récente de BK de plusieurs régions du monde. Douze Fokontany de la capitale correspondent à des zones à risque de transmission de la TB et méritent une attention particulière aux responsables de la lutte contre la TB à Madagascar et enfin la méthode combinant génotypage et analyse spatiale permet la détection de ces zones à risque et pourrait servir pour le « Programme National de Lutte contre la Tuberculose » d’outil d’aide à la décision pour les stratégies de lutte contre la TB dans tout Madagascar.","genre":"phdthesis","language":"fr","publisher":"Université Paris-Saclay ; Université d'Antananarivo ; Institut Pasteur (Tananarive)","source":"theses.hal.science","title":"Etudes descriptive, épidémiologique, moléculaire et spatiale des souches Mycobacterium tuberculosis circulant à Antananarivo, Madagascar","URL":"https://theses.hal.science/tel-01784738","author":[{"family":"Ratovonirina","given":"Noël Harijaona"}],"accessed":{"date-parts":[["2025",6,11]]},"issued":{"date-parts":[["2017",12,11]]}}}],"schema":"https://github.com/citation-style-language/schema/raw/master/csl-citation.json"} </w:instrText>
      </w:r>
      <w:r>
        <w:rPr>
          <w:rFonts w:eastAsia="Calibri"/>
          <w:b/>
          <w:bCs/>
          <w:color w:val="000000"/>
          <w:kern w:val="2"/>
          <w:lang w:val="fr" w:eastAsia="zh-CN" w:bidi="ar"/>
        </w:rPr>
        <w:fldChar w:fldCharType="separate"/>
      </w:r>
      <w:r>
        <w:rPr>
          <w:rFonts w:eastAsia="Calibri"/>
          <w:b/>
          <w:bCs/>
          <w:kern w:val="2"/>
          <w:szCs w:val="22"/>
          <w:lang w:val="fr" w:eastAsia="zh-CN" w:bidi="ar"/>
        </w:rPr>
        <w:t>(Ratovonirina, 2017)</w:t>
      </w:r>
      <w:r>
        <w:rPr>
          <w:rFonts w:eastAsia="Calibri"/>
          <w:b/>
          <w:bCs/>
          <w:color w:val="000000"/>
          <w:kern w:val="2"/>
          <w:lang w:val="fr" w:eastAsia="zh-CN" w:bidi="ar"/>
        </w:rPr>
        <w:fldChar w:fldCharType="end"/>
      </w:r>
      <w:r>
        <w:rPr>
          <w:rFonts w:eastAsia="Calibri"/>
          <w:b/>
          <w:bCs/>
          <w:color w:val="000000"/>
          <w:kern w:val="2"/>
          <w:lang w:val="fr-FR" w:eastAsia="zh-CN" w:bidi="ar"/>
        </w:rPr>
        <w:t>.</w:t>
      </w:r>
    </w:p>
    <w:p w14:paraId="693A41CE" w14:textId="77777777" w:rsidR="00B611D1" w:rsidRDefault="00FB7689">
      <w:pPr>
        <w:pStyle w:val="Titre4"/>
        <w:numPr>
          <w:ilvl w:val="3"/>
          <w:numId w:val="1"/>
        </w:numPr>
        <w:spacing w:line="360" w:lineRule="auto"/>
        <w:rPr>
          <w:rFonts w:ascii="Times New Roman" w:hAnsi="Times New Roman" w:cs="Times New Roman"/>
          <w:b/>
          <w:bCs/>
          <w:i w:val="0"/>
          <w:iCs w:val="0"/>
          <w:color w:val="000000" w:themeColor="text1"/>
          <w:lang w:val="fr-FR" w:eastAsia="zh-CN" w:bidi="ar"/>
        </w:rPr>
      </w:pPr>
      <w:bookmarkStart w:id="175" w:name="_Toc201260161"/>
      <w:r>
        <w:rPr>
          <w:rFonts w:ascii="Times New Roman" w:hAnsi="Times New Roman" w:cs="Times New Roman"/>
          <w:b/>
          <w:bCs/>
          <w:i w:val="0"/>
          <w:iCs w:val="0"/>
          <w:color w:val="000000" w:themeColor="text1"/>
          <w:lang w:val="fr-FR" w:eastAsia="zh-CN" w:bidi="ar"/>
        </w:rPr>
        <w:t>Modification de la Cible de l'Antibiotique</w:t>
      </w:r>
      <w:bookmarkEnd w:id="175"/>
    </w:p>
    <w:p w14:paraId="7AFB7524" w14:textId="77777777" w:rsidR="00B611D1" w:rsidRDefault="00FB7689">
      <w:pPr>
        <w:spacing w:after="200" w:line="360" w:lineRule="auto"/>
        <w:jc w:val="both"/>
        <w:rPr>
          <w:rFonts w:eastAsia="Calibri"/>
          <w:b/>
          <w:bCs/>
          <w:kern w:val="2"/>
          <w:lang w:val="fr-FR" w:eastAsia="zh-CN" w:bidi="ar"/>
        </w:rPr>
      </w:pPr>
      <w:r>
        <w:rPr>
          <w:rFonts w:eastAsia="TimesNewRomanPS-BoldMT"/>
          <w:lang w:val="fr-FR" w:eastAsia="zh-CN"/>
        </w:rPr>
        <w:t xml:space="preserve">Afin de résister à l’action de l’antibiotique, certaines bactéries sont capables de modifie ou remplace ses cibles cellulaires, de manière à empêcher l’antibiotique de les reconnaître ou de s’y fixer. Ce mécanisme conduisant à l’émergence d’une résistance aux antibiotiques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{"citationID":"3QoWNYYM","properties":{"formattedCitation":"(Blair et al., 2015)","plainCitation":"(Blair et al., 2015)","noteIndex":0},"citationItems":[{"id":245,"uris":["http://zotero.org/users/16279382/items/9X4L88HE"],"itemData":{"id":245,"type":"article-journal","container-title":"Nature reviews microbiology","issue":"1","note":"publisher: Nature Publishing Group UK London","page":"42–51","source":"Google Scholar","title":"Molecular mechanisms of antibiotic resistance","volume":"13","author":[{"family":"Blair","given":"Jessica MA"},{"family":"Webber","given":"Mark A."},{"family":"Baylay","given":"Alison J."},{"family":"Ogbolu","given":"David O."},{"family":"Piddock","given":"Laura JV"}],"issued":{"date-parts":[["2015"]]}}}],"schema":"https://github.com/citation-style-language/schema/raw/master/csl-citation.json"}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 xml:space="preserve">(Blair </w:t>
      </w:r>
      <w:r>
        <w:rPr>
          <w:rFonts w:eastAsia="Calibri"/>
          <w:b/>
          <w:bCs/>
          <w:i/>
          <w:iCs/>
          <w:kern w:val="2"/>
          <w:szCs w:val="22"/>
          <w:lang w:val="fr" w:eastAsia="zh-CN" w:bidi="ar"/>
        </w:rPr>
        <w:t>et al</w:t>
      </w:r>
      <w:r>
        <w:rPr>
          <w:rFonts w:eastAsia="Calibri"/>
          <w:b/>
          <w:bCs/>
          <w:kern w:val="2"/>
          <w:szCs w:val="22"/>
          <w:lang w:val="fr" w:eastAsia="zh-CN" w:bidi="ar"/>
        </w:rPr>
        <w:t>., 2015)</w:t>
      </w:r>
      <w:r>
        <w:rPr>
          <w:rFonts w:eastAsia="Calibri"/>
          <w:b/>
          <w:bCs/>
          <w:kern w:val="2"/>
          <w:lang w:val="fr" w:eastAsia="zh-CN" w:bidi="ar"/>
        </w:rPr>
        <w:fldChar w:fldCharType="end"/>
      </w:r>
      <w:r>
        <w:rPr>
          <w:rFonts w:eastAsia="Calibri"/>
          <w:b/>
          <w:bCs/>
          <w:kern w:val="2"/>
          <w:lang w:val="fr-FR" w:eastAsia="zh-CN" w:bidi="ar"/>
        </w:rPr>
        <w:t>.</w:t>
      </w:r>
    </w:p>
    <w:p w14:paraId="1BC9E935" w14:textId="77777777" w:rsidR="00B611D1" w:rsidRDefault="00FB7689">
      <w:pPr>
        <w:pStyle w:val="Titre5"/>
        <w:numPr>
          <w:ilvl w:val="4"/>
          <w:numId w:val="1"/>
        </w:numPr>
        <w:rPr>
          <w:rFonts w:ascii="Times New Roman" w:hAnsi="Times New Roman" w:hint="default"/>
          <w:sz w:val="24"/>
          <w:szCs w:val="24"/>
          <w:lang w:val="fr-FR"/>
        </w:rPr>
      </w:pPr>
      <w:bookmarkStart w:id="176" w:name="_Toc201260162"/>
      <w:r>
        <w:rPr>
          <w:rFonts w:ascii="Times New Roman" w:hAnsi="Times New Roman" w:hint="default"/>
          <w:sz w:val="24"/>
          <w:szCs w:val="24"/>
          <w:lang w:val="fr-FR"/>
        </w:rPr>
        <w:t>Modifications de la protéine de liaison à la pénicilline</w:t>
      </w:r>
      <w:bookmarkEnd w:id="176"/>
      <w:r>
        <w:rPr>
          <w:rFonts w:ascii="Times New Roman" w:hAnsi="Times New Roman" w:hint="default"/>
          <w:sz w:val="24"/>
          <w:szCs w:val="24"/>
          <w:lang w:val="fr-FR"/>
        </w:rPr>
        <w:t xml:space="preserve"> </w:t>
      </w:r>
    </w:p>
    <w:p w14:paraId="2C0444F0" w14:textId="77777777" w:rsidR="00B611D1" w:rsidRDefault="00FB7689">
      <w:pPr>
        <w:spacing w:after="200" w:line="360" w:lineRule="auto"/>
        <w:jc w:val="both"/>
        <w:rPr>
          <w:rFonts w:eastAsia="Calibri"/>
          <w:b/>
          <w:bCs/>
          <w:lang w:val="fr-FR" w:bidi="ar"/>
        </w:rPr>
      </w:pPr>
      <w:r>
        <w:rPr>
          <w:rFonts w:eastAsia="Calibri"/>
          <w:kern w:val="2"/>
          <w:lang w:val="fr-FR" w:eastAsia="zh-CN"/>
        </w:rPr>
        <w:t xml:space="preserve">Les protéines de liaison à la pénicilline (PLP) sont des enzymes appelées transpeptidases, qui jouent un rôle essentiel dans la réticulation des précurseurs du peptidoglycane de la paroi. Ces enzymes étant les principales cibles des antibiotiques β-lactamines, toute modification de leur structure ou de leur fonction peut entraîner une résistance bactérienne à ces médicaments </w:t>
      </w:r>
      <w:r>
        <w:rPr>
          <w:rFonts w:eastAsia="Calibri"/>
          <w:b/>
          <w:bCs/>
          <w:lang w:val="fr" w:bidi="ar"/>
        </w:rPr>
        <w:fldChar w:fldCharType="begin"/>
      </w:r>
      <w:r>
        <w:rPr>
          <w:rFonts w:eastAsia="Calibri"/>
          <w:b/>
          <w:bCs/>
          <w:lang w:val="fr" w:bidi="ar"/>
        </w:rPr>
        <w:instrText xml:space="preserve"> ADDIN ZOTERO_ITEM CSL_CITATION {"citationID":"K2qDVA0A","properties":{"formattedCitation":"(Halawa et al., 2024)","plainCitation":"(Halawa et al., 2024)","noteIndex":0},"citationItems":[{"id":247,"uris":["http://zotero.org/users/16279382/items/IVTB7P2V"],"itemData":{"id":247,"type":"article-journal","abstract":"Antibiotics represent a frequently employed therapeutic modality for the management of bacterial infections across diverse domains, including human health, agriculture, livestock breeding, and fish farming. The efficacy of antibiotics relies on four distinct mechanisms of action, which are discussed in detail in this review, along with accompanying diagrammatic illustrations. Despite their effectiveness, antibiotic resistance has emerged as a significant challenge to treating bacterial infections. Bacteria have developed defense mechanisms against antibiotics, rendering them ineffective. This review delves into the specific mechanisms that bacteria have developed to resist antibiotics, with the help of diagrammatic illustrations. Antibiotic resistance can spread among bacteria through various routes, resulting in previously susceptible bacteria becoming antibiotic-resistant. Multiple factors contribute to the worsening crisis of antibiotic resistance, including human misuse of antibiotics. This review also emphasizes alternative solutions proposed to mitigate the exacerbation of antibiotic resistance.","container-title":"Frontiers in Pharmacology","DOI":"10.3389/fphar.2023.1305294","ISSN":"1663-9812","journalAbbreviation":"Front. Pharmacol.","language":"English","note":"publisher: Frontiers","source":"Frontiers","title":"Antibiotic action and resistance: updated review of mechanisms, spread, influencing factors, and alternative approaches for combating resistance","title-short":"Antibiotic action and resistance","URL":"https://www.frontiersin.org/journals/pharmacology/articles/10.3389/fphar.2023.1305294/full","volume":"14","author":[{"family":"Halawa","given":"Esraa M."},{"family":"Fadel","given":"Mohamed"},{"family":"Al-Rabia","given":"Mohammed W."},{"family":"Behairy","given":"Ali"},{"family":"Nouh","given":"Nehal A."},{"family":"Abdo","given":"Mohamed"},{"family":"Olga","given":"Rada"},{"family":"Fericean","given":"Liana"},{"family":"Atwa","given":"Ahmed M."},{"family":"El-Nablaway","given":"Mohammad"},{"family":"Abdeen","given":"Ahmed"}],"accessed":{"date-parts":[["2025",5,28]]},"issued":{"date-parts":[["2024",1,12]]}}}],"schema":"https://github.com/citation-style-language/schema/raw/master/csl-citation.json"}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(Halawa </w:t>
      </w:r>
      <w:r>
        <w:rPr>
          <w:rFonts w:eastAsia="Calibri"/>
          <w:b/>
          <w:bCs/>
          <w:i/>
          <w:iCs/>
          <w:szCs w:val="22"/>
          <w:lang w:val="fr" w:bidi="ar"/>
        </w:rPr>
        <w:t>et al</w:t>
      </w:r>
      <w:r>
        <w:rPr>
          <w:rFonts w:eastAsia="Calibri"/>
          <w:b/>
          <w:bCs/>
          <w:szCs w:val="22"/>
          <w:lang w:val="fr" w:bidi="ar"/>
        </w:rPr>
        <w:t>., 2024)</w:t>
      </w:r>
      <w:r>
        <w:rPr>
          <w:rFonts w:eastAsia="Calibri"/>
          <w:b/>
          <w:bCs/>
          <w:lang w:val="fr" w:bidi="ar"/>
        </w:rPr>
        <w:fldChar w:fldCharType="end"/>
      </w:r>
      <w:r>
        <w:rPr>
          <w:rFonts w:eastAsia="Calibri"/>
          <w:b/>
          <w:bCs/>
          <w:lang w:val="fr-FR" w:bidi="ar"/>
        </w:rPr>
        <w:t>.</w:t>
      </w:r>
    </w:p>
    <w:p w14:paraId="3AD564E2" w14:textId="77777777" w:rsidR="00B611D1" w:rsidRDefault="00FB7689">
      <w:pPr>
        <w:pStyle w:val="Titre5"/>
        <w:numPr>
          <w:ilvl w:val="4"/>
          <w:numId w:val="1"/>
        </w:numPr>
        <w:rPr>
          <w:rFonts w:ascii="Times New Roman" w:hAnsi="Times New Roman" w:hint="default"/>
          <w:sz w:val="24"/>
          <w:szCs w:val="24"/>
          <w:lang w:val="fr-FR"/>
        </w:rPr>
      </w:pPr>
      <w:bookmarkStart w:id="177" w:name="_Toc201260163"/>
      <w:r>
        <w:rPr>
          <w:rFonts w:ascii="Times New Roman" w:hAnsi="Times New Roman" w:hint="default"/>
          <w:sz w:val="24"/>
          <w:szCs w:val="24"/>
          <w:lang w:val="fr-FR"/>
        </w:rPr>
        <w:t>Modification de la cible ribosomale</w:t>
      </w:r>
      <w:bookmarkEnd w:id="177"/>
    </w:p>
    <w:p w14:paraId="278C06B3" w14:textId="77777777" w:rsidR="00B611D1" w:rsidRDefault="00FB7689">
      <w:pPr>
        <w:spacing w:after="200" w:line="360" w:lineRule="auto"/>
        <w:jc w:val="both"/>
        <w:rPr>
          <w:rFonts w:eastAsia="Calibri"/>
          <w:lang w:val="fr-FR" w:eastAsia="zh-CN"/>
        </w:rPr>
      </w:pPr>
      <w:r>
        <w:rPr>
          <w:rFonts w:eastAsia="Calibri"/>
          <w:lang w:val="fr-FR" w:eastAsia="zh-CN"/>
        </w:rPr>
        <w:t xml:space="preserve">Les ribosomes sont le lieu de la synthèse protéique. Ils peuvent être altérés dans leur structure et leur fonctionnement par la fixation d'un antibiotique. Une modification de la cible ribosomale acquise par mutation diminue l'affinité du site de fixation de l'antibiotique et rend la bactérie résistante. Ce mécanisme est responsable de la résistance aux tétracyclines, aux macrolides et lincosamindes, aux phénicoles, et plus rarement aux aminosides </w:t>
      </w:r>
      <w:r>
        <w:rPr>
          <w:rFonts w:eastAsia="Calibri"/>
          <w:b/>
          <w:bCs/>
          <w:lang w:val="fr" w:bidi="ar"/>
        </w:rPr>
        <w:fldChar w:fldCharType="begin"/>
      </w:r>
      <w:r>
        <w:rPr>
          <w:rFonts w:eastAsia="Calibri"/>
          <w:b/>
          <w:bCs/>
          <w:lang w:val="fr" w:bidi="ar"/>
        </w:rPr>
        <w:instrText xml:space="preserve"> ADDIN ZOTERO_ITEM CSL_CITATION {"citationID":"GrasNXkB","properties":{"formattedCitation":"(Sodhi et al., 2023)","plainCitation":"(Sodhi et al., 2023)","noteIndex":0},"citationItems":[{"id":255,"uris":["http://zotero.org/users/16279382/items/LLD4R3AI"],"itemData":{"id":255,"type":"article-journal","container-title":"Frontiers in pharmacology","note":"publisher: Frontiers Media SA","page":"1144561","source":"Google Scholar","title":"Whole-genome sequencing of Alcaligenes sp. strain MMA: insight into the antibiotic and heavy metal resistant genes","title-short":"Whole-genome sequencing of Alcaligenes sp. strain MMA","volume":"14","author":[{"family":"Sodhi","given":"Kushneet Kaur"},{"family":"Singh","given":"Chandra Kant"},{"family":"Kumar","given":"Mohit"},{"family":"Singh","given":"Dileep Kumar"}],"issued":{"date-parts":[["2023"]]}}}],"schema":"https://github.com/citation-style-language/schema/raw/master/csl-citation.json"}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(Sodhi </w:t>
      </w:r>
      <w:r>
        <w:rPr>
          <w:rFonts w:eastAsia="Calibri"/>
          <w:b/>
          <w:bCs/>
          <w:i/>
          <w:iCs/>
          <w:szCs w:val="22"/>
          <w:lang w:val="fr" w:bidi="ar"/>
        </w:rPr>
        <w:t>et al</w:t>
      </w:r>
      <w:r>
        <w:rPr>
          <w:rFonts w:eastAsia="Calibri"/>
          <w:b/>
          <w:bCs/>
          <w:szCs w:val="22"/>
          <w:lang w:val="fr" w:bidi="ar"/>
        </w:rPr>
        <w:t>., 2023)</w:t>
      </w:r>
      <w:r>
        <w:rPr>
          <w:rFonts w:eastAsia="Calibri"/>
          <w:b/>
          <w:bCs/>
          <w:lang w:val="fr" w:bidi="ar"/>
        </w:rPr>
        <w:fldChar w:fldCharType="end"/>
      </w:r>
      <w:r>
        <w:rPr>
          <w:rFonts w:eastAsia="Calibri"/>
          <w:b/>
          <w:bCs/>
          <w:lang w:val="fr" w:bidi="ar"/>
        </w:rPr>
        <w:t>.</w:t>
      </w:r>
    </w:p>
    <w:p w14:paraId="41E9B747" w14:textId="77777777" w:rsidR="00B611D1" w:rsidRDefault="00FB7689">
      <w:pPr>
        <w:pStyle w:val="Titre5"/>
        <w:numPr>
          <w:ilvl w:val="4"/>
          <w:numId w:val="1"/>
        </w:numPr>
        <w:rPr>
          <w:rFonts w:asciiTheme="majorBidi" w:hAnsiTheme="majorBidi" w:cstheme="majorBidi" w:hint="default"/>
          <w:sz w:val="24"/>
          <w:szCs w:val="24"/>
          <w:lang w:val="fr-FR"/>
        </w:rPr>
      </w:pPr>
      <w:bookmarkStart w:id="178" w:name="_Toc201260164"/>
      <w:r>
        <w:rPr>
          <w:rFonts w:asciiTheme="majorBidi" w:hAnsiTheme="majorBidi" w:cstheme="majorBidi" w:hint="default"/>
          <w:sz w:val="24"/>
          <w:szCs w:val="24"/>
          <w:lang w:val="fr-FR"/>
        </w:rPr>
        <w:t>Altération de la synthèse des acides nucléiques</w:t>
      </w:r>
      <w:bookmarkEnd w:id="178"/>
    </w:p>
    <w:p w14:paraId="3E28E5C0" w14:textId="77777777" w:rsidR="00B611D1" w:rsidRDefault="00FB7689">
      <w:pPr>
        <w:spacing w:after="200" w:line="360" w:lineRule="auto"/>
        <w:jc w:val="both"/>
        <w:rPr>
          <w:rFonts w:eastAsia="Calibri"/>
          <w:lang w:val="fr-FR" w:eastAsia="zh-CN"/>
        </w:rPr>
      </w:pPr>
      <w:r>
        <w:rPr>
          <w:rFonts w:eastAsia="Calibri"/>
          <w:lang w:val="fr-FR" w:eastAsia="zh-CN"/>
        </w:rPr>
        <w:t xml:space="preserve">L’enzyme gyrase essentielle à la réplication  de l'ADN peut être modifié par mutation, Celles-ci entraînent la production d’enzymes modifiées,  rendant l’action des quinolones inefficaces contre elles </w:t>
      </w:r>
      <w:r>
        <w:rPr>
          <w:rFonts w:eastAsia="Calibri"/>
          <w:b/>
          <w:bCs/>
          <w:lang w:val="fr" w:bidi="ar"/>
        </w:rPr>
        <w:fldChar w:fldCharType="begin"/>
      </w:r>
      <w:r>
        <w:rPr>
          <w:rFonts w:eastAsia="Calibri"/>
          <w:b/>
          <w:bCs/>
          <w:lang w:val="fr" w:bidi="ar"/>
        </w:rPr>
        <w:instrText xml:space="preserve"> ADDIN ZOTERO_ITEM CSL_CITATION {"citationID":"BnMzjCMO","properties":{"formattedCitation":"(F\\uc0\\u224{}brega et al., 2009)","plainCitation":"(Fàbrega et al., 2009)","noteIndex":0},"citationItems":[{"id":253,"uris":["http://zotero.org/users/16279382/items/NQCXR4TI"],"itemData":{"id":253,"type":"article-journal","abstract":"Summary\n            \n              Fluoroquinolones are an important class of wide‐spectrum antibacterial agents. The first quinolone described was nalidixic acid, which showed a narrow spectrum of activity. The evolution of quinolones to more potent molecules was based on changes at positions 1, 6, 7 and 8 of the chemical structure of nalidixic acid. Quinolones inhibit DNA gyrase and topoisomerase IV activities, two enzymes essential for bacteria viability. The acquisition of quinolone resistance is frequently related to (i) chromosomal mutations such as those in the genes encoding the A and B subunits of the protein targets (\n              gyrA\n              ,\n              gyrB\n              ,\n              parC\n              and\n              parE\n              ), or mutations causing reduced drug accumulation, either by a decreased uptake or by an increased efflux, and (ii) quinolone resistance genes associated with plasmids have been also described, i.e. the\n              qnr\n              gene that encodes a pentapeptide, which blocks the action of quinolones on the DNA gyrase and topoisomerase IV; the\n              aac(6\n              ′\n              )‐Ib‐cr\n              gene that encodes an acetylase that modifies the amino group of the piperazin ring of the fluoroquinolones and efflux pump encoded by the\n              qepA\n              gene that decreases intracellular drug levels. These plasmid‐mediated mechanisms of resistance confer low levels of resistance but provide a favourable background in which selection of additional chromosomally encoded quinolone resistance mechanisms can occur.","container-title":"Microbial Biotechnology","DOI":"10.1111/j.1751-7915.2008.00063.x","ISSN":"1751-7915, 1751-7915","issue":"1","journalAbbreviation":"Microbial Biotechnology","language":"en","license":"http://onlinelibrary.wiley.com/termsAndConditions#vor","page":"40-61","source":"DOI.org (Crossref)","title":"Mechanism of action of and resistance to quinolones","volume":"2","author":[{"family":"Fàbrega","given":"Anna"},{"family":"Madurga","given":"Sergi"},{"family":"Giralt","given":"Ernest"},{"family":"Vila","given":"Jordi"}],"issued":{"date-parts":[["2009",1]]}}}],"schema":"https://github.com/citation-style-language/schema/raw/master/csl-citation.json"} </w:instrText>
      </w:r>
      <w:r>
        <w:rPr>
          <w:rFonts w:eastAsia="Calibri"/>
          <w:b/>
          <w:bCs/>
          <w:lang w:val="fr" w:bidi="ar"/>
        </w:rPr>
        <w:fldChar w:fldCharType="separate"/>
      </w:r>
      <w:r>
        <w:rPr>
          <w:rFonts w:eastAsia="Calibri"/>
          <w:b/>
          <w:bCs/>
          <w:lang w:val="fr" w:bidi="ar"/>
        </w:rPr>
        <w:t xml:space="preserve">(Fàbrega </w:t>
      </w:r>
      <w:r>
        <w:rPr>
          <w:rFonts w:eastAsia="Calibri"/>
          <w:b/>
          <w:bCs/>
          <w:i/>
          <w:iCs/>
          <w:lang w:val="fr" w:bidi="ar"/>
        </w:rPr>
        <w:t>et al</w:t>
      </w:r>
      <w:r>
        <w:rPr>
          <w:rFonts w:eastAsia="Calibri"/>
          <w:b/>
          <w:bCs/>
          <w:lang w:val="fr" w:bidi="ar"/>
        </w:rPr>
        <w:t>., 2009)</w:t>
      </w:r>
      <w:r>
        <w:rPr>
          <w:rFonts w:eastAsia="Calibri"/>
          <w:b/>
          <w:bCs/>
          <w:lang w:val="fr" w:bidi="ar"/>
        </w:rPr>
        <w:fldChar w:fldCharType="end"/>
      </w:r>
      <w:r>
        <w:rPr>
          <w:rFonts w:eastAsia="Calibri"/>
          <w:b/>
          <w:bCs/>
          <w:lang w:val="fr" w:bidi="ar"/>
        </w:rPr>
        <w:t>.</w:t>
      </w:r>
    </w:p>
    <w:p w14:paraId="4202D11D" w14:textId="77777777" w:rsidR="00B611D1" w:rsidRDefault="00FB7689">
      <w:pPr>
        <w:pStyle w:val="Titre5"/>
        <w:numPr>
          <w:ilvl w:val="4"/>
          <w:numId w:val="1"/>
        </w:numPr>
        <w:rPr>
          <w:rFonts w:ascii="Times New Roman" w:hAnsi="Times New Roman" w:hint="default"/>
          <w:sz w:val="24"/>
          <w:szCs w:val="24"/>
          <w:lang w:val="fr-FR"/>
        </w:rPr>
      </w:pPr>
      <w:bookmarkStart w:id="179" w:name="_Toc201260165"/>
      <w:r>
        <w:rPr>
          <w:rFonts w:ascii="Times New Roman" w:hAnsi="Times New Roman" w:hint="default"/>
          <w:sz w:val="24"/>
          <w:szCs w:val="24"/>
          <w:lang w:val="fr-FR"/>
        </w:rPr>
        <w:t>Altération de l'enzyme ARN polymérase</w:t>
      </w:r>
      <w:bookmarkEnd w:id="179"/>
    </w:p>
    <w:p w14:paraId="011D21A0" w14:textId="77777777" w:rsidR="00B611D1" w:rsidRDefault="00FB7689">
      <w:pPr>
        <w:spacing w:after="200" w:line="360" w:lineRule="auto"/>
        <w:jc w:val="both"/>
        <w:rPr>
          <w:rFonts w:eastAsia="Calibri"/>
          <w:b/>
          <w:bCs/>
          <w:lang w:val="fr-FR" w:eastAsia="zh-CN"/>
        </w:rPr>
      </w:pPr>
      <w:r>
        <w:rPr>
          <w:rFonts w:eastAsia="Calibri"/>
          <w:lang w:val="fr-FR" w:eastAsia="zh-CN"/>
        </w:rPr>
        <w:t xml:space="preserve">l’ARN polymérase, nécessaire à la synthèse des ARN messagers peut être modifié par mutation rendant l’action de la rifampicine inefficace contre ce dernier </w:t>
      </w:r>
      <w:r>
        <w:rPr>
          <w:rFonts w:eastAsia="Calibri"/>
          <w:b/>
          <w:bCs/>
          <w:lang w:val="fr" w:bidi="ar"/>
        </w:rPr>
        <w:fldChar w:fldCharType="begin"/>
      </w:r>
      <w:r>
        <w:rPr>
          <w:rFonts w:eastAsia="Calibri"/>
          <w:b/>
          <w:bCs/>
          <w:lang w:val="fr" w:bidi="ar"/>
        </w:rPr>
        <w:instrText xml:space="preserve"> ADDIN ZOTERO_ITEM CSL_CITATION {"citationID":"YozrnMoZ","properties":{"formattedCitation":"(Patel et al., 2023)","plainCitation":"(Patel et al., 2023)","noteIndex":0},"citationItems":[{"id":251,"uris":["http://zotero.org/users/16279382/items/EECNPEJV"],"itemData":{"id":251,"type":"article-journal","abstract":"Rifampicin (RIF) is one of the most valued drugs in the treatment of tuberculosis. TB treatment relies on a combination therapy and for multidrug-resistant strains may include β-lactams.\n          , \n            ABSTRACT\n            \n              Bacteria can adapt to stressful conditions through mutations affecting the RNA polymerase core subunits that lead to beneficial changes in transcription. In response to selection with rifampicin (RIF), mutations arise in the RIF resistance-determining region (RRDR) of\n              rpoB\n              that reduce antibiotic binding. These changes can also alter transcription and thereby have pleiotropic effects on bacterial fitness. Here, we studied the evolution of resistance in\n              Bacillus subtilis\n              to the synergistic combination of RIF and the β-lactam cefuroxime (CEF). Two independent evolution experiments led to the recovery of a single\n              rpoB\n              allele (S487L) that was able to confer resistance to RIF and CEF through a single mutation. Two other common RRDR mutations made the cells 32 times more sensitive to CEF (H482Y) or led to only modest CEF resistance (Q469R). The diverse effects of these three mutations on CEF resistance are correlated with differences in the expression of peptidoglycan (PG) synthesis genes and in the levels of two metabolites crucial in regulating PG synthesis, glucosamine-6-phosphate (GlcN-6-P) and UDP-\n              N\n              -acetylglucosamine (UDP-GlcNAc). We conclude that RRDR mutations can have widely varying effects on pathways important for cell wall biosynthesis, and this may restrict the spectrum of mutations that arise during combination therapy.\n            \n            \n              IMPORTANCE\n              Rifampicin (RIF) is one of the most valued drugs in the treatment of tuberculosis. TB treatment relies on a combination therapy and for multidrug-resistant strains may include β-lactams. Mutations in\n              rpoB\n              present a common route for emergence of resistance to RIF. In this study, using\n              B. subtilis\n              as a model, we evaluate the emergence of resistance for the synergistic combination of RIF and the β-lactam cefuroxime (CEF). One clinically relevant\n              rpoB\n              mutation conferred resistance to both RIF and CEF, whereas one other increased CEF sensitivity. We were able to link these CEF sensitivity phenotypes to accumulation of UDP-\n              N\n              -acetylglucosamine (UDP-GlcNAc), which feedback regulates GlmS activity and thereby peptidoglycan synthesis. Further, we found that higher CEF concentrations precluded the emergence of high RIF resistance. Collectively, these results suggest that multidrug treatment regimens may limit the available pathways for the evolution of antibiotic resistance.","container-title":"mBio","DOI":"10.1128/mbio.03168-22","ISSN":"2150-7511","issue":"2","journalAbbreviation":"mBio","language":"en","page":"e03168-22","source":"DOI.org (Crossref)","title":"Mutations in &lt;i&gt;rpoB&lt;/i&gt; That Confer Rifampicin Resistance Can Alter Levels of Peptidoglycan Precursors and Affect β-Lactam Susceptibility","volume":"14","author":[{"family":"Patel","given":"Yesha"},{"family":"Soni","given":"Vijay"},{"family":"Rhee","given":"Kyu Y."},{"family":"Helmann","given":"John D."}],"editor":[{"family":"Babitzke","given":"Paul"}],"issued":{"date-parts":[["2023",4,25]]}}}],"schema":"https://github.com/citation-style-language/schema/raw/master/csl-citation.json"} </w:instrText>
      </w:r>
      <w:r>
        <w:rPr>
          <w:rFonts w:eastAsia="Calibri"/>
          <w:b/>
          <w:bCs/>
          <w:lang w:val="fr" w:bidi="ar"/>
        </w:rPr>
        <w:fldChar w:fldCharType="separate"/>
      </w:r>
      <w:r>
        <w:rPr>
          <w:rFonts w:eastAsia="Calibri"/>
          <w:b/>
          <w:bCs/>
          <w:lang w:val="fr" w:bidi="ar"/>
        </w:rPr>
        <w:t xml:space="preserve">(Patel </w:t>
      </w:r>
      <w:r>
        <w:rPr>
          <w:rFonts w:eastAsia="Calibri"/>
          <w:b/>
          <w:bCs/>
          <w:i/>
          <w:iCs/>
          <w:lang w:val="fr" w:bidi="ar"/>
        </w:rPr>
        <w:t>et al</w:t>
      </w:r>
      <w:r>
        <w:rPr>
          <w:rFonts w:eastAsia="Calibri"/>
          <w:b/>
          <w:bCs/>
          <w:lang w:val="fr" w:bidi="ar"/>
        </w:rPr>
        <w:t>., 2023)</w:t>
      </w:r>
      <w:r>
        <w:rPr>
          <w:rFonts w:eastAsia="Calibri"/>
          <w:b/>
          <w:bCs/>
          <w:lang w:val="fr" w:bidi="ar"/>
        </w:rPr>
        <w:fldChar w:fldCharType="end"/>
      </w:r>
      <w:r>
        <w:rPr>
          <w:rFonts w:eastAsia="Calibri"/>
          <w:b/>
          <w:bCs/>
          <w:lang w:val="fr-FR" w:eastAsia="zh-CN"/>
        </w:rPr>
        <w:t>.</w:t>
      </w:r>
    </w:p>
    <w:p w14:paraId="559FB3AB" w14:textId="77777777" w:rsidR="00B611D1" w:rsidRDefault="00FB7689">
      <w:pPr>
        <w:pStyle w:val="Titre3"/>
        <w:numPr>
          <w:ilvl w:val="2"/>
          <w:numId w:val="1"/>
        </w:numPr>
        <w:spacing w:line="360" w:lineRule="auto"/>
        <w:rPr>
          <w:rFonts w:eastAsia="Calibri"/>
          <w:lang w:val="fr-FR" w:eastAsia="zh-CN"/>
        </w:rPr>
      </w:pPr>
      <w:bookmarkStart w:id="180" w:name="_Toc201260166"/>
      <w:r>
        <w:rPr>
          <w:rFonts w:eastAsia="Calibri"/>
          <w:lang w:val="fr-FR" w:eastAsia="zh-CN"/>
        </w:rPr>
        <w:t>Lutte contre la résistance bactérienne</w:t>
      </w:r>
      <w:bookmarkEnd w:id="180"/>
    </w:p>
    <w:p w14:paraId="6ABC77F8" w14:textId="77777777" w:rsidR="00B611D1" w:rsidRDefault="00FB7689">
      <w:pPr>
        <w:spacing w:line="360" w:lineRule="auto"/>
        <w:jc w:val="both"/>
        <w:rPr>
          <w:rFonts w:eastAsia="Calibri"/>
          <w:lang w:val="fr-FR" w:eastAsia="zh-CN"/>
        </w:rPr>
      </w:pPr>
      <w:r>
        <w:rPr>
          <w:rFonts w:eastAsia="Calibri"/>
          <w:lang w:val="fr-FR" w:eastAsia="zh-CN"/>
        </w:rPr>
        <w:t xml:space="preserve">Nous sommes aujourd'hui confrontés à un grave danger en raison de la crise mondiale de la résistance aux antibiotiques, qui ne cesse de s'aggraver. Nous devons donc nous concentrer sur la recherche de solutions pour lutter contre cette crise. Plusieurs approches existent pour y faire face, </w:t>
      </w:r>
    </w:p>
    <w:p w14:paraId="5B534A05" w14:textId="77777777" w:rsidR="00B611D1" w:rsidRDefault="00FB7689">
      <w:pPr>
        <w:pStyle w:val="Titre4"/>
        <w:numPr>
          <w:ilvl w:val="3"/>
          <w:numId w:val="1"/>
        </w:numPr>
        <w:spacing w:line="360" w:lineRule="auto"/>
        <w:rPr>
          <w:rFonts w:ascii="Times New Roman" w:hAnsi="Times New Roman" w:cs="Times New Roman"/>
          <w:b/>
          <w:bCs/>
          <w:i w:val="0"/>
          <w:iCs w:val="0"/>
          <w:color w:val="000000" w:themeColor="text1"/>
          <w:lang w:val="fr-FR" w:eastAsia="zh-CN"/>
        </w:rPr>
      </w:pPr>
      <w:bookmarkStart w:id="181" w:name="_Toc201260167"/>
      <w:r>
        <w:rPr>
          <w:rFonts w:ascii="Times New Roman" w:hAnsi="Times New Roman" w:cs="Times New Roman"/>
          <w:b/>
          <w:bCs/>
          <w:i w:val="0"/>
          <w:iCs w:val="0"/>
          <w:color w:val="000000" w:themeColor="text1"/>
          <w:lang w:val="fr-FR" w:eastAsia="zh-CN"/>
        </w:rPr>
        <w:t>Utilisation judicieuse des antibiotiques</w:t>
      </w:r>
      <w:bookmarkEnd w:id="181"/>
      <w:r>
        <w:rPr>
          <w:rFonts w:ascii="Times New Roman" w:hAnsi="Times New Roman" w:cs="Times New Roman"/>
          <w:b/>
          <w:bCs/>
          <w:i w:val="0"/>
          <w:iCs w:val="0"/>
          <w:color w:val="000000" w:themeColor="text1"/>
          <w:lang w:val="fr-FR" w:eastAsia="zh-CN"/>
        </w:rPr>
        <w:t xml:space="preserve"> </w:t>
      </w:r>
    </w:p>
    <w:p w14:paraId="254B955C" w14:textId="77777777" w:rsidR="00B611D1" w:rsidRDefault="00FB7689">
      <w:pPr>
        <w:spacing w:after="200" w:line="360" w:lineRule="auto"/>
        <w:jc w:val="both"/>
        <w:rPr>
          <w:rFonts w:eastAsia="Calibri"/>
          <w:lang w:val="fr-FR" w:eastAsia="zh-CN"/>
        </w:rPr>
      </w:pPr>
      <w:r>
        <w:rPr>
          <w:rFonts w:eastAsia="Calibri"/>
          <w:lang w:val="fr-FR" w:eastAsia="zh-CN"/>
        </w:rPr>
        <w:t xml:space="preserve">Consiste à utiliser des médicaments appropriés, y compris les antibiotiques, en fonction des besoins cliniques des patients. Cela implique l’administration de doses exactes adaptées aux besoins individuels, pendant une durée adéquate, et au coût le plus bas possible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{"citationID":"NSS6D66g","properties":{"formattedCitation":"(Lin et al., 2022)","plainCitation":"(Lin et al., 2022)","noteIndex":0},"citationItems":[{"id":265,"uris":["http://zotero.org/users/16279382/items/BVWY3F4N"],"itemData":{"id":265,"type":"article-journal","container-title":"Drug, Healthcare and Patient Safety","DOI":"10.2147/DHPS.S339808","ISSN":"1179-1365","journalAbbreviation":"DHPS","language":"en","license":"http://creativecommons.org/licenses/by-nc/3.0/","page":"27-36","source":"DOI.org (Crossref)","title":"The Predictors Influencing the Rational Use of Antibiotics Among Public Sector: A Community-Based Survey in Thailand","title-short":"The Predictors Influencing the Rational Use of Antibiotics Among Public Sector","volume":"Volume 14","author":[{"family":"Lin","given":"Thaw Zin"},{"family":"Jayasvasti","given":"Isareethika"},{"family":"Tiraphat","given":"Sariyamon"},{"family":"Pengpid","given":"Supa"},{"family":"Jayasvasti","given":"Manisthawadee"},{"family":"Borriharn","given":"Phetlada"}],"issued":{"date-parts":[["2022",3]]}}}],"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 w:eastAsia="zh-CN" w:bidi="ar"/>
        </w:rPr>
        <w:t xml:space="preserve">(Lin </w:t>
      </w:r>
      <w:r>
        <w:rPr>
          <w:rFonts w:eastAsia="Calibri"/>
          <w:b/>
          <w:bCs/>
          <w:i/>
          <w:iCs/>
          <w:kern w:val="2"/>
          <w:szCs w:val="22"/>
          <w:lang w:val="fr" w:eastAsia="zh-CN" w:bidi="ar"/>
        </w:rPr>
        <w:t>et al</w:t>
      </w:r>
      <w:r>
        <w:rPr>
          <w:rFonts w:eastAsia="Calibri"/>
          <w:b/>
          <w:bCs/>
          <w:kern w:val="2"/>
          <w:szCs w:val="22"/>
          <w:lang w:val="fr" w:eastAsia="zh-CN" w:bidi="ar"/>
        </w:rPr>
        <w:t>., 2022)</w:t>
      </w:r>
      <w:r>
        <w:rPr>
          <w:rFonts w:eastAsia="Calibri"/>
          <w:b/>
          <w:bCs/>
          <w:kern w:val="2"/>
          <w:lang w:val="fr" w:eastAsia="zh-CN" w:bidi="ar"/>
        </w:rPr>
        <w:fldChar w:fldCharType="end"/>
      </w:r>
      <w:r>
        <w:rPr>
          <w:rFonts w:eastAsia="Calibri"/>
          <w:b/>
          <w:bCs/>
          <w:kern w:val="2"/>
          <w:lang w:val="fr-FR" w:eastAsia="zh-CN" w:bidi="ar"/>
        </w:rPr>
        <w:t>.</w:t>
      </w:r>
    </w:p>
    <w:p w14:paraId="5FADA158" w14:textId="77777777" w:rsidR="00B611D1" w:rsidRDefault="00FB7689">
      <w:pPr>
        <w:pStyle w:val="Titre4"/>
        <w:numPr>
          <w:ilvl w:val="3"/>
          <w:numId w:val="1"/>
        </w:numPr>
        <w:spacing w:line="360" w:lineRule="auto"/>
        <w:rPr>
          <w:rFonts w:ascii="Times New Roman" w:hAnsi="Times New Roman" w:cs="Times New Roman"/>
          <w:b/>
          <w:bCs/>
          <w:i w:val="0"/>
          <w:iCs w:val="0"/>
          <w:color w:val="000000" w:themeColor="text1"/>
          <w:lang w:val="fr-FR" w:eastAsia="zh-CN"/>
        </w:rPr>
      </w:pPr>
      <w:bookmarkStart w:id="182" w:name="_Toc201260168"/>
      <w:r>
        <w:rPr>
          <w:rFonts w:ascii="Times New Roman" w:hAnsi="Times New Roman" w:cs="Times New Roman"/>
          <w:b/>
          <w:bCs/>
          <w:i w:val="0"/>
          <w:iCs w:val="0"/>
          <w:color w:val="000000" w:themeColor="text1"/>
          <w:lang w:val="fr-FR" w:eastAsia="zh-CN"/>
        </w:rPr>
        <w:t>Formation du personnel de santé</w:t>
      </w:r>
      <w:bookmarkEnd w:id="182"/>
    </w:p>
    <w:p w14:paraId="23138C48" w14:textId="77777777" w:rsidR="00B611D1" w:rsidRDefault="00FB7689">
      <w:pPr>
        <w:spacing w:line="360" w:lineRule="auto"/>
        <w:jc w:val="both"/>
        <w:rPr>
          <w:rFonts w:eastAsia="SimSun"/>
          <w:lang w:val="fr-FR" w:eastAsia="zh-CN"/>
        </w:rPr>
      </w:pPr>
      <w:r>
        <w:rPr>
          <w:rFonts w:eastAsia="SimSun"/>
          <w:lang w:val="fr-FR" w:eastAsia="zh-CN"/>
        </w:rPr>
        <w:t xml:space="preserve">Cela passe par des initiatives éducatives ciblées, la sensibilisation aux risques liés à la mauvaise utilisation des antibiotiques, ainsi que par la mise en place de directives claires et accessibles destinées aux professionnels de santé </w:t>
      </w:r>
      <w:r>
        <w:rPr>
          <w:rFonts w:eastAsia="Calibri"/>
          <w:b/>
          <w:bCs/>
          <w:lang w:val="fr" w:bidi="ar"/>
        </w:rPr>
        <w:fldChar w:fldCharType="begin"/>
      </w:r>
      <w:r>
        <w:rPr>
          <w:rFonts w:eastAsia="Calibri"/>
          <w:b/>
          <w:bCs/>
          <w:lang w:val="fr" w:bidi="ar"/>
        </w:rPr>
        <w:instrText xml:space="preserve"> ADDIN ZOTERO_ITEM CSL_CITATION {"citationID":"cR8vvlgw","properties":{"formattedCitation":"(Cill\\uc0\\u243{}niz et al., 2018)","plainCitation":"(Cillóniz et al., 2018)","noteIndex":0},"citationItems":[{"id":267,"uris":["http://zotero.org/users/16279382/items/7NZBCURZ"],"itemData":{"id":267,"type":"chapter","abstract":"Antibiotic resistance in Streptococcus pneumoniae (pneumococcus), the main pathogen responsible for community-acquired pneumonia (CAP), meningitis, bacteremia, and otitis media, is a major concern for clinicians. This pathogen is associated with high rates of morbidity and mortality, especially among children under 2 years old, immunocompromised persons, and the elderly population. The major anti-pneumococcus agents are β-lactams and macrolides, with fluoroquinolones ranking third. The emergence of antibiotic-resistant pneumococcus due to overuse of antibiotics is a global concern. While the discovery of novel classes of antibiotics for the pneumococcus is at a standstill, significant progress in reducing the problem of resistance is associated with antibacterial vaccines. Nevertheless, the World Health Organization recently considered drug-resistant S. pneumoniae as ranking among the 12 bacteria, for which there is an urgent need for new treatments. A challenge is to slow the evolution of new strains that are resistant to the vaccines.","container-title":"Antimicrobial Resistance in the 21st Century","event-place":"Cham","ISBN":"978-3-319-78538-7","language":"en","note":"DOI: 10.1007/978-3-319-78538-7_2","page":"13-38","publisher":"Springer International Publishing","publisher-place":"Cham","source":"Springer Link","title":"Antimicrobial Resistance Among Streptococcus pneumoniae","URL":"https://doi.org/10.1007/978-3-319-78538-7_2","author":[{"family":"Cillóniz","given":"Catia"},{"family":"Garcia-Vidal","given":"Carolina"},{"family":"Ceccato","given":"Adrian"},{"family":"Torres","given":"Antoni"}],"editor":[{"family":"Fong","given":"I. W."},{"family":"Shlaes","given":"David"},{"family":"Drlica","given":"Karl"}],"accessed":{"date-parts":[["2025",5,28]]},"issued":{"date-parts":[["2018"]]}}}],"schema":"https://github.com/citation-style-language/schema/raw/master/csl-citation.json"} </w:instrText>
      </w:r>
      <w:r>
        <w:rPr>
          <w:rFonts w:eastAsia="Calibri"/>
          <w:b/>
          <w:bCs/>
          <w:lang w:val="fr" w:bidi="ar"/>
        </w:rPr>
        <w:fldChar w:fldCharType="separate"/>
      </w:r>
      <w:r>
        <w:rPr>
          <w:rFonts w:eastAsia="Calibri"/>
          <w:b/>
          <w:bCs/>
          <w:szCs w:val="22"/>
          <w:lang w:val="fr" w:bidi="ar"/>
        </w:rPr>
        <w:t>(Cillóniz</w:t>
      </w:r>
      <w:r>
        <w:rPr>
          <w:rFonts w:eastAsia="Calibri"/>
          <w:b/>
          <w:bCs/>
          <w:i/>
          <w:iCs/>
          <w:szCs w:val="22"/>
          <w:lang w:val="fr" w:bidi="ar"/>
        </w:rPr>
        <w:t xml:space="preserve"> et al</w:t>
      </w:r>
      <w:r>
        <w:rPr>
          <w:rFonts w:eastAsia="Calibri"/>
          <w:b/>
          <w:bCs/>
          <w:szCs w:val="22"/>
          <w:lang w:val="fr" w:bidi="ar"/>
        </w:rPr>
        <w:t>., 2018)</w:t>
      </w:r>
      <w:r>
        <w:rPr>
          <w:rFonts w:eastAsia="Calibri"/>
          <w:b/>
          <w:bCs/>
          <w:lang w:val="fr" w:bidi="ar"/>
        </w:rPr>
        <w:fldChar w:fldCharType="end"/>
      </w:r>
      <w:r>
        <w:rPr>
          <w:rFonts w:eastAsia="SimSun"/>
          <w:b/>
          <w:bCs/>
          <w:lang w:val="fr-FR" w:eastAsia="zh-CN"/>
        </w:rPr>
        <w:t>.</w:t>
      </w:r>
    </w:p>
    <w:p w14:paraId="3FF95B6E" w14:textId="77777777" w:rsidR="00B611D1" w:rsidRDefault="00FB7689">
      <w:pPr>
        <w:pStyle w:val="Titre4"/>
        <w:numPr>
          <w:ilvl w:val="3"/>
          <w:numId w:val="1"/>
        </w:numPr>
        <w:spacing w:line="360" w:lineRule="auto"/>
        <w:rPr>
          <w:rFonts w:ascii="Times New Roman" w:hAnsi="Times New Roman" w:cs="Times New Roman"/>
          <w:b/>
          <w:bCs/>
          <w:i w:val="0"/>
          <w:iCs w:val="0"/>
          <w:color w:val="000000" w:themeColor="text1"/>
          <w:lang w:val="fr-FR" w:eastAsia="zh-CN" w:bidi="ar"/>
        </w:rPr>
      </w:pPr>
      <w:bookmarkStart w:id="183" w:name="_Toc201260169"/>
      <w:r>
        <w:rPr>
          <w:rFonts w:ascii="Times New Roman" w:hAnsi="Times New Roman" w:cs="Times New Roman"/>
          <w:b/>
          <w:bCs/>
          <w:i w:val="0"/>
          <w:iCs w:val="0"/>
          <w:color w:val="000000" w:themeColor="text1"/>
          <w:lang w:val="fr-FR" w:eastAsia="zh-CN" w:bidi="ar"/>
        </w:rPr>
        <w:t>Surveillance et Détection</w:t>
      </w:r>
      <w:bookmarkEnd w:id="183"/>
      <w:r>
        <w:rPr>
          <w:rFonts w:ascii="Times New Roman" w:hAnsi="Times New Roman" w:cs="Times New Roman"/>
          <w:b/>
          <w:bCs/>
          <w:i w:val="0"/>
          <w:iCs w:val="0"/>
          <w:color w:val="000000" w:themeColor="text1"/>
          <w:lang w:val="fr-FR" w:eastAsia="zh-CN" w:bidi="ar"/>
        </w:rPr>
        <w:t xml:space="preserve"> </w:t>
      </w:r>
    </w:p>
    <w:p w14:paraId="5C356A6B" w14:textId="77777777" w:rsidR="00B611D1" w:rsidRDefault="00FB7689">
      <w:pPr>
        <w:spacing w:line="360" w:lineRule="auto"/>
        <w:jc w:val="both"/>
        <w:rPr>
          <w:rFonts w:eastAsia="TimesNewRomanPS-BoldMT"/>
          <w:lang w:val="fr-FR" w:eastAsia="zh-CN"/>
        </w:rPr>
      </w:pPr>
      <w:r>
        <w:rPr>
          <w:rFonts w:eastAsia="TimesNewRomanPS-BoldMT"/>
          <w:lang w:val="fr-FR" w:eastAsia="zh-CN"/>
        </w:rPr>
        <w:t xml:space="preserve">La mise en place de programmes de surveillance des infections nosocomiales et des résistances est essentielle pour détecter rapidement les épidémies et intervenir efficacement. Cette démarche repose sur la collecte de données standardisées, leur analyse régulière, et la diffusion rapide des résultats aux équipes concernées </w:t>
      </w:r>
      <w:r>
        <w:rPr>
          <w:rFonts w:eastAsia="Calibri"/>
          <w:b/>
          <w:bCs/>
          <w:lang w:val="fr" w:bidi="ar"/>
        </w:rPr>
        <w:fldChar w:fldCharType="begin"/>
      </w:r>
      <w:r>
        <w:rPr>
          <w:rFonts w:eastAsia="Calibri"/>
          <w:b/>
          <w:bCs/>
          <w:lang w:val="fr" w:bidi="ar"/>
        </w:rPr>
        <w:instrText xml:space="preserve"> ADDIN ZOTERO_ITEM CSL_CITATION {"citationID":"xxqKtIy5","properties":{"formattedCitation":"(Savey &amp; Machut, 2013)","plainCitation":"(Savey &amp; Machut, 2013)","noteIndex":0},"citationItems":[{"id":269,"uris":["http://zotero.org/users/16279382/items/Z42WHR7V"],"itemData":{"id":269,"type":"book","event-place":"Saint-Maurice","ISBN":"978-2-11-131117-6","number-of-pages":"30","publisher":"Institut de veille sanitaire","publisher-place":"Saint-Maurice","source":"COinS","title":"Surveillance des infections nosocomiales en réanimation adulte. Réseau REA-Raisin, France, résultats 2011","author":[{"family":"Savey","given":"A"},{"family":"Machut","given":"A."}],"issued":{"date-parts":[["2013"]]}}}],"schema":"https://github.com/citation-style-language/schema/raw/master/csl-citation.json"} </w:instrText>
      </w:r>
      <w:r>
        <w:rPr>
          <w:rFonts w:eastAsia="Calibri"/>
          <w:b/>
          <w:bCs/>
          <w:lang w:val="fr" w:bidi="ar"/>
        </w:rPr>
        <w:fldChar w:fldCharType="separate"/>
      </w:r>
      <w:r>
        <w:rPr>
          <w:rFonts w:eastAsia="Calibri"/>
          <w:b/>
          <w:bCs/>
          <w:szCs w:val="22"/>
          <w:lang w:val="fr" w:bidi="ar"/>
        </w:rPr>
        <w:t>(Savey &amp; Machut, 2013)</w:t>
      </w:r>
      <w:r>
        <w:rPr>
          <w:rFonts w:eastAsia="Calibri"/>
          <w:b/>
          <w:bCs/>
          <w:lang w:val="fr" w:bidi="ar"/>
        </w:rPr>
        <w:fldChar w:fldCharType="end"/>
      </w:r>
      <w:r>
        <w:rPr>
          <w:rFonts w:eastAsia="TimesNewRomanPS-BoldMT"/>
          <w:b/>
          <w:bCs/>
          <w:lang w:val="fr-FR" w:eastAsia="zh-CN"/>
        </w:rPr>
        <w:t>.</w:t>
      </w:r>
    </w:p>
    <w:p w14:paraId="08407473" w14:textId="77777777" w:rsidR="00B611D1" w:rsidRDefault="00FB7689">
      <w:pPr>
        <w:pStyle w:val="Titre4"/>
        <w:numPr>
          <w:ilvl w:val="3"/>
          <w:numId w:val="1"/>
        </w:numPr>
        <w:spacing w:line="360" w:lineRule="auto"/>
        <w:rPr>
          <w:rFonts w:ascii="Times New Roman" w:hAnsi="Times New Roman" w:cs="Times New Roman"/>
          <w:b/>
          <w:bCs/>
          <w:i w:val="0"/>
          <w:iCs w:val="0"/>
          <w:color w:val="000000" w:themeColor="text1"/>
          <w:lang w:val="fr-FR" w:eastAsia="zh-CN"/>
        </w:rPr>
      </w:pPr>
      <w:bookmarkStart w:id="184" w:name="_Toc201260170"/>
      <w:r>
        <w:rPr>
          <w:rFonts w:ascii="Times New Roman" w:hAnsi="Times New Roman" w:cs="Times New Roman"/>
          <w:b/>
          <w:bCs/>
          <w:i w:val="0"/>
          <w:iCs w:val="0"/>
          <w:color w:val="000000" w:themeColor="text1"/>
          <w:lang w:val="fr-FR" w:eastAsia="zh-CN"/>
        </w:rPr>
        <w:t>Renforcement de l’hygiène hospitalière</w:t>
      </w:r>
      <w:bookmarkEnd w:id="184"/>
    </w:p>
    <w:p w14:paraId="2BC010A2" w14:textId="77777777" w:rsidR="00B611D1" w:rsidRDefault="00FB7689">
      <w:pPr>
        <w:spacing w:line="360" w:lineRule="auto"/>
        <w:jc w:val="both"/>
        <w:rPr>
          <w:rFonts w:eastAsia="TimesNewRomanPS-BoldMT"/>
          <w:lang w:val="fr-FR" w:eastAsia="zh-CN"/>
        </w:rPr>
      </w:pPr>
      <w:r>
        <w:rPr>
          <w:rFonts w:eastAsia="TimesNewRomanPS-BoldMT"/>
          <w:lang w:val="fr-FR" w:eastAsia="zh-CN"/>
        </w:rPr>
        <w:t>L’amélioration des pratiques d’hygiène dans les établissements de santé est une méthode essentielle pour prévenir l’antibiorésistance. Cela inclut :</w:t>
      </w:r>
    </w:p>
    <w:p w14:paraId="024ADAD1" w14:textId="77777777" w:rsidR="00B611D1" w:rsidRDefault="00FB7689">
      <w:pPr>
        <w:pStyle w:val="Titre5"/>
        <w:numPr>
          <w:ilvl w:val="4"/>
          <w:numId w:val="1"/>
        </w:numPr>
        <w:spacing w:line="360" w:lineRule="auto"/>
        <w:rPr>
          <w:rFonts w:ascii="Times New Roman" w:hAnsi="Times New Roman" w:hint="default"/>
          <w:b w:val="0"/>
          <w:bCs w:val="0"/>
          <w:sz w:val="24"/>
          <w:szCs w:val="24"/>
          <w:lang w:val="fr-FR"/>
        </w:rPr>
      </w:pPr>
      <w:bookmarkStart w:id="185" w:name="_Toc201260171"/>
      <w:r>
        <w:rPr>
          <w:rFonts w:asciiTheme="majorBidi" w:hAnsiTheme="majorBidi" w:cstheme="majorBidi" w:hint="default"/>
          <w:sz w:val="24"/>
          <w:szCs w:val="24"/>
          <w:lang w:val="fr-FR"/>
        </w:rPr>
        <w:t>Le lavage régulier des mains</w:t>
      </w:r>
      <w:r>
        <w:rPr>
          <w:lang w:val="fr-FR"/>
        </w:rPr>
        <w:t xml:space="preserve"> </w:t>
      </w:r>
      <w:r>
        <w:rPr>
          <w:rFonts w:ascii="Times New Roman" w:hAnsi="Times New Roman" w:hint="default"/>
          <w:b w:val="0"/>
          <w:bCs w:val="0"/>
          <w:sz w:val="24"/>
          <w:szCs w:val="24"/>
          <w:lang w:val="fr-FR"/>
        </w:rPr>
        <w:t>par le personnel de santé, avant et après chaque contact avec un patient</w:t>
      </w:r>
      <w:r>
        <w:rPr>
          <w:rFonts w:ascii="Times New Roman" w:eastAsia="Calibri" w:hAnsi="Times New Roman" w:hint="default"/>
          <w:sz w:val="24"/>
          <w:szCs w:val="24"/>
          <w:lang w:val="fr" w:bidi="ar"/>
        </w:rPr>
        <w:fldChar w:fldCharType="begin"/>
      </w:r>
      <w:r>
        <w:rPr>
          <w:rFonts w:ascii="Times New Roman" w:eastAsia="Calibri" w:hAnsi="Times New Roman" w:hint="default"/>
          <w:sz w:val="24"/>
          <w:szCs w:val="24"/>
          <w:lang w:val="fr" w:bidi="ar"/>
        </w:rPr>
        <w:instrText xml:space="preserve"> ADDIN ZOTERO_ITEM CSL_CITATION {"citationID":"lHTuTO2U","properties":{"formattedCitation":"(Emaleu, 2017)","plainCitation":"(Emaleu, 2017)","noteIndex":0},"citationItems":[{"id":258,"uris":["http://zotero.org/users/16279382/items/H4W276QU"],"itemData":{"id":258,"type":"book","ISBN":"978-2-342-15314-9","language":"fr","note":"Google-Books-ID: bkUmDwAAQBAJ","number-of-pages":"250","publisher":"Editions Publibook","source":"Google Books","title":"Prévention des infections en milieu hospitalier","author":[{"family":"Emaleu","given":"Serge Blaise"}],"issued":{"date-parts":[["2017"]]}}}],"schema":"https://github.com/citation-style-language/schema/raw/master/csl-citation.json"} </w:instrText>
      </w:r>
      <w:r>
        <w:rPr>
          <w:rFonts w:ascii="Times New Roman" w:eastAsia="Calibri" w:hAnsi="Times New Roman" w:hint="default"/>
          <w:sz w:val="24"/>
          <w:szCs w:val="24"/>
          <w:lang w:val="fr" w:bidi="ar"/>
        </w:rPr>
        <w:fldChar w:fldCharType="separate"/>
      </w:r>
      <w:r>
        <w:rPr>
          <w:rFonts w:ascii="Times New Roman" w:eastAsia="Calibri" w:hAnsi="Times New Roman" w:hint="default"/>
          <w:sz w:val="24"/>
          <w:szCs w:val="24"/>
          <w:lang w:val="fr" w:bidi="ar"/>
        </w:rPr>
        <w:t>(Emaleu, 2017)</w:t>
      </w:r>
      <w:r>
        <w:rPr>
          <w:rFonts w:ascii="Times New Roman" w:eastAsia="Calibri" w:hAnsi="Times New Roman" w:hint="default"/>
          <w:sz w:val="24"/>
          <w:szCs w:val="24"/>
          <w:lang w:val="fr" w:bidi="ar"/>
        </w:rPr>
        <w:fldChar w:fldCharType="end"/>
      </w:r>
      <w:r>
        <w:rPr>
          <w:rFonts w:ascii="Times New Roman" w:eastAsia="Calibri" w:hAnsi="Times New Roman" w:hint="default"/>
          <w:b w:val="0"/>
          <w:bCs w:val="0"/>
          <w:sz w:val="24"/>
          <w:szCs w:val="24"/>
          <w:lang w:val="fr" w:bidi="ar"/>
        </w:rPr>
        <w:t>.</w:t>
      </w:r>
      <w:bookmarkEnd w:id="185"/>
    </w:p>
    <w:p w14:paraId="0CB92DBD" w14:textId="77777777" w:rsidR="00B611D1" w:rsidRDefault="00FB7689">
      <w:pPr>
        <w:pStyle w:val="Titre5"/>
        <w:numPr>
          <w:ilvl w:val="4"/>
          <w:numId w:val="1"/>
        </w:numPr>
        <w:spacing w:line="360" w:lineRule="auto"/>
        <w:rPr>
          <w:rFonts w:ascii="Times New Roman" w:hAnsi="Times New Roman" w:hint="default"/>
          <w:b w:val="0"/>
          <w:bCs w:val="0"/>
          <w:sz w:val="24"/>
          <w:szCs w:val="24"/>
          <w:lang w:val="fr-FR"/>
        </w:rPr>
      </w:pPr>
      <w:bookmarkStart w:id="186" w:name="_Toc201260172"/>
      <w:r>
        <w:rPr>
          <w:rFonts w:ascii="Times New Roman" w:hAnsi="Times New Roman" w:hint="default"/>
          <w:sz w:val="24"/>
          <w:szCs w:val="24"/>
          <w:lang w:val="fr-FR"/>
        </w:rPr>
        <w:t>La désinfection</w:t>
      </w:r>
      <w:r>
        <w:rPr>
          <w:lang w:val="fr-FR"/>
        </w:rPr>
        <w:t xml:space="preserve"> </w:t>
      </w:r>
      <w:r>
        <w:rPr>
          <w:rFonts w:ascii="Times New Roman" w:hAnsi="Times New Roman" w:hint="default"/>
          <w:b w:val="0"/>
          <w:bCs w:val="0"/>
          <w:sz w:val="24"/>
          <w:szCs w:val="24"/>
          <w:lang w:val="fr-FR"/>
        </w:rPr>
        <w:t xml:space="preserve">fréquente des surfaces et du matériel médical, surtout dans les services sensibles comme la réanimation </w:t>
      </w:r>
      <w:r>
        <w:rPr>
          <w:rFonts w:ascii="Times New Roman" w:eastAsia="Calibri" w:hAnsi="Times New Roman" w:hint="default"/>
          <w:sz w:val="24"/>
          <w:szCs w:val="24"/>
          <w:lang w:val="fr" w:bidi="ar"/>
        </w:rPr>
        <w:fldChar w:fldCharType="begin"/>
      </w:r>
      <w:r>
        <w:rPr>
          <w:rFonts w:ascii="Times New Roman" w:eastAsia="Calibri" w:hAnsi="Times New Roman" w:hint="default"/>
          <w:sz w:val="24"/>
          <w:szCs w:val="24"/>
          <w:lang w:val="fr" w:bidi="ar"/>
        </w:rPr>
        <w:instrText xml:space="preserve"> ADDIN ZOTERO_ITEM CSL_CITATION {"citationID":"lHTuTO2U","properties":{"formattedCitation":"(Emaleu, 2017)","plainCitation":"(Emaleu, 2017)","noteIndex":0},"citationItems":[{"id":258,"uris":["http://zotero.org/users/16279382/items/H4W276QU"],"itemData":{"id":258,"type":"book","ISBN":"978-2-342-15314-9","language":"fr","note":"Google-Books-ID: bkUmDwAAQBAJ","number-of-pages":"250","publisher":"Editions Publibook","source":"Google Books","title":"Prévention des infections en milieu hospitalier","author":[{"family":"Emaleu","given":"Serge Blaise"}],"issued":{"date-parts":[["2017"]]}}}],"schema":"https://github.com/citation-style-language/schema/raw/master/csl-citation.json"} </w:instrText>
      </w:r>
      <w:r>
        <w:rPr>
          <w:rFonts w:ascii="Times New Roman" w:eastAsia="Calibri" w:hAnsi="Times New Roman" w:hint="default"/>
          <w:sz w:val="24"/>
          <w:szCs w:val="24"/>
          <w:lang w:val="fr" w:bidi="ar"/>
        </w:rPr>
        <w:fldChar w:fldCharType="separate"/>
      </w:r>
      <w:r>
        <w:rPr>
          <w:rFonts w:ascii="Times New Roman" w:eastAsia="Calibri" w:hAnsi="Times New Roman" w:hint="default"/>
          <w:sz w:val="24"/>
          <w:szCs w:val="24"/>
          <w:lang w:val="fr" w:bidi="ar"/>
        </w:rPr>
        <w:t>(Emaleu, 2017)</w:t>
      </w:r>
      <w:r>
        <w:rPr>
          <w:rFonts w:ascii="Times New Roman" w:eastAsia="Calibri" w:hAnsi="Times New Roman" w:hint="default"/>
          <w:sz w:val="24"/>
          <w:szCs w:val="24"/>
          <w:lang w:val="fr" w:bidi="ar"/>
        </w:rPr>
        <w:fldChar w:fldCharType="end"/>
      </w:r>
      <w:r>
        <w:rPr>
          <w:rFonts w:ascii="Times New Roman" w:eastAsia="Calibri" w:hAnsi="Times New Roman" w:hint="default"/>
          <w:b w:val="0"/>
          <w:bCs w:val="0"/>
          <w:sz w:val="24"/>
          <w:szCs w:val="24"/>
          <w:lang w:val="fr-FR" w:bidi="ar"/>
        </w:rPr>
        <w:t>.</w:t>
      </w:r>
      <w:bookmarkEnd w:id="186"/>
    </w:p>
    <w:p w14:paraId="371C6CC7" w14:textId="77777777" w:rsidR="00B611D1" w:rsidRDefault="00FB7689">
      <w:pPr>
        <w:pStyle w:val="Titre5"/>
        <w:numPr>
          <w:ilvl w:val="4"/>
          <w:numId w:val="1"/>
        </w:numPr>
        <w:spacing w:line="360" w:lineRule="auto"/>
        <w:rPr>
          <w:rFonts w:ascii="Times New Roman" w:hAnsi="Times New Roman" w:hint="default"/>
          <w:b w:val="0"/>
          <w:bCs w:val="0"/>
          <w:sz w:val="24"/>
          <w:szCs w:val="24"/>
          <w:lang w:val="fr-FR"/>
        </w:rPr>
      </w:pPr>
      <w:bookmarkStart w:id="187" w:name="_Toc201260173"/>
      <w:r>
        <w:rPr>
          <w:rFonts w:ascii="Times New Roman" w:hAnsi="Times New Roman" w:hint="default"/>
          <w:sz w:val="24"/>
          <w:szCs w:val="24"/>
          <w:lang w:val="fr-FR"/>
        </w:rPr>
        <w:t>L’isolement des patients infectés</w:t>
      </w:r>
      <w:r>
        <w:rPr>
          <w:lang w:val="fr-FR"/>
        </w:rPr>
        <w:t xml:space="preserve"> </w:t>
      </w:r>
      <w:r>
        <w:rPr>
          <w:rFonts w:ascii="Times New Roman" w:hAnsi="Times New Roman" w:hint="default"/>
          <w:b w:val="0"/>
          <w:bCs w:val="0"/>
          <w:sz w:val="24"/>
          <w:szCs w:val="24"/>
          <w:lang w:val="fr-FR" w:bidi="ar"/>
        </w:rPr>
        <w:t>pour les patients porteurs d'infections résistantes</w:t>
      </w:r>
      <w:r>
        <w:rPr>
          <w:rFonts w:ascii="Times New Roman" w:hAnsi="Times New Roman" w:hint="default"/>
          <w:b w:val="0"/>
          <w:bCs w:val="0"/>
          <w:sz w:val="24"/>
          <w:szCs w:val="24"/>
          <w:lang w:val="fr-FR"/>
        </w:rPr>
        <w:t xml:space="preserve">, afin de éviter la transmission des bactéries </w:t>
      </w:r>
      <w:r>
        <w:rPr>
          <w:rFonts w:ascii="Times New Roman" w:eastAsia="Calibri" w:hAnsi="Times New Roman" w:hint="default"/>
          <w:sz w:val="24"/>
          <w:szCs w:val="24"/>
          <w:lang w:val="fr" w:bidi="ar"/>
        </w:rPr>
        <w:fldChar w:fldCharType="begin"/>
      </w:r>
      <w:r>
        <w:rPr>
          <w:rFonts w:ascii="Times New Roman" w:eastAsia="Calibri" w:hAnsi="Times New Roman" w:hint="default"/>
          <w:sz w:val="24"/>
          <w:szCs w:val="24"/>
          <w:lang w:val="fr" w:bidi="ar"/>
        </w:rPr>
        <w:instrText xml:space="preserve"> ADDIN ZOTERO_ITEM CSL_CITATION {"citationID":"N2Dfc7sQ","properties":{"formattedCitation":"(Harpet, 2022)","plainCitation":"(Harpet, 2022)","noteIndex":0},"citationItems":[{"id":169,"uris":["http://zotero.org/users/16279382/items/UIVUKQSW"],"itemData":{"id":169,"type":"article-journal","abstract":"Purchase online the PDF of L'antibiorésistance, Harpet, Claire - Éditions Quae - E-book","language":"ar","note":"publisher: Éditions Quae","page":"168-1","source":"www.torrossa.com","title":"L'antibiorésistance : Un fait social total","title-short":"L'antibiorésistance","author":[{"family":"Harpet","given":"Claire"}],"issued":{"date-parts":[["2022"]]}}}],"schema":"https://github.com/citation-style-language/schema/raw/master/csl-citation.json"} </w:instrText>
      </w:r>
      <w:r>
        <w:rPr>
          <w:rFonts w:ascii="Times New Roman" w:eastAsia="Calibri" w:hAnsi="Times New Roman" w:hint="default"/>
          <w:sz w:val="24"/>
          <w:szCs w:val="24"/>
          <w:lang w:val="fr" w:bidi="ar"/>
        </w:rPr>
        <w:fldChar w:fldCharType="separate"/>
      </w:r>
      <w:r>
        <w:rPr>
          <w:rFonts w:ascii="Times New Roman" w:eastAsia="Calibri" w:hAnsi="Times New Roman" w:hint="default"/>
          <w:sz w:val="24"/>
          <w:szCs w:val="24"/>
          <w:lang w:val="fr" w:bidi="ar"/>
        </w:rPr>
        <w:t>(Harpet, 2022)</w:t>
      </w:r>
      <w:r>
        <w:rPr>
          <w:rFonts w:ascii="Times New Roman" w:eastAsia="Calibri" w:hAnsi="Times New Roman" w:hint="default"/>
          <w:sz w:val="24"/>
          <w:szCs w:val="24"/>
          <w:lang w:val="fr" w:bidi="ar"/>
        </w:rPr>
        <w:fldChar w:fldCharType="end"/>
      </w:r>
      <w:r>
        <w:rPr>
          <w:rFonts w:ascii="Times New Roman" w:eastAsia="Calibri" w:hAnsi="Times New Roman" w:hint="default"/>
          <w:sz w:val="24"/>
          <w:szCs w:val="24"/>
          <w:lang w:val="fr-FR" w:bidi="ar"/>
        </w:rPr>
        <w:t>.</w:t>
      </w:r>
      <w:bookmarkEnd w:id="187"/>
    </w:p>
    <w:p w14:paraId="5885D2D8" w14:textId="77777777" w:rsidR="00B611D1" w:rsidRDefault="00B611D1">
      <w:pPr>
        <w:spacing w:line="360" w:lineRule="auto"/>
        <w:jc w:val="both"/>
        <w:rPr>
          <w:rFonts w:eastAsia="SimSun"/>
          <w:lang w:val="fr-FR" w:eastAsia="zh-CN"/>
        </w:rPr>
      </w:pPr>
    </w:p>
    <w:p w14:paraId="20F67ABE" w14:textId="77777777" w:rsidR="00B611D1" w:rsidRDefault="00B611D1">
      <w:pPr>
        <w:jc w:val="both"/>
        <w:rPr>
          <w:rFonts w:eastAsia="Calibri"/>
          <w:b/>
          <w:bCs/>
          <w:lang w:val="fr-FR" w:eastAsia="zh-CN"/>
        </w:rPr>
      </w:pPr>
    </w:p>
    <w:p w14:paraId="2ACF8F6F" w14:textId="77777777" w:rsidR="00B611D1" w:rsidRDefault="00B611D1">
      <w:pPr>
        <w:spacing w:line="360" w:lineRule="auto"/>
        <w:jc w:val="both"/>
        <w:rPr>
          <w:rFonts w:eastAsia="Calibri"/>
          <w:lang w:val="fr-FR" w:eastAsia="zh-CN"/>
        </w:rPr>
      </w:pPr>
    </w:p>
    <w:p w14:paraId="77BE68F1" w14:textId="77777777" w:rsidR="00B611D1" w:rsidRDefault="00B611D1">
      <w:pPr>
        <w:spacing w:after="200" w:line="360" w:lineRule="auto"/>
        <w:jc w:val="both"/>
        <w:rPr>
          <w:rFonts w:eastAsia="Calibri"/>
          <w:b/>
          <w:bCs/>
          <w:kern w:val="2"/>
          <w:lang w:val="fr-FR" w:eastAsia="zh-CN" w:bidi="ar"/>
        </w:rPr>
      </w:pPr>
    </w:p>
    <w:p w14:paraId="5ECCDAAA" w14:textId="77777777" w:rsidR="00B611D1" w:rsidRDefault="00B611D1">
      <w:pPr>
        <w:spacing w:line="360" w:lineRule="auto"/>
        <w:jc w:val="both"/>
        <w:rPr>
          <w:rFonts w:eastAsia="TimesNewRomanPS-BoldMT"/>
          <w:lang w:val="fr-FR" w:eastAsia="zh-CN" w:bidi="ar"/>
        </w:rPr>
      </w:pPr>
    </w:p>
    <w:p w14:paraId="73ED81FF" w14:textId="77777777" w:rsidR="00B611D1" w:rsidRDefault="00B611D1">
      <w:pPr>
        <w:spacing w:line="360" w:lineRule="auto"/>
        <w:rPr>
          <w:rFonts w:eastAsia="Calibri"/>
          <w:color w:val="000000"/>
          <w:lang w:val="fr-FR" w:eastAsia="zh-CN"/>
        </w:rPr>
      </w:pPr>
    </w:p>
    <w:p w14:paraId="79A11675" w14:textId="77777777" w:rsidR="00B611D1" w:rsidRDefault="00B611D1">
      <w:pPr>
        <w:spacing w:line="360" w:lineRule="auto"/>
        <w:rPr>
          <w:rFonts w:eastAsia="Calibri"/>
          <w:color w:val="000000"/>
          <w:lang w:val="fr-FR" w:eastAsia="zh-CN"/>
        </w:rPr>
      </w:pPr>
    </w:p>
    <w:p w14:paraId="33E78C67" w14:textId="77777777" w:rsidR="00B611D1" w:rsidRDefault="00B611D1">
      <w:pPr>
        <w:spacing w:line="360" w:lineRule="auto"/>
        <w:rPr>
          <w:rFonts w:eastAsia="Calibri"/>
          <w:color w:val="000000"/>
          <w:lang w:val="fr" w:bidi="ar"/>
        </w:rPr>
      </w:pPr>
    </w:p>
    <w:p w14:paraId="550215AC" w14:textId="77777777" w:rsidR="00B611D1" w:rsidRDefault="00B611D1">
      <w:pPr>
        <w:spacing w:line="360" w:lineRule="auto"/>
        <w:rPr>
          <w:rFonts w:eastAsia="Calibri"/>
          <w:b/>
          <w:bCs/>
          <w:color w:val="000000"/>
          <w:lang w:val="fr-FR" w:bidi="ar"/>
        </w:rPr>
      </w:pPr>
    </w:p>
    <w:p w14:paraId="4C06418C" w14:textId="77777777" w:rsidR="00B611D1" w:rsidRDefault="00B611D1">
      <w:pPr>
        <w:spacing w:line="360" w:lineRule="auto"/>
        <w:jc w:val="both"/>
        <w:rPr>
          <w:rFonts w:eastAsia="Calibri"/>
          <w:b/>
          <w:bCs/>
          <w:color w:val="000000"/>
          <w:lang w:val="fr-FR"/>
        </w:rPr>
      </w:pPr>
    </w:p>
    <w:p w14:paraId="270D7E70" w14:textId="77777777" w:rsidR="00B611D1" w:rsidRDefault="00B611D1">
      <w:pPr>
        <w:spacing w:line="360" w:lineRule="auto"/>
        <w:jc w:val="both"/>
        <w:rPr>
          <w:rFonts w:eastAsia="Calibri"/>
          <w:b/>
          <w:bCs/>
          <w:color w:val="000000"/>
          <w:lang w:val="fr-FR" w:eastAsia="zh-CN" w:bidi="ar"/>
        </w:rPr>
      </w:pPr>
    </w:p>
    <w:p w14:paraId="4BB85BB7" w14:textId="77777777" w:rsidR="00B611D1" w:rsidRDefault="00B611D1">
      <w:pPr>
        <w:spacing w:line="360" w:lineRule="auto"/>
        <w:jc w:val="both"/>
        <w:rPr>
          <w:rFonts w:eastAsia="TimesNewRomanPS-BoldMT"/>
          <w:color w:val="000000"/>
          <w:lang w:val="fr-FR" w:eastAsia="zh-CN" w:bidi="ar"/>
        </w:rPr>
      </w:pPr>
    </w:p>
    <w:p w14:paraId="7AA34AD4" w14:textId="77777777" w:rsidR="00B611D1" w:rsidRDefault="00B611D1">
      <w:pPr>
        <w:spacing w:after="200" w:line="360" w:lineRule="auto"/>
        <w:jc w:val="both"/>
        <w:rPr>
          <w:lang w:val="fr-FR"/>
        </w:rPr>
      </w:pPr>
    </w:p>
    <w:p w14:paraId="657A8E91" w14:textId="77777777" w:rsidR="00B611D1" w:rsidRDefault="00B611D1">
      <w:pPr>
        <w:spacing w:after="200" w:line="360" w:lineRule="auto"/>
        <w:jc w:val="both"/>
        <w:rPr>
          <w:lang w:val="fr-FR"/>
        </w:rPr>
        <w:sectPr w:rsidR="00B611D1">
          <w:pgSz w:w="11910" w:h="16840"/>
          <w:pgMar w:top="1320" w:right="1180" w:bottom="1220" w:left="1100" w:header="713" w:footer="1025" w:gutter="0"/>
          <w:cols w:space="720"/>
        </w:sectPr>
      </w:pPr>
    </w:p>
    <w:p w14:paraId="29BC2BB7" w14:textId="77777777" w:rsidR="00B611D1" w:rsidRDefault="00B611D1">
      <w:pPr>
        <w:pStyle w:val="Titre2"/>
        <w:ind w:left="0"/>
        <w:rPr>
          <w:lang w:val="fr-FR"/>
        </w:rPr>
      </w:pPr>
      <w:bookmarkStart w:id="188" w:name="_bookmark45"/>
      <w:bookmarkEnd w:id="188"/>
    </w:p>
    <w:p w14:paraId="32E5D98F" w14:textId="77777777" w:rsidR="00B611D1" w:rsidRDefault="00B611D1">
      <w:pPr>
        <w:pStyle w:val="Titre2"/>
        <w:ind w:left="0"/>
        <w:rPr>
          <w:lang w:val="fr-FR"/>
        </w:rPr>
      </w:pPr>
    </w:p>
    <w:p w14:paraId="36D800C4" w14:textId="77777777" w:rsidR="00B611D1" w:rsidRDefault="00B611D1">
      <w:pPr>
        <w:pStyle w:val="Titre2"/>
        <w:ind w:left="0"/>
        <w:rPr>
          <w:lang w:val="fr-FR"/>
        </w:rPr>
      </w:pPr>
    </w:p>
    <w:p w14:paraId="17A2336D" w14:textId="77777777" w:rsidR="00B611D1" w:rsidRDefault="00B611D1">
      <w:pPr>
        <w:pStyle w:val="Titre2"/>
        <w:ind w:left="0"/>
        <w:rPr>
          <w:lang w:val="fr-FR"/>
        </w:rPr>
      </w:pPr>
    </w:p>
    <w:p w14:paraId="449B965E" w14:textId="77777777" w:rsidR="00B611D1" w:rsidRDefault="00B611D1">
      <w:pPr>
        <w:pStyle w:val="Titre2"/>
        <w:ind w:left="0"/>
        <w:rPr>
          <w:lang w:val="fr-FR"/>
        </w:rPr>
      </w:pPr>
    </w:p>
    <w:p w14:paraId="1FE46FB7" w14:textId="77777777" w:rsidR="00B611D1" w:rsidRDefault="00B611D1">
      <w:pPr>
        <w:pStyle w:val="Titre2"/>
        <w:ind w:left="0"/>
        <w:rPr>
          <w:lang w:val="fr-FR"/>
        </w:rPr>
      </w:pPr>
    </w:p>
    <w:p w14:paraId="199E719C" w14:textId="77777777" w:rsidR="00B611D1" w:rsidRDefault="00B611D1">
      <w:pPr>
        <w:pStyle w:val="Titre2"/>
        <w:ind w:left="0"/>
        <w:rPr>
          <w:lang w:val="fr-FR"/>
        </w:rPr>
      </w:pPr>
    </w:p>
    <w:p w14:paraId="6E793500" w14:textId="77777777" w:rsidR="00B611D1" w:rsidRDefault="00B611D1">
      <w:pPr>
        <w:pStyle w:val="Titre2"/>
        <w:ind w:left="0"/>
        <w:rPr>
          <w:lang w:val="fr-FR"/>
        </w:rPr>
      </w:pPr>
    </w:p>
    <w:p w14:paraId="3AF33E35" w14:textId="77777777" w:rsidR="00B611D1" w:rsidRDefault="00B611D1">
      <w:pPr>
        <w:spacing w:line="360" w:lineRule="auto"/>
        <w:jc w:val="center"/>
        <w:rPr>
          <w:rFonts w:eastAsia="Calibri"/>
          <w:b/>
          <w:bCs/>
          <w:sz w:val="56"/>
          <w:szCs w:val="56"/>
          <w:lang w:val="fr-FR" w:eastAsia="zh-CN"/>
          <w14:shadow w14:blurRad="50800" w14:dist="38100" w14:dir="2700000" w14:sx="100000" w14:sy="100000" w14:kx="0" w14:ky="0" w14:algn="tl">
            <w14:srgbClr w14:val="000000">
              <w14:alpha w14:val="60000"/>
            </w14:srgbClr>
          </w14:shadow>
        </w:rPr>
      </w:pPr>
    </w:p>
    <w:p w14:paraId="20A63ED0" w14:textId="77777777" w:rsidR="00B611D1" w:rsidRDefault="00B611D1">
      <w:pPr>
        <w:spacing w:line="360" w:lineRule="auto"/>
        <w:jc w:val="center"/>
        <w:rPr>
          <w:rFonts w:eastAsia="Calibri"/>
          <w:b/>
          <w:bCs/>
          <w:sz w:val="56"/>
          <w:szCs w:val="56"/>
          <w:lang w:val="fr-FR" w:eastAsia="zh-CN"/>
          <w14:shadow w14:blurRad="50800" w14:dist="38100" w14:dir="2700000" w14:sx="100000" w14:sy="100000" w14:kx="0" w14:ky="0" w14:algn="tl">
            <w14:srgbClr w14:val="000000">
              <w14:alpha w14:val="60000"/>
            </w14:srgbClr>
          </w14:shadow>
        </w:rPr>
      </w:pPr>
    </w:p>
    <w:p w14:paraId="24C476F3" w14:textId="77777777" w:rsidR="00B611D1" w:rsidRDefault="00FB7689">
      <w:pPr>
        <w:spacing w:line="360" w:lineRule="auto"/>
        <w:jc w:val="center"/>
        <w:rPr>
          <w:rFonts w:eastAsia="Calibri"/>
          <w:b/>
          <w:bCs/>
          <w:sz w:val="56"/>
          <w:szCs w:val="56"/>
          <w:lang w:val="fr-FR" w:eastAsia="zh-CN"/>
          <w14:shadow w14:blurRad="50800" w14:dist="38100" w14:dir="2700000" w14:sx="100000" w14:sy="100000" w14:kx="0" w14:ky="0" w14:algn="tl">
            <w14:srgbClr w14:val="000000">
              <w14:alpha w14:val="60000"/>
            </w14:srgbClr>
          </w14:shadow>
        </w:rPr>
      </w:pPr>
      <w:r>
        <w:rPr>
          <w:rFonts w:eastAsia="Calibri"/>
          <w:b/>
          <w:bCs/>
          <w:sz w:val="56"/>
          <w:szCs w:val="56"/>
          <w:lang w:val="fr-FR" w:eastAsia="zh-CN"/>
          <w14:shadow w14:blurRad="50800" w14:dist="38100" w14:dir="2700000" w14:sx="100000" w14:sy="100000" w14:kx="0" w14:ky="0" w14:algn="tl">
            <w14:srgbClr w14:val="000000">
              <w14:alpha w14:val="60000"/>
            </w14:srgbClr>
          </w14:shadow>
        </w:rPr>
        <w:t>Étude expérimentale</w:t>
      </w:r>
    </w:p>
    <w:p w14:paraId="20140366" w14:textId="77777777" w:rsidR="00B611D1" w:rsidRDefault="00B611D1">
      <w:pPr>
        <w:pStyle w:val="Titre2"/>
        <w:ind w:left="0"/>
        <w:rPr>
          <w:lang w:val="fr-FR"/>
        </w:rPr>
      </w:pPr>
    </w:p>
    <w:p w14:paraId="3AD31F98" w14:textId="77777777" w:rsidR="00B611D1" w:rsidRDefault="00B611D1">
      <w:pPr>
        <w:pStyle w:val="Titre2"/>
        <w:ind w:left="0"/>
        <w:rPr>
          <w:lang w:val="fr-FR"/>
        </w:rPr>
      </w:pPr>
    </w:p>
    <w:p w14:paraId="506FE542" w14:textId="77777777" w:rsidR="00B611D1" w:rsidRDefault="00B611D1">
      <w:pPr>
        <w:pStyle w:val="Titre2"/>
        <w:ind w:left="0"/>
        <w:rPr>
          <w:lang w:val="fr-FR"/>
        </w:rPr>
      </w:pPr>
    </w:p>
    <w:p w14:paraId="6FBAE30D" w14:textId="77777777" w:rsidR="00B611D1" w:rsidRDefault="00B611D1">
      <w:pPr>
        <w:pStyle w:val="Titre2"/>
        <w:ind w:left="0"/>
        <w:rPr>
          <w:lang w:val="fr-FR"/>
        </w:rPr>
      </w:pPr>
    </w:p>
    <w:p w14:paraId="6FA54DE6" w14:textId="77777777" w:rsidR="00B611D1" w:rsidRDefault="00B611D1">
      <w:pPr>
        <w:pStyle w:val="Titre2"/>
        <w:ind w:left="0"/>
        <w:rPr>
          <w:lang w:val="fr-FR"/>
        </w:rPr>
      </w:pPr>
    </w:p>
    <w:p w14:paraId="33AA6B37" w14:textId="77777777" w:rsidR="00B611D1" w:rsidRDefault="00B611D1">
      <w:pPr>
        <w:pStyle w:val="Titre2"/>
        <w:ind w:left="0"/>
        <w:rPr>
          <w:lang w:val="fr-FR"/>
        </w:rPr>
      </w:pPr>
    </w:p>
    <w:p w14:paraId="2BDFDDCC" w14:textId="77777777" w:rsidR="00B611D1" w:rsidRDefault="00B611D1">
      <w:pPr>
        <w:pStyle w:val="Titre2"/>
        <w:ind w:left="0"/>
        <w:rPr>
          <w:lang w:val="fr-FR"/>
        </w:rPr>
      </w:pPr>
    </w:p>
    <w:p w14:paraId="464C9328" w14:textId="77777777" w:rsidR="00B611D1" w:rsidRDefault="00B611D1">
      <w:pPr>
        <w:pStyle w:val="Titre2"/>
        <w:ind w:left="0"/>
        <w:rPr>
          <w:lang w:val="fr-FR"/>
        </w:rPr>
      </w:pPr>
    </w:p>
    <w:p w14:paraId="02B63A47" w14:textId="77777777" w:rsidR="00B611D1" w:rsidRDefault="00B611D1">
      <w:pPr>
        <w:pStyle w:val="Titre2"/>
        <w:ind w:left="0"/>
        <w:rPr>
          <w:lang w:val="fr-FR"/>
        </w:rPr>
      </w:pPr>
    </w:p>
    <w:p w14:paraId="23E679FB" w14:textId="77777777" w:rsidR="00B611D1" w:rsidRDefault="00B611D1">
      <w:pPr>
        <w:pStyle w:val="Titre2"/>
        <w:ind w:left="0"/>
        <w:rPr>
          <w:lang w:val="fr-FR"/>
        </w:rPr>
      </w:pPr>
    </w:p>
    <w:p w14:paraId="5BE250E6" w14:textId="77777777" w:rsidR="00B611D1" w:rsidRDefault="00B611D1">
      <w:pPr>
        <w:pStyle w:val="Titre2"/>
        <w:ind w:left="0"/>
        <w:rPr>
          <w:lang w:val="fr-FR"/>
        </w:rPr>
      </w:pPr>
    </w:p>
    <w:p w14:paraId="144679AC" w14:textId="77777777" w:rsidR="00B611D1" w:rsidRDefault="00B611D1">
      <w:pPr>
        <w:pStyle w:val="Titre2"/>
        <w:ind w:left="0"/>
        <w:rPr>
          <w:lang w:val="fr-FR"/>
        </w:rPr>
      </w:pPr>
    </w:p>
    <w:p w14:paraId="6EB68776" w14:textId="77777777" w:rsidR="00B611D1" w:rsidRDefault="00B611D1">
      <w:pPr>
        <w:pStyle w:val="Titre2"/>
        <w:ind w:left="0"/>
        <w:rPr>
          <w:lang w:val="fr-FR"/>
        </w:rPr>
      </w:pPr>
    </w:p>
    <w:p w14:paraId="6B779ABF" w14:textId="77777777" w:rsidR="00B611D1" w:rsidRDefault="00B611D1">
      <w:pPr>
        <w:pStyle w:val="Titre2"/>
        <w:ind w:left="0"/>
        <w:rPr>
          <w:lang w:val="fr-FR"/>
        </w:rPr>
      </w:pPr>
    </w:p>
    <w:p w14:paraId="66788C58" w14:textId="77777777" w:rsidR="00B611D1" w:rsidRDefault="00B611D1">
      <w:pPr>
        <w:pStyle w:val="Titre2"/>
        <w:ind w:left="0"/>
        <w:rPr>
          <w:lang w:val="fr-FR"/>
        </w:rPr>
      </w:pPr>
    </w:p>
    <w:p w14:paraId="39ACE8A8" w14:textId="77777777" w:rsidR="00B611D1" w:rsidRDefault="00B611D1">
      <w:pPr>
        <w:pStyle w:val="Titre2"/>
        <w:ind w:left="0"/>
        <w:rPr>
          <w:lang w:val="fr-FR"/>
        </w:rPr>
      </w:pPr>
    </w:p>
    <w:p w14:paraId="396642F5" w14:textId="77777777" w:rsidR="00B611D1" w:rsidRDefault="00B611D1">
      <w:pPr>
        <w:pStyle w:val="Titre2"/>
        <w:ind w:left="0"/>
        <w:rPr>
          <w:lang w:val="fr-FR"/>
        </w:rPr>
      </w:pPr>
    </w:p>
    <w:p w14:paraId="23238740" w14:textId="77777777" w:rsidR="00B611D1" w:rsidRDefault="00B611D1">
      <w:pPr>
        <w:pStyle w:val="Titre2"/>
        <w:ind w:left="0"/>
        <w:rPr>
          <w:lang w:val="fr-FR"/>
        </w:rPr>
      </w:pPr>
    </w:p>
    <w:p w14:paraId="2508585A" w14:textId="77777777" w:rsidR="00B611D1" w:rsidRDefault="00B611D1">
      <w:pPr>
        <w:pStyle w:val="Titre2"/>
        <w:ind w:left="0"/>
        <w:rPr>
          <w:lang w:val="fr-FR"/>
        </w:rPr>
      </w:pPr>
    </w:p>
    <w:p w14:paraId="4C322DB7" w14:textId="77777777" w:rsidR="00B611D1" w:rsidRDefault="00B611D1">
      <w:pPr>
        <w:pStyle w:val="Titre2"/>
        <w:ind w:left="0"/>
        <w:rPr>
          <w:lang w:val="fr-FR"/>
        </w:rPr>
      </w:pPr>
    </w:p>
    <w:p w14:paraId="3C10A816" w14:textId="77777777" w:rsidR="00B611D1" w:rsidRDefault="00FB7689">
      <w:pPr>
        <w:pStyle w:val="Titre1"/>
        <w:spacing w:line="360" w:lineRule="auto"/>
        <w:ind w:left="0"/>
        <w:rPr>
          <w:lang w:val="fr-FR"/>
        </w:rPr>
      </w:pPr>
      <w:bookmarkStart w:id="189" w:name="_Toc201260178"/>
      <w:r>
        <w:rPr>
          <w:lang w:val="fr-FR"/>
        </w:rPr>
        <w:t xml:space="preserve"> Partie</w:t>
      </w:r>
      <w:r>
        <w:rPr>
          <w:spacing w:val="-4"/>
          <w:lang w:val="fr-FR"/>
        </w:rPr>
        <w:t xml:space="preserve"> </w:t>
      </w:r>
      <w:r>
        <w:rPr>
          <w:lang w:val="fr-FR"/>
        </w:rPr>
        <w:t>2. Étude</w:t>
      </w:r>
      <w:r>
        <w:rPr>
          <w:spacing w:val="-1"/>
          <w:lang w:val="fr-FR"/>
        </w:rPr>
        <w:t xml:space="preserve"> </w:t>
      </w:r>
      <w:r>
        <w:rPr>
          <w:lang w:val="fr-FR"/>
        </w:rPr>
        <w:t>expérimentale</w:t>
      </w:r>
      <w:bookmarkEnd w:id="189"/>
    </w:p>
    <w:p w14:paraId="660D2F54" w14:textId="77777777" w:rsidR="00B611D1" w:rsidRDefault="00FB7689">
      <w:pPr>
        <w:pStyle w:val="Titre2"/>
        <w:spacing w:line="360" w:lineRule="auto"/>
        <w:rPr>
          <w:lang w:val="fr-FR"/>
        </w:rPr>
      </w:pPr>
      <w:bookmarkStart w:id="190" w:name="_Toc201260179"/>
      <w:r>
        <w:rPr>
          <w:lang w:val="fr-FR"/>
        </w:rPr>
        <w:t>2.1. Matériels et méthode</w:t>
      </w:r>
      <w:bookmarkEnd w:id="190"/>
    </w:p>
    <w:p w14:paraId="22DD9377" w14:textId="77777777" w:rsidR="00B611D1" w:rsidRDefault="00FB7689">
      <w:pPr>
        <w:spacing w:line="360" w:lineRule="auto"/>
        <w:jc w:val="both"/>
        <w:rPr>
          <w:b/>
          <w:bCs/>
          <w:lang w:val="fr-FR"/>
        </w:rPr>
      </w:pPr>
      <w:r>
        <w:rPr>
          <w:lang w:val="fr-FR"/>
        </w:rPr>
        <w:t>Dans le cadre de cette étude, des analyses microbiologiques ont été menées aux urgences de l’hôpital Les Sœurs Bedj, situé dans la wilaya de Chlef, pour identifier les principales bactéries pathogènes présentes sur les surfaces hospitalières. Cette démarche s’inscrit dans une double perspective :</w:t>
      </w:r>
    </w:p>
    <w:p w14:paraId="296F0FED" w14:textId="77777777" w:rsidR="00B611D1" w:rsidRDefault="00FB7689">
      <w:pPr>
        <w:spacing w:line="360" w:lineRule="auto"/>
        <w:jc w:val="both"/>
        <w:rPr>
          <w:b/>
          <w:bCs/>
          <w:lang w:val="fr-FR"/>
        </w:rPr>
      </w:pPr>
      <w:r>
        <w:rPr>
          <w:lang w:val="fr-FR"/>
        </w:rPr>
        <w:t>1. Isoler, purifier et identifier biochimiquement les souches bactériennes présentes sur différentes surfaces fréquemment exposées aux contacts humains et aux dispositifs médicaux.</w:t>
      </w:r>
    </w:p>
    <w:p w14:paraId="24C2CCD1" w14:textId="77777777" w:rsidR="00B611D1" w:rsidRDefault="00FB7689">
      <w:pPr>
        <w:spacing w:line="360" w:lineRule="auto"/>
        <w:jc w:val="both"/>
        <w:rPr>
          <w:b/>
          <w:bCs/>
          <w:lang w:val="fr-FR"/>
        </w:rPr>
      </w:pPr>
      <w:r>
        <w:rPr>
          <w:lang w:val="fr-FR"/>
        </w:rPr>
        <w:t>2. Évaluer la sensibilité de ces isolats aux antibiotiques couramment utilisés, dans le but d’établir leur profil de résistance et d’identifier d’éventuelles souches multirésistantes.</w:t>
      </w:r>
    </w:p>
    <w:p w14:paraId="60383FF8" w14:textId="77777777" w:rsidR="00B611D1" w:rsidRDefault="00FB7689">
      <w:pPr>
        <w:spacing w:line="360" w:lineRule="auto"/>
        <w:jc w:val="both"/>
        <w:rPr>
          <w:b/>
          <w:bCs/>
          <w:lang w:val="fr-FR" w:eastAsia="zh-CN"/>
        </w:rPr>
      </w:pPr>
      <w:r>
        <w:rPr>
          <w:lang w:val="fr-FR"/>
        </w:rPr>
        <w:t>L’ensemble des analyses bactériologiques a été réalisé entre février et Avril 2025, au niveau du Laboratoire d'analyses médicales Zibouche, situé dans la wilaya d’Aïn Defla.</w:t>
      </w:r>
    </w:p>
    <w:p w14:paraId="68FB0953" w14:textId="77777777" w:rsidR="00B611D1" w:rsidRDefault="00B611D1">
      <w:pPr>
        <w:pStyle w:val="Paragraphedeliste"/>
        <w:numPr>
          <w:ilvl w:val="0"/>
          <w:numId w:val="11"/>
        </w:numPr>
        <w:spacing w:line="360" w:lineRule="auto"/>
        <w:jc w:val="both"/>
        <w:outlineLvl w:val="2"/>
        <w:rPr>
          <w:b/>
          <w:bCs/>
          <w:vanish/>
          <w:lang w:val="fr-FR"/>
        </w:rPr>
      </w:pPr>
      <w:bookmarkStart w:id="191" w:name="_Toc201260180"/>
      <w:bookmarkEnd w:id="191"/>
    </w:p>
    <w:p w14:paraId="01A19524" w14:textId="77777777" w:rsidR="00B611D1" w:rsidRDefault="00B611D1">
      <w:pPr>
        <w:pStyle w:val="Paragraphedeliste"/>
        <w:numPr>
          <w:ilvl w:val="1"/>
          <w:numId w:val="11"/>
        </w:numPr>
        <w:spacing w:line="360" w:lineRule="auto"/>
        <w:jc w:val="both"/>
        <w:outlineLvl w:val="2"/>
        <w:rPr>
          <w:b/>
          <w:bCs/>
          <w:vanish/>
          <w:lang w:val="fr-FR"/>
        </w:rPr>
      </w:pPr>
      <w:bookmarkStart w:id="192" w:name="_Toc201260181"/>
      <w:bookmarkEnd w:id="192"/>
    </w:p>
    <w:p w14:paraId="2EE32D58" w14:textId="77777777" w:rsidR="00B611D1" w:rsidRDefault="00FB7689">
      <w:pPr>
        <w:pStyle w:val="Titre3"/>
        <w:numPr>
          <w:ilvl w:val="2"/>
          <w:numId w:val="11"/>
        </w:numPr>
        <w:spacing w:line="360" w:lineRule="auto"/>
        <w:rPr>
          <w:lang w:val="fr-FR"/>
        </w:rPr>
      </w:pPr>
      <w:bookmarkStart w:id="193" w:name="_Toc201260182"/>
      <w:r>
        <w:rPr>
          <w:lang w:val="fr-FR"/>
        </w:rPr>
        <w:t>Matériel</w:t>
      </w:r>
      <w:bookmarkEnd w:id="193"/>
      <w:r>
        <w:rPr>
          <w:lang w:val="fr-FR"/>
        </w:rPr>
        <w:t xml:space="preserve"> </w:t>
      </w:r>
    </w:p>
    <w:p w14:paraId="5C4F4356" w14:textId="77777777" w:rsidR="00B611D1" w:rsidRDefault="00FB7689">
      <w:pPr>
        <w:spacing w:line="360" w:lineRule="auto"/>
        <w:jc w:val="both"/>
        <w:rPr>
          <w:b/>
          <w:bCs/>
          <w:lang w:val="fr-FR"/>
        </w:rPr>
      </w:pPr>
      <w:r>
        <w:rPr>
          <w:lang w:val="fr-FR"/>
        </w:rPr>
        <w:t>L’ensemble du matériel utilisé dans cette étude, comprenant essentiellement les appareillages, les milieux de culture, les réactifs, la verrerie ainsi que d’autres équipements de laboratoire est détaillé dans (</w:t>
      </w:r>
      <w:r>
        <w:rPr>
          <w:b/>
          <w:bCs/>
          <w:lang w:val="fr-FR"/>
        </w:rPr>
        <w:t>l’Annexe 01).</w:t>
      </w:r>
    </w:p>
    <w:p w14:paraId="67D732B0" w14:textId="77777777" w:rsidR="00B611D1" w:rsidRDefault="00FB7689">
      <w:pPr>
        <w:pStyle w:val="Titre3"/>
        <w:numPr>
          <w:ilvl w:val="2"/>
          <w:numId w:val="11"/>
        </w:numPr>
        <w:spacing w:line="360" w:lineRule="auto"/>
        <w:rPr>
          <w:lang w:val="fr-FR"/>
        </w:rPr>
      </w:pPr>
      <w:bookmarkStart w:id="194" w:name="_Toc201260183"/>
      <w:r>
        <w:rPr>
          <w:lang w:val="fr-FR"/>
        </w:rPr>
        <w:t>Méthodes</w:t>
      </w:r>
      <w:bookmarkEnd w:id="194"/>
    </w:p>
    <w:p w14:paraId="45C0766F" w14:textId="77777777" w:rsidR="00B611D1" w:rsidRDefault="00FB7689">
      <w:pPr>
        <w:pStyle w:val="Titre4"/>
        <w:numPr>
          <w:ilvl w:val="3"/>
          <w:numId w:val="11"/>
        </w:numPr>
        <w:spacing w:line="360" w:lineRule="auto"/>
        <w:rPr>
          <w:rFonts w:ascii="Times New Roman" w:hAnsi="Times New Roman" w:cs="Times New Roman"/>
          <w:b/>
          <w:bCs/>
          <w:i w:val="0"/>
          <w:iCs w:val="0"/>
          <w:color w:val="000000" w:themeColor="text1"/>
          <w:lang w:val="fr-FR"/>
        </w:rPr>
      </w:pPr>
      <w:bookmarkStart w:id="195" w:name="_Toc201260184"/>
      <w:r>
        <w:rPr>
          <w:rFonts w:ascii="Times New Roman" w:hAnsi="Times New Roman" w:cs="Times New Roman"/>
          <w:b/>
          <w:bCs/>
          <w:i w:val="0"/>
          <w:iCs w:val="0"/>
          <w:color w:val="000000" w:themeColor="text1"/>
          <w:lang w:val="fr-FR"/>
        </w:rPr>
        <w:t>Prélèvement des échantillons</w:t>
      </w:r>
      <w:bookmarkEnd w:id="195"/>
    </w:p>
    <w:p w14:paraId="038C5AC4" w14:textId="77777777" w:rsidR="00B611D1" w:rsidRDefault="00FB7689">
      <w:pPr>
        <w:spacing w:before="100" w:beforeAutospacing="1" w:after="100" w:afterAutospacing="1" w:line="360" w:lineRule="auto"/>
        <w:ind w:left="316"/>
        <w:jc w:val="both"/>
        <w:rPr>
          <w:lang w:val="fr-FR"/>
        </w:rPr>
      </w:pPr>
      <w:r>
        <w:rPr>
          <w:lang w:val="fr-FR"/>
        </w:rPr>
        <w:t>Le prélèvement des échantillons a été réalisé par écouvillonnage humide sur diverses surfaces hospitalières du service d’urgence. Pour cela, des écouvillons stériles humidifiés avec du sérum physiologique ont été utilisés pour frotter soigneusement les zones ciblées, dans le but de récupérer les micro-organismes présents.</w:t>
      </w:r>
    </w:p>
    <w:p w14:paraId="3A82CDE5" w14:textId="77777777" w:rsidR="00B611D1" w:rsidRDefault="00FB7689">
      <w:pPr>
        <w:spacing w:before="100" w:beforeAutospacing="1" w:after="100" w:afterAutospacing="1" w:line="360" w:lineRule="auto"/>
        <w:ind w:left="316"/>
        <w:jc w:val="both"/>
        <w:rPr>
          <w:lang w:val="fr-FR"/>
        </w:rPr>
      </w:pPr>
      <w:r>
        <w:rPr>
          <w:lang w:val="fr-FR"/>
        </w:rPr>
        <w:t>Les prélèvements ont été effectués dans les chambres des patients et les espaces de soins, sur des surfaces fréquemment en contact avec le personnel médical ou les patients, telles que le respirateur, le scope, l’ECG, la sonde d’aspiration, les masques respiratoires, les sondes urinaires, le chariot, la poignée de porte, le lit, le nébulisateur et la source d’oxygène.</w:t>
      </w:r>
    </w:p>
    <w:p w14:paraId="4721A8FA" w14:textId="77777777" w:rsidR="00B611D1" w:rsidRDefault="00FB7689">
      <w:pPr>
        <w:spacing w:before="100" w:beforeAutospacing="1" w:after="100" w:afterAutospacing="1" w:line="360" w:lineRule="auto"/>
        <w:ind w:left="316"/>
        <w:jc w:val="both"/>
        <w:rPr>
          <w:b/>
          <w:bCs/>
          <w:color w:val="000000" w:themeColor="text1"/>
          <w:lang w:val="fr-FR"/>
        </w:rPr>
      </w:pPr>
      <w:r>
        <w:rPr>
          <w:lang w:val="fr-FR"/>
        </w:rPr>
        <w:t>Chaque échantillon a été étiqueté avec un numéro, une date et un emplacement précis afin d’assurer une traçabilité rigoureuse. Après prélèvement, les écouvillons ont été immédiatement placés sur glace et transportés au laboratoire, où ils ont été mis en culture le jour même.</w:t>
      </w:r>
    </w:p>
    <w:p w14:paraId="715C500A" w14:textId="77777777" w:rsidR="00B611D1" w:rsidRDefault="00B611D1">
      <w:pPr>
        <w:pStyle w:val="Paragraphedeliste"/>
        <w:keepNext/>
        <w:keepLines/>
        <w:numPr>
          <w:ilvl w:val="0"/>
          <w:numId w:val="12"/>
        </w:numPr>
        <w:spacing w:before="40" w:line="360" w:lineRule="auto"/>
        <w:outlineLvl w:val="3"/>
        <w:rPr>
          <w:rFonts w:eastAsiaTheme="majorEastAsia"/>
          <w:b/>
          <w:bCs/>
          <w:vanish/>
          <w:color w:val="000000" w:themeColor="text1"/>
          <w:lang w:val="fr-FR"/>
        </w:rPr>
      </w:pPr>
      <w:bookmarkStart w:id="196" w:name="_Toc201260185"/>
      <w:bookmarkEnd w:id="196"/>
    </w:p>
    <w:p w14:paraId="7D778BEF" w14:textId="77777777" w:rsidR="00B611D1" w:rsidRDefault="00B611D1">
      <w:pPr>
        <w:pStyle w:val="Paragraphedeliste"/>
        <w:keepNext/>
        <w:keepLines/>
        <w:numPr>
          <w:ilvl w:val="0"/>
          <w:numId w:val="12"/>
        </w:numPr>
        <w:spacing w:before="40" w:line="360" w:lineRule="auto"/>
        <w:outlineLvl w:val="3"/>
        <w:rPr>
          <w:rFonts w:eastAsiaTheme="majorEastAsia"/>
          <w:b/>
          <w:bCs/>
          <w:vanish/>
          <w:color w:val="000000" w:themeColor="text1"/>
          <w:lang w:val="fr-FR"/>
        </w:rPr>
      </w:pPr>
      <w:bookmarkStart w:id="197" w:name="_Toc201260186"/>
      <w:bookmarkEnd w:id="197"/>
    </w:p>
    <w:p w14:paraId="6E405D36" w14:textId="77777777" w:rsidR="00B611D1" w:rsidRDefault="00B611D1">
      <w:pPr>
        <w:pStyle w:val="Paragraphedeliste"/>
        <w:keepNext/>
        <w:keepLines/>
        <w:numPr>
          <w:ilvl w:val="1"/>
          <w:numId w:val="12"/>
        </w:numPr>
        <w:spacing w:before="40" w:line="360" w:lineRule="auto"/>
        <w:outlineLvl w:val="3"/>
        <w:rPr>
          <w:rFonts w:eastAsiaTheme="majorEastAsia"/>
          <w:b/>
          <w:bCs/>
          <w:vanish/>
          <w:color w:val="000000" w:themeColor="text1"/>
          <w:lang w:val="fr-FR"/>
        </w:rPr>
      </w:pPr>
      <w:bookmarkStart w:id="198" w:name="_Toc201260187"/>
      <w:bookmarkEnd w:id="198"/>
    </w:p>
    <w:p w14:paraId="3644D788" w14:textId="77777777" w:rsidR="00B611D1" w:rsidRDefault="00B611D1">
      <w:pPr>
        <w:pStyle w:val="Paragraphedeliste"/>
        <w:keepNext/>
        <w:keepLines/>
        <w:numPr>
          <w:ilvl w:val="2"/>
          <w:numId w:val="12"/>
        </w:numPr>
        <w:spacing w:before="40" w:line="360" w:lineRule="auto"/>
        <w:outlineLvl w:val="3"/>
        <w:rPr>
          <w:rFonts w:eastAsiaTheme="majorEastAsia"/>
          <w:b/>
          <w:bCs/>
          <w:vanish/>
          <w:color w:val="000000" w:themeColor="text1"/>
          <w:lang w:val="fr-FR"/>
        </w:rPr>
      </w:pPr>
      <w:bookmarkStart w:id="199" w:name="_Toc201260188"/>
      <w:bookmarkEnd w:id="199"/>
    </w:p>
    <w:p w14:paraId="0A0D3A13" w14:textId="77777777" w:rsidR="00B611D1" w:rsidRDefault="00B611D1">
      <w:pPr>
        <w:pStyle w:val="Paragraphedeliste"/>
        <w:keepNext/>
        <w:keepLines/>
        <w:numPr>
          <w:ilvl w:val="2"/>
          <w:numId w:val="12"/>
        </w:numPr>
        <w:spacing w:before="40" w:line="360" w:lineRule="auto"/>
        <w:outlineLvl w:val="3"/>
        <w:rPr>
          <w:rFonts w:eastAsiaTheme="majorEastAsia"/>
          <w:b/>
          <w:bCs/>
          <w:vanish/>
          <w:color w:val="000000" w:themeColor="text1"/>
          <w:lang w:val="fr-FR"/>
        </w:rPr>
      </w:pPr>
      <w:bookmarkStart w:id="200" w:name="_Toc201260189"/>
      <w:bookmarkEnd w:id="200"/>
    </w:p>
    <w:p w14:paraId="3879B130" w14:textId="77777777" w:rsidR="00B611D1" w:rsidRDefault="00B611D1">
      <w:pPr>
        <w:pStyle w:val="Paragraphedeliste"/>
        <w:keepNext/>
        <w:keepLines/>
        <w:numPr>
          <w:ilvl w:val="3"/>
          <w:numId w:val="12"/>
        </w:numPr>
        <w:spacing w:before="40" w:line="360" w:lineRule="auto"/>
        <w:outlineLvl w:val="3"/>
        <w:rPr>
          <w:rFonts w:eastAsiaTheme="majorEastAsia"/>
          <w:b/>
          <w:bCs/>
          <w:vanish/>
          <w:color w:val="000000" w:themeColor="text1"/>
          <w:lang w:val="fr-FR"/>
        </w:rPr>
      </w:pPr>
      <w:bookmarkStart w:id="201" w:name="_Toc201260190"/>
      <w:bookmarkEnd w:id="201"/>
    </w:p>
    <w:p w14:paraId="2F8F4073" w14:textId="77777777" w:rsidR="00B611D1" w:rsidRDefault="00FB7689">
      <w:pPr>
        <w:pStyle w:val="Titre4"/>
        <w:numPr>
          <w:ilvl w:val="3"/>
          <w:numId w:val="12"/>
        </w:numPr>
        <w:spacing w:line="360" w:lineRule="auto"/>
        <w:rPr>
          <w:rFonts w:ascii="Times New Roman" w:hAnsi="Times New Roman" w:cs="Times New Roman"/>
          <w:b/>
          <w:bCs/>
          <w:i w:val="0"/>
          <w:iCs w:val="0"/>
          <w:color w:val="000000" w:themeColor="text1"/>
          <w:lang w:val="fr-FR" w:eastAsia="zh-CN"/>
        </w:rPr>
      </w:pPr>
      <w:bookmarkStart w:id="202" w:name="_Toc201260191"/>
      <w:r>
        <w:rPr>
          <w:rFonts w:ascii="Times New Roman" w:hAnsi="Times New Roman" w:cs="Times New Roman"/>
          <w:b/>
          <w:bCs/>
          <w:i w:val="0"/>
          <w:iCs w:val="0"/>
          <w:color w:val="000000" w:themeColor="text1"/>
          <w:lang w:val="fr-FR"/>
        </w:rPr>
        <w:t>Enrichissement</w:t>
      </w:r>
      <w:bookmarkEnd w:id="202"/>
    </w:p>
    <w:p w14:paraId="25A85698" w14:textId="77777777" w:rsidR="00B611D1" w:rsidRDefault="00FB7689">
      <w:pPr>
        <w:spacing w:line="360" w:lineRule="auto"/>
        <w:jc w:val="both"/>
        <w:rPr>
          <w:lang w:val="fr-FR"/>
        </w:rPr>
      </w:pPr>
      <w:r>
        <w:rPr>
          <w:lang w:val="fr-FR"/>
        </w:rPr>
        <w:t>À leur arrivée au laboratoire, les écouvillons ayant servi au prélèvement ont été directement immergés dans des tubes contenant du bouillon nutritif (BN) stérile, servant de milieu d’enrichissement. Les tubes ont ensuite été incubés à 37 °C pendant 24 à 48 heures, afin de favoriser la multiplication des bactéries présentes, en particulier celles initialement en faible concentration. Cette phase d’enrichissement a pour objectif d’augmenter la charge bactérienne dans les échantillons, facilitant ainsi leur détection et leur isolement ultérieurs sur milieux solides. Après incubation, les tubes ont fait l’objet d’une observation macroscopique. La présence d’une turbidité dans le milieu est considérée comme un indicateur de croissance microbienne.</w:t>
      </w:r>
    </w:p>
    <w:p w14:paraId="460EBE64" w14:textId="77777777" w:rsidR="00B611D1" w:rsidRDefault="00FB7689">
      <w:pPr>
        <w:pStyle w:val="Titre4"/>
        <w:numPr>
          <w:ilvl w:val="3"/>
          <w:numId w:val="12"/>
        </w:numPr>
        <w:spacing w:line="360" w:lineRule="auto"/>
        <w:rPr>
          <w:rFonts w:ascii="Times New Roman" w:hAnsi="Times New Roman" w:cs="Times New Roman"/>
          <w:b/>
          <w:bCs/>
          <w:i w:val="0"/>
          <w:iCs w:val="0"/>
          <w:color w:val="000000" w:themeColor="text1"/>
          <w:lang w:val="fr-FR"/>
        </w:rPr>
      </w:pPr>
      <w:bookmarkStart w:id="203" w:name="_Toc201260192"/>
      <w:r>
        <w:rPr>
          <w:rFonts w:ascii="Times New Roman" w:hAnsi="Times New Roman" w:cs="Times New Roman"/>
          <w:b/>
          <w:bCs/>
          <w:i w:val="0"/>
          <w:iCs w:val="0"/>
          <w:color w:val="000000" w:themeColor="text1"/>
          <w:lang w:val="fr-FR"/>
        </w:rPr>
        <w:t>Isolement et purification</w:t>
      </w:r>
      <w:bookmarkEnd w:id="203"/>
    </w:p>
    <w:p w14:paraId="3EAACC82" w14:textId="77777777" w:rsidR="00B611D1" w:rsidRDefault="00FB7689">
      <w:pPr>
        <w:spacing w:line="360" w:lineRule="auto"/>
        <w:jc w:val="both"/>
        <w:rPr>
          <w:lang w:val="fr-FR"/>
        </w:rPr>
      </w:pPr>
      <w:r>
        <w:rPr>
          <w:lang w:val="fr-FR"/>
        </w:rPr>
        <w:t>L’isolement bactérien a été réalisé à partir des tubes troubles, en ensemencent d’abord la gélose au sang frais pour favoriser la croissance de toutes les bactéries, y compris les plus exigeantes</w:t>
      </w:r>
      <w:r>
        <w:rPr>
          <w:b/>
          <w:bCs/>
          <w:lang w:val="fr-FR"/>
        </w:rPr>
        <w:t xml:space="preserve"> (</w:t>
      </w:r>
      <w:r>
        <w:rPr>
          <w:rFonts w:asciiTheme="majorBidi" w:hAnsiTheme="majorBidi" w:cstheme="majorBidi"/>
          <w:b/>
          <w:bCs/>
          <w:kern w:val="2"/>
          <w:lang w:val="fr-FR"/>
        </w:rPr>
        <w:t>Annexe 02)</w:t>
      </w:r>
      <w:r>
        <w:rPr>
          <w:lang w:val="fr-FR"/>
        </w:rPr>
        <w:t>. À l’aide de pipettes Pasteur stériles, une goutte du bouillon a été déposée et étalée par striation. Les boîtes ont été incubées à 37 °C pendant 24 heures.</w:t>
      </w:r>
    </w:p>
    <w:p w14:paraId="39746A53" w14:textId="77777777" w:rsidR="00B611D1" w:rsidRDefault="00FB7689">
      <w:pPr>
        <w:spacing w:line="360" w:lineRule="auto"/>
        <w:jc w:val="both"/>
        <w:rPr>
          <w:lang w:val="fr-FR"/>
        </w:rPr>
      </w:pPr>
      <w:r>
        <w:rPr>
          <w:lang w:val="fr-FR"/>
        </w:rPr>
        <w:t xml:space="preserve">Les colonies obtenues ont ensuite été repiquées sur trois milieux sélectifs et différentiels : gélose Chapman, gélose Hektoen et gélose MacConkey, pour permettre la séparation des espèces. La purification a été obtenue par repiquages successifs jusqu’à obtention de cultures pures. Seuls les bacilles à Gram négatif et les cocci à Gram positif ont été retenus pour l’identification approfondie, </w:t>
      </w:r>
      <w:r>
        <w:rPr>
          <w:rStyle w:val="lev"/>
          <w:b w:val="0"/>
          <w:bCs w:val="0"/>
          <w:lang w:val="fr-FR"/>
        </w:rPr>
        <w:t>car ce sont les principaux groupes impliqués dans les infections nosocomiales</w:t>
      </w:r>
      <w:r>
        <w:rPr>
          <w:b/>
          <w:bCs/>
          <w:lang w:val="fr-FR"/>
        </w:rPr>
        <w:t xml:space="preserve">. </w:t>
      </w:r>
      <w:r>
        <w:rPr>
          <w:lang w:val="fr-FR"/>
        </w:rPr>
        <w:t>Les bacilles à Gram positif, bien que parfois impliqués,</w:t>
      </w:r>
      <w:r>
        <w:rPr>
          <w:b/>
          <w:bCs/>
          <w:lang w:val="fr-FR"/>
        </w:rPr>
        <w:t xml:space="preserve"> </w:t>
      </w:r>
      <w:r>
        <w:rPr>
          <w:rStyle w:val="lev"/>
          <w:b w:val="0"/>
          <w:bCs w:val="0"/>
          <w:lang w:val="fr-FR"/>
        </w:rPr>
        <w:t xml:space="preserve">sont plus rarement rencontrés dans ce contexte </w:t>
      </w:r>
      <w:r>
        <w:rPr>
          <w:rFonts w:eastAsia="Calibri"/>
          <w:b/>
          <w:bCs/>
          <w:lang w:val="fr" w:bidi="ar"/>
        </w:rPr>
        <w:t xml:space="preserve"> </w:t>
      </w:r>
      <w:r>
        <w:rPr>
          <w:rFonts w:eastAsia="Calibri"/>
          <w:b/>
          <w:bCs/>
          <w:lang w:val="fr" w:bidi="ar"/>
        </w:rPr>
        <w:fldChar w:fldCharType="begin"/>
      </w:r>
      <w:r>
        <w:rPr>
          <w:rFonts w:eastAsia="Calibri"/>
          <w:b/>
          <w:bCs/>
          <w:lang w:val="fr" w:bidi="ar"/>
        </w:rPr>
        <w:instrText xml:space="preserve"> ADDIN ZOTERO_ITEM CSL_CITATION {"citationID":"kudMYTA9","properties":{"formattedCitation":"(Chakraverty &amp; Kundu, 2024)","plainCitation":"(Chakraverty &amp; Kundu, 2024)","noteIndex":0},"citationItems":[{"id":417,"uris":["http://zotero.org/users/16279382/items/UQZMRCPC"],"itemData":{"id":417,"type":"chapter","abstract":"This chapter delves into an in-depth analysis of the critical characteristics inherent in nosocomial infections, commonly acquired within healthcare settings. It provides a comprehensive overview and thorough discourse on the paramount importance of healthcare-acquired infections, encompassing a detailed exploration of the various types, effective prevention methodologies, and proficient management techniques. Furthermore, this scholarly activity meticulously scrutinizes the intricate processes involved in the evaluation, management, and preventive measures associated with nosocomial infections, shedding light on the pivotal role played by the healthcare team in the assessment, treatment, and enhancement of care delivery for individuals afflicted with this particular medical condition. In the realm of nosocomial infections, it is imperative to meticulously identify and elucidate the underlying etiology contributing to the onset and proliferation of such healthcare-associated maladies, thereby paving the way for targeted interventions and preventive strategies aimed at curbing their prevalence within healthcare facilities. A comprehensive understanding and proficient execution of the appropriate evaluation protocols for nosocomial infections are paramount in ensuring timely diagnosis, effective treatment initiation, and optimal patient outcomes, underscoring the significance of precise diagnostic methodologies and evidence-based assessment approaches in the clinical management of such infections. Moreover, an elaborate elucidation on the diverse treatment modalities available for combating nosocomial infections is warranted, encompassing a nuanced discussion on pharmacological interventions, surgical procedures, and adjunct therapies aimed at eradicating the causative agents, resolving symptoms, and promoting swift recovery among affected individuals. Furthermore, a strategic delineation of interprofessional team dynamics and collaborative strategies geared toward enhancing care coordination, fostering seamless communication, and mitigating the risk of nosocomial infections is indispensable, with a view toward optimizing patient outcomes, improving healthcare delivery, and fostering a culture of patient safety and quality care within healthcare settings.","container-title":"Hospital-Acquired Infections in Intensive Care Unit and their Management: The Indian Perspective","event-place":"Singapore","ISBN":"978-981-96-0018-2","language":"en","note":"DOI: 10.1007/978-981-96-0018-2_1","page":"1-12","publisher":"Springer Nature","publisher-place":"Singapore","source":"Springer Link","title":"Introduction to Nosocomial Infection","URL":"https://doi.org/10.1007/978-981-96-0018-2_1","author":[{"family":"Chakraverty","given":"Raja"},{"family":"Kundu","given":"Asim Kumar"}],"editor":[{"family":"Chakraverty","given":"Raja"},{"family":"Kundu","given":"Asim Kumar"}],"accessed":{"date-parts":[["2025",6,13]]},"issued":{"date-parts":[["2024"]]}}}],"schema":"https://github.com/citation-style-language/schema/raw/master/csl-citation.json"} </w:instrText>
      </w:r>
      <w:r>
        <w:rPr>
          <w:rFonts w:eastAsia="Calibri"/>
          <w:b/>
          <w:bCs/>
          <w:lang w:val="fr" w:bidi="ar"/>
        </w:rPr>
        <w:fldChar w:fldCharType="separate"/>
      </w:r>
      <w:r>
        <w:rPr>
          <w:rFonts w:eastAsia="Calibri"/>
          <w:b/>
          <w:bCs/>
          <w:szCs w:val="22"/>
          <w:lang w:val="fr" w:bidi="ar"/>
        </w:rPr>
        <w:t>(Chakraverty &amp; Kundu, 2024)</w:t>
      </w:r>
      <w:r>
        <w:rPr>
          <w:rFonts w:eastAsia="Calibri"/>
          <w:b/>
          <w:bCs/>
          <w:lang w:val="fr" w:bidi="ar"/>
        </w:rPr>
        <w:fldChar w:fldCharType="end"/>
      </w:r>
      <w:r>
        <w:rPr>
          <w:lang w:val="fr-FR"/>
        </w:rPr>
        <w:t xml:space="preserve">. </w:t>
      </w:r>
    </w:p>
    <w:p w14:paraId="421FB67D" w14:textId="77777777" w:rsidR="00B611D1" w:rsidRDefault="00FB7689">
      <w:pPr>
        <w:spacing w:line="360" w:lineRule="auto"/>
        <w:jc w:val="both"/>
        <w:rPr>
          <w:rFonts w:asciiTheme="majorBidi" w:hAnsiTheme="majorBidi" w:cstheme="majorBidi"/>
          <w:lang w:val="fr-FR"/>
        </w:rPr>
      </w:pPr>
      <w:r>
        <w:rPr>
          <w:rFonts w:asciiTheme="majorBidi" w:hAnsiTheme="majorBidi" w:cstheme="majorBidi"/>
          <w:lang w:val="fr-FR"/>
        </w:rPr>
        <w:t>L’identification des souches bactériennes isolées a été réalisée à travers une série d’analyses morphologiques, physiologiques et biochimiques permettant une caractérisation complète.</w:t>
      </w:r>
    </w:p>
    <w:p w14:paraId="55A8A610" w14:textId="77777777" w:rsidR="00B611D1" w:rsidRDefault="00FB7689">
      <w:pPr>
        <w:pStyle w:val="Titre5"/>
        <w:numPr>
          <w:ilvl w:val="4"/>
          <w:numId w:val="12"/>
        </w:numPr>
        <w:spacing w:line="360" w:lineRule="auto"/>
        <w:rPr>
          <w:rFonts w:ascii="Times New Roman" w:hAnsi="Times New Roman" w:hint="default"/>
          <w:sz w:val="24"/>
          <w:szCs w:val="24"/>
          <w:lang w:val="fr-FR"/>
        </w:rPr>
      </w:pPr>
      <w:bookmarkStart w:id="204" w:name="_Toc201260193"/>
      <w:r>
        <w:rPr>
          <w:rFonts w:ascii="Times New Roman" w:hAnsi="Times New Roman" w:hint="default"/>
          <w:sz w:val="24"/>
          <w:szCs w:val="24"/>
          <w:lang w:val="fr-FR"/>
        </w:rPr>
        <w:t>Coloration de Gram</w:t>
      </w:r>
      <w:bookmarkEnd w:id="204"/>
    </w:p>
    <w:p w14:paraId="41F786AF" w14:textId="77777777" w:rsidR="00B611D1" w:rsidRDefault="00FB7689">
      <w:pPr>
        <w:pStyle w:val="Titre5"/>
        <w:spacing w:line="360" w:lineRule="auto"/>
        <w:jc w:val="both"/>
        <w:rPr>
          <w:rFonts w:asciiTheme="majorBidi" w:hAnsiTheme="majorBidi" w:cstheme="majorBidi" w:hint="default"/>
          <w:i/>
          <w:iCs/>
          <w:sz w:val="24"/>
          <w:szCs w:val="24"/>
          <w:lang w:val="fr-FR"/>
        </w:rPr>
      </w:pPr>
      <w:bookmarkStart w:id="205" w:name="_Toc201260194"/>
      <w:r>
        <w:rPr>
          <w:rFonts w:asciiTheme="majorBidi" w:hAnsiTheme="majorBidi" w:cstheme="majorBidi" w:hint="default"/>
          <w:b w:val="0"/>
          <w:bCs w:val="0"/>
          <w:sz w:val="24"/>
          <w:szCs w:val="24"/>
          <w:lang w:val="fr-FR"/>
        </w:rPr>
        <w:t>La coloration de Gram a été employée pour différencier les bactéries Gram positives des Gram négatives en fonction de la composition de leur paroi cellulaire. Les bactéries Gram positives possèdent une paroi épaisse, riche en peptidoglycane et pauvre en lipides, tandis que les bactéries Gram négatives ont une paroi mince en peptidoglycane entourée d’une membrane riche en lipides</w:t>
      </w:r>
      <w:r>
        <w:rPr>
          <w:rFonts w:asciiTheme="majorBidi" w:hAnsiTheme="majorBidi" w:cstheme="majorBidi" w:hint="default"/>
          <w:sz w:val="24"/>
          <w:szCs w:val="24"/>
          <w:lang w:val="fr-FR"/>
        </w:rPr>
        <w:t xml:space="preserve"> </w:t>
      </w:r>
      <w:r>
        <w:rPr>
          <w:rFonts w:asciiTheme="majorBidi" w:eastAsia="Calibri" w:hAnsiTheme="majorBidi" w:cstheme="majorBidi" w:hint="default"/>
          <w:b w:val="0"/>
          <w:bCs w:val="0"/>
          <w:kern w:val="2"/>
          <w:sz w:val="24"/>
          <w:szCs w:val="24"/>
          <w:lang w:val="fr" w:bidi="ar"/>
        </w:rPr>
        <w:fldChar w:fldCharType="begin"/>
      </w:r>
      <w:r>
        <w:rPr>
          <w:rFonts w:asciiTheme="majorBidi" w:eastAsia="Calibri" w:hAnsiTheme="majorBidi" w:cstheme="majorBidi" w:hint="default"/>
          <w:kern w:val="2"/>
          <w:sz w:val="24"/>
          <w:szCs w:val="24"/>
          <w:lang w:val="fr" w:bidi="ar"/>
        </w:rPr>
        <w:instrText xml:space="preserve"> ADDIN ZOTERO_ITEM CSL_CITATION {"citationID":"5KxyTqkn","properties":{"formattedCitation":"(Sizar et al., 2017)","plainCitation":"(Sizar et al., 2017)","noteIndex":0},"citationItems":[{"id":362,"uris":["http://zotero.org/users/16279382/items/VD2N7NVN"],"itemData":{"id":362,"type":"article-journal","source":"Google Scholar","title":"Gram-positive bacteria","URL":"https://europepmc.org/article/nbk/nbk470553","author":[{"family":"Sizar","given":"Omeed"},{"family":"Leslie","given":"Stephen W."},{"family":"Unakal","given":"Chandrashekhar G."}],"accessed":{"date-parts":[["2025",6,10]]},"issued":{"date-parts":[["2017"]]}}}],"schema":"https://github.com/citation-style-language/schema/raw/master/csl-citation.json"} </w:instrText>
      </w:r>
      <w:r>
        <w:rPr>
          <w:rFonts w:asciiTheme="majorBidi" w:eastAsia="Calibri" w:hAnsiTheme="majorBidi" w:cstheme="majorBidi" w:hint="default"/>
          <w:b w:val="0"/>
          <w:bCs w:val="0"/>
          <w:kern w:val="2"/>
          <w:sz w:val="24"/>
          <w:szCs w:val="24"/>
          <w:lang w:val="fr" w:bidi="ar"/>
        </w:rPr>
        <w:fldChar w:fldCharType="separate"/>
      </w:r>
      <w:r>
        <w:rPr>
          <w:rFonts w:asciiTheme="majorBidi" w:eastAsia="Calibri" w:hAnsiTheme="majorBidi" w:cstheme="majorBidi" w:hint="default"/>
          <w:kern w:val="2"/>
          <w:sz w:val="24"/>
          <w:szCs w:val="24"/>
          <w:lang w:val="fr" w:bidi="ar"/>
        </w:rPr>
        <w:t xml:space="preserve">(Sizar </w:t>
      </w:r>
      <w:r>
        <w:rPr>
          <w:rFonts w:asciiTheme="majorBidi" w:eastAsia="Calibri" w:hAnsiTheme="majorBidi" w:cstheme="majorBidi" w:hint="default"/>
          <w:i/>
          <w:iCs/>
          <w:kern w:val="2"/>
          <w:sz w:val="24"/>
          <w:szCs w:val="24"/>
          <w:lang w:val="fr" w:bidi="ar"/>
        </w:rPr>
        <w:t>et al</w:t>
      </w:r>
      <w:r>
        <w:rPr>
          <w:rFonts w:asciiTheme="majorBidi" w:eastAsia="Calibri" w:hAnsiTheme="majorBidi" w:cstheme="majorBidi" w:hint="default"/>
          <w:kern w:val="2"/>
          <w:sz w:val="24"/>
          <w:szCs w:val="24"/>
          <w:lang w:val="fr" w:bidi="ar"/>
        </w:rPr>
        <w:t>., 2017)</w:t>
      </w:r>
      <w:r>
        <w:rPr>
          <w:rFonts w:asciiTheme="majorBidi" w:eastAsia="Calibri" w:hAnsiTheme="majorBidi" w:cstheme="majorBidi" w:hint="default"/>
          <w:b w:val="0"/>
          <w:bCs w:val="0"/>
          <w:kern w:val="2"/>
          <w:sz w:val="24"/>
          <w:szCs w:val="24"/>
          <w:lang w:val="fr" w:bidi="ar"/>
        </w:rPr>
        <w:fldChar w:fldCharType="end"/>
      </w:r>
      <w:r>
        <w:rPr>
          <w:rFonts w:asciiTheme="majorBidi" w:eastAsia="Calibri" w:hAnsiTheme="majorBidi" w:cstheme="majorBidi" w:hint="default"/>
          <w:kern w:val="2"/>
          <w:sz w:val="24"/>
          <w:szCs w:val="24"/>
          <w:lang w:val="fr-FR" w:bidi="ar"/>
        </w:rPr>
        <w:t>.</w:t>
      </w:r>
      <w:bookmarkEnd w:id="205"/>
    </w:p>
    <w:p w14:paraId="4FF6BD5E" w14:textId="77777777" w:rsidR="00B611D1" w:rsidRDefault="00FB7689">
      <w:pPr>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Procédure </w:t>
      </w:r>
    </w:p>
    <w:p w14:paraId="47CB982A" w14:textId="77777777" w:rsidR="00B611D1" w:rsidRDefault="00FB7689">
      <w:pPr>
        <w:numPr>
          <w:ilvl w:val="0"/>
          <w:numId w:val="13"/>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Une goutte de suspension bactérienne a été étalée sur une lame propre et fixée à la flamme.</w:t>
      </w:r>
    </w:p>
    <w:p w14:paraId="68995501" w14:textId="77777777" w:rsidR="00B611D1" w:rsidRDefault="00FB7689">
      <w:pPr>
        <w:numPr>
          <w:ilvl w:val="0"/>
          <w:numId w:val="13"/>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La lame a été recouverte de violet de gentiane pendant 1 minute, puis rincée à l’eau.</w:t>
      </w:r>
    </w:p>
    <w:p w14:paraId="5D5EE7B8" w14:textId="77777777" w:rsidR="00B611D1" w:rsidRDefault="00FB7689">
      <w:pPr>
        <w:numPr>
          <w:ilvl w:val="0"/>
          <w:numId w:val="13"/>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Le lugol a ensuite été appliqué pendant 1 minute, suivi d’un rinçage.</w:t>
      </w:r>
    </w:p>
    <w:p w14:paraId="1CEC6E50" w14:textId="77777777" w:rsidR="00B611D1" w:rsidRDefault="00FB7689">
      <w:pPr>
        <w:numPr>
          <w:ilvl w:val="0"/>
          <w:numId w:val="13"/>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La décoloration a été réalisée à l’alcool jusqu’à disparition de la coloration violette.</w:t>
      </w:r>
    </w:p>
    <w:p w14:paraId="3550BF31" w14:textId="77777777" w:rsidR="00B611D1" w:rsidRDefault="00FB7689">
      <w:pPr>
        <w:numPr>
          <w:ilvl w:val="0"/>
          <w:numId w:val="13"/>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Après un rinçage, la lame a été contre-colorée à la fuchsine diluée pendant 1 minute.</w:t>
      </w:r>
    </w:p>
    <w:p w14:paraId="75C38341" w14:textId="77777777" w:rsidR="00B611D1" w:rsidRDefault="00FB7689">
      <w:pPr>
        <w:numPr>
          <w:ilvl w:val="0"/>
          <w:numId w:val="13"/>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Après un dernier rinçage, la lame a été séchée à l’air et observée au microscope à immersion (objectif ×100) avec une goutte d’huile.</w:t>
      </w:r>
    </w:p>
    <w:p w14:paraId="688F4740" w14:textId="77777777" w:rsidR="00B611D1" w:rsidRDefault="00B611D1">
      <w:pPr>
        <w:tabs>
          <w:tab w:val="left" w:pos="720"/>
        </w:tabs>
        <w:spacing w:before="100" w:beforeAutospacing="1" w:after="100" w:afterAutospacing="1" w:line="360" w:lineRule="auto"/>
        <w:ind w:left="720"/>
        <w:jc w:val="both"/>
        <w:rPr>
          <w:rFonts w:asciiTheme="majorBidi" w:hAnsiTheme="majorBidi" w:cstheme="majorBidi"/>
          <w:lang w:val="fr-FR"/>
        </w:rPr>
      </w:pPr>
    </w:p>
    <w:p w14:paraId="5BAD5F27" w14:textId="77777777" w:rsidR="00B611D1" w:rsidRDefault="00FB7689">
      <w:pPr>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Résultats attendus </w:t>
      </w:r>
    </w:p>
    <w:p w14:paraId="25285381" w14:textId="77777777" w:rsidR="00B611D1" w:rsidRDefault="00FB7689">
      <w:pPr>
        <w:numPr>
          <w:ilvl w:val="0"/>
          <w:numId w:val="14"/>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Les bactéries Gram positives apparaissent en violet.</w:t>
      </w:r>
    </w:p>
    <w:p w14:paraId="17184AC4" w14:textId="77777777" w:rsidR="00B611D1" w:rsidRDefault="00FB7689">
      <w:pPr>
        <w:numPr>
          <w:ilvl w:val="0"/>
          <w:numId w:val="14"/>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Les bactéries Gram négatives apparaissent en rose.</w:t>
      </w:r>
    </w:p>
    <w:p w14:paraId="19F8FEF2" w14:textId="77777777" w:rsidR="00B611D1" w:rsidRDefault="00FB7689">
      <w:pPr>
        <w:pStyle w:val="Titre5"/>
        <w:numPr>
          <w:ilvl w:val="4"/>
          <w:numId w:val="12"/>
        </w:numPr>
        <w:rPr>
          <w:rFonts w:ascii="Times New Roman" w:hAnsi="Times New Roman" w:hint="default"/>
          <w:i/>
          <w:iCs/>
          <w:sz w:val="24"/>
          <w:szCs w:val="24"/>
          <w:lang w:val="fr-FR"/>
        </w:rPr>
      </w:pPr>
      <w:bookmarkStart w:id="206" w:name="_Toc201260195"/>
      <w:r>
        <w:rPr>
          <w:rFonts w:ascii="Times New Roman" w:hAnsi="Times New Roman" w:hint="default"/>
          <w:sz w:val="24"/>
          <w:szCs w:val="24"/>
          <w:lang w:val="fr-FR"/>
        </w:rPr>
        <w:t>Test de la catalase</w:t>
      </w:r>
      <w:bookmarkEnd w:id="206"/>
    </w:p>
    <w:p w14:paraId="0059572B" w14:textId="77777777" w:rsidR="00B611D1" w:rsidRDefault="00FB7689">
      <w:pPr>
        <w:spacing w:after="200" w:line="360" w:lineRule="auto"/>
        <w:rPr>
          <w:rFonts w:asciiTheme="majorBidi" w:hAnsiTheme="majorBidi" w:cstheme="majorBidi"/>
          <w:lang w:val="fr-FR"/>
        </w:rPr>
      </w:pPr>
      <w:r>
        <w:rPr>
          <w:lang w:val="fr-FR"/>
        </w:rPr>
        <w:t xml:space="preserve">Ce test permet de différencier les bactéries catalase-positives des bactéries catalase-négatives. Il détecte la présence de l’enzyme catalase, qui décompose le peroxyde d’hydrogène (H₂O₂) en eau et oxygène, produisant des bulles de gaz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{"citationID":"NUs2qLNs","properties":{"formattedCitation":"(Iwase et al., 2013)","plainCitation":"(Iwase et al., 2013)","noteIndex":0},"citationItems":[{"id":364,"uris":["http://zotero.org/users/16279382/items/YREXMBZK"],"itemData":{"id":364,"type":"article-journal","abstract":"In this study, an assay that combines the ease and simplicity of the qualitative approach for measuring catalase activity was developed. The assay reagents comprised only hydrogen peroxide and Triton X-100. The enzyme-generated oxygen bubbles trapped by Triton X-100 were visualized as foam, whose height was estimated. A calibration plot using the defined unit of catalase activity yielded the best linear fit over a range of 20–300 units (U) (y = 0.3794x − 2.0909, r2 = 0.993). The assay precision and reproducibility at 100 U were 4.6% and 4.8%, respectively. The applicability of the assay for measuring the catalase activity of various samples was assessed using laboratory strains of Escherichia coli, catalase-deficient isogenic mutants, clinically isolated Shiga toxin-producing E. coli, and human cells. The assay generated reproducible results. In conclusion, this new assay can be used to measure the catalase activity of bacterial isolates and human cells.","container-title":"Scientific Reports","DOI":"10.1038/srep03081","ISSN":"2045-2322","issue":"1","journalAbbreviation":"Sci Rep","language":"en","license":"2013 The Author(s)","note":"publisher: Nature Publishing Group","page":"3081","source":"www.nature.com","title":"A Simple Assay for Measuring Catalase Activity: A Visual Approach","title-short":"A Simple Assay for Measuring Catalase Activity","volume":"3","author":[{"family":"Iwase","given":"Tadayuki"},{"family":"Tajima","given":"Akiko"},{"family":"Sugimoto","given":"Shinya"},{"family":"Okuda","given":"Ken-ichi"},{"family":"Hironaka","given":"Ippei"},{"family":"Kamata","given":"Yuko"},{"family":"Takada","given":"Koji"},{"family":"Mizunoe","given":"Yoshimitsu"}],"issued":{"date-parts":[["2013",10,30]]}}}],"schema":"https://github.com/citation-style-language/schema/raw/master/csl-citation.json"} </w:instrText>
      </w:r>
      <w:r>
        <w:rPr>
          <w:rFonts w:eastAsia="Calibri"/>
          <w:b/>
          <w:bCs/>
          <w:kern w:val="2"/>
          <w:lang w:val="fr" w:eastAsia="zh-CN" w:bidi="ar"/>
        </w:rPr>
        <w:fldChar w:fldCharType="separate"/>
      </w:r>
      <w:r>
        <w:rPr>
          <w:rFonts w:eastAsia="Calibri"/>
          <w:b/>
          <w:bCs/>
          <w:kern w:val="2"/>
          <w:lang w:val="fr" w:eastAsia="zh-CN" w:bidi="ar"/>
        </w:rPr>
        <w:t>(Iwase</w:t>
      </w:r>
      <w:r>
        <w:rPr>
          <w:rFonts w:eastAsia="Calibri"/>
          <w:b/>
          <w:bCs/>
          <w:i/>
          <w:iCs/>
          <w:kern w:val="2"/>
          <w:lang w:val="fr" w:eastAsia="zh-CN" w:bidi="ar"/>
        </w:rPr>
        <w:t xml:space="preserve"> et al</w:t>
      </w:r>
      <w:r>
        <w:rPr>
          <w:rFonts w:eastAsia="Calibri"/>
          <w:b/>
          <w:bCs/>
          <w:kern w:val="2"/>
          <w:lang w:val="fr" w:eastAsia="zh-CN" w:bidi="ar"/>
        </w:rPr>
        <w:t>., 2013)</w:t>
      </w:r>
      <w:r>
        <w:rPr>
          <w:rFonts w:eastAsia="Calibri"/>
          <w:b/>
          <w:bCs/>
          <w:kern w:val="2"/>
          <w:lang w:val="fr" w:eastAsia="zh-CN" w:bidi="ar"/>
        </w:rPr>
        <w:fldChar w:fldCharType="end"/>
      </w:r>
      <w:r>
        <w:rPr>
          <w:rFonts w:eastAsia="Calibri"/>
          <w:b/>
          <w:bCs/>
          <w:kern w:val="2"/>
          <w:lang w:val="fr" w:eastAsia="zh-CN" w:bidi="ar"/>
        </w:rPr>
        <w:t>.</w:t>
      </w:r>
    </w:p>
    <w:p w14:paraId="7E71CA82" w14:textId="77777777" w:rsidR="00B611D1" w:rsidRDefault="00FB7689">
      <w:pPr>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Procédure </w:t>
      </w:r>
    </w:p>
    <w:p w14:paraId="6E72DEC7" w14:textId="77777777" w:rsidR="00B611D1" w:rsidRDefault="00FB7689">
      <w:pPr>
        <w:numPr>
          <w:ilvl w:val="0"/>
          <w:numId w:val="15"/>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Une goutte d’eau oxygénée a été déposée sur une lame propre.</w:t>
      </w:r>
    </w:p>
    <w:p w14:paraId="47D962C4" w14:textId="77777777" w:rsidR="00B611D1" w:rsidRDefault="00FB7689">
      <w:pPr>
        <w:numPr>
          <w:ilvl w:val="0"/>
          <w:numId w:val="15"/>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À l’aide d’une pipette boutonnée, une colonie bactérienne a été déposée dans la goutte.</w:t>
      </w:r>
    </w:p>
    <w:p w14:paraId="79AED763" w14:textId="77777777" w:rsidR="00B611D1" w:rsidRDefault="00FB7689">
      <w:pPr>
        <w:tabs>
          <w:tab w:val="left" w:pos="720"/>
        </w:tabs>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Interprétation </w:t>
      </w:r>
    </w:p>
    <w:p w14:paraId="4389D72B" w14:textId="77777777" w:rsidR="00B611D1" w:rsidRDefault="00FB7689">
      <w:pPr>
        <w:numPr>
          <w:ilvl w:val="0"/>
          <w:numId w:val="16"/>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Formation immédiate de bulles d’oxygène → catalase positive.</w:t>
      </w:r>
    </w:p>
    <w:p w14:paraId="1A105D2C" w14:textId="77777777" w:rsidR="00B611D1" w:rsidRDefault="00FB7689">
      <w:pPr>
        <w:numPr>
          <w:ilvl w:val="0"/>
          <w:numId w:val="16"/>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Absence de bulles → catalase négative.</w:t>
      </w:r>
    </w:p>
    <w:p w14:paraId="00D31E94" w14:textId="77777777" w:rsidR="00B611D1" w:rsidRDefault="00FB7689">
      <w:pPr>
        <w:pStyle w:val="Titre5"/>
        <w:numPr>
          <w:ilvl w:val="4"/>
          <w:numId w:val="12"/>
        </w:numPr>
        <w:rPr>
          <w:rFonts w:ascii="Times New Roman" w:hAnsi="Times New Roman" w:hint="default"/>
          <w:i/>
          <w:iCs/>
          <w:sz w:val="24"/>
          <w:szCs w:val="24"/>
          <w:lang w:val="fr-FR"/>
        </w:rPr>
      </w:pPr>
      <w:bookmarkStart w:id="207" w:name="_Toc201260196"/>
      <w:r>
        <w:rPr>
          <w:rFonts w:ascii="Times New Roman" w:hAnsi="Times New Roman" w:hint="default"/>
          <w:sz w:val="24"/>
          <w:szCs w:val="24"/>
          <w:lang w:val="fr-FR"/>
        </w:rPr>
        <w:t>Test de l’oxydase</w:t>
      </w:r>
      <w:bookmarkEnd w:id="207"/>
    </w:p>
    <w:p w14:paraId="3E48D315" w14:textId="77777777" w:rsidR="00B611D1" w:rsidRDefault="00FB7689">
      <w:pPr>
        <w:spacing w:before="100" w:beforeAutospacing="1" w:after="100" w:afterAutospacing="1" w:line="360" w:lineRule="auto"/>
        <w:jc w:val="both"/>
        <w:rPr>
          <w:lang w:val="fr-FR"/>
        </w:rPr>
      </w:pPr>
      <w:r>
        <w:rPr>
          <w:lang w:val="fr-FR"/>
        </w:rPr>
        <w:t xml:space="preserve">Ce test permet d’identifier les bactéries possédant l’enzyme </w:t>
      </w:r>
      <w:r>
        <w:rPr>
          <w:rStyle w:val="lev"/>
          <w:b w:val="0"/>
          <w:bCs w:val="0"/>
          <w:lang w:val="fr-FR"/>
        </w:rPr>
        <w:t>cytochrome oxydase</w:t>
      </w:r>
      <w:r>
        <w:rPr>
          <w:lang w:val="fr-FR"/>
        </w:rPr>
        <w:t xml:space="preserve">, impliquée dans la chaîne respiratoire aérobie. Ce test révèle la présence de cette enzyme grâce à un réactif spécifique (N,N-diméthyl-p-phénylènediamine), qui vire au violet en présence de l’enzyme </w:t>
      </w:r>
      <w:r>
        <w:rPr>
          <w:rFonts w:eastAsia="Calibri"/>
          <w:b/>
          <w:bCs/>
          <w:lang w:val="fr" w:bidi="ar"/>
        </w:rPr>
        <w:fldChar w:fldCharType="begin"/>
      </w:r>
      <w:r>
        <w:rPr>
          <w:rFonts w:eastAsia="Calibri"/>
          <w:b/>
          <w:bCs/>
          <w:lang w:val="fr" w:bidi="ar"/>
        </w:rPr>
        <w:instrText xml:space="preserve"> ADDIN ZOTERO_ITEM CSL_CITATION {"citationID":"8sQEt5Qw","properties":{"formattedCitation":"(Chavan et al., 2022)","plainCitation":"(Chavan et al., 2022)","noteIndex":0},"citationItems":[{"id":366,"uris":["http://zotero.org/users/16279382/items/QWYC6ME4"],"itemData":{"id":366,"type":"article-journal","container-title":"AgriCos e-Newsletter","page":"31–33","source":"Google Scholar","title":"Oxidase test: A biochemical method in bacterial identification","title-short":"Oxidase test","volume":"3","author":[{"family":"Chavan","given":"D."},{"family":"Khatoon","given":"H."},{"family":"Anokhe","given":"A."},{"family":"Kalia","given":"V."}],"issued":{"date-parts":[["2022"]]}}}],"schema":"https://github.com/citation-style-language/schema/raw/master/csl-citation.json"} </w:instrText>
      </w:r>
      <w:r>
        <w:rPr>
          <w:rFonts w:eastAsia="Calibri"/>
          <w:b/>
          <w:bCs/>
          <w:lang w:val="fr" w:bidi="ar"/>
        </w:rPr>
        <w:fldChar w:fldCharType="separate"/>
      </w:r>
      <w:r>
        <w:rPr>
          <w:rFonts w:eastAsia="Calibri"/>
          <w:b/>
          <w:bCs/>
          <w:szCs w:val="22"/>
          <w:lang w:val="fr" w:bidi="ar"/>
        </w:rPr>
        <w:t xml:space="preserve">(Chavan </w:t>
      </w:r>
      <w:r>
        <w:rPr>
          <w:rFonts w:eastAsia="Calibri"/>
          <w:b/>
          <w:bCs/>
          <w:i/>
          <w:iCs/>
          <w:szCs w:val="22"/>
          <w:lang w:val="fr" w:bidi="ar"/>
        </w:rPr>
        <w:t>et al</w:t>
      </w:r>
      <w:r>
        <w:rPr>
          <w:rFonts w:eastAsia="Calibri"/>
          <w:b/>
          <w:bCs/>
          <w:szCs w:val="22"/>
          <w:lang w:val="fr" w:bidi="ar"/>
        </w:rPr>
        <w:t>., 2022)</w:t>
      </w:r>
      <w:r>
        <w:rPr>
          <w:rFonts w:eastAsia="Calibri"/>
          <w:b/>
          <w:bCs/>
          <w:lang w:val="fr" w:bidi="ar"/>
        </w:rPr>
        <w:fldChar w:fldCharType="end"/>
      </w:r>
      <w:r>
        <w:rPr>
          <w:rFonts w:eastAsia="Calibri"/>
          <w:b/>
          <w:bCs/>
          <w:lang w:val="fr-FR" w:bidi="ar"/>
        </w:rPr>
        <w:t>.</w:t>
      </w:r>
    </w:p>
    <w:p w14:paraId="0AD692C4" w14:textId="77777777" w:rsidR="00B611D1" w:rsidRDefault="00FB7689">
      <w:pPr>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Procédure </w:t>
      </w:r>
    </w:p>
    <w:p w14:paraId="64C928BE" w14:textId="77777777" w:rsidR="00B611D1" w:rsidRDefault="00FB7689">
      <w:pPr>
        <w:numPr>
          <w:ilvl w:val="0"/>
          <w:numId w:val="17"/>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Une colonie bactérienne isolée a été écrasée sur un disque imprégné du réactif.</w:t>
      </w:r>
    </w:p>
    <w:p w14:paraId="142CDC10" w14:textId="77777777" w:rsidR="00B611D1" w:rsidRDefault="00FB7689">
      <w:pPr>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Interprétation </w:t>
      </w:r>
    </w:p>
    <w:p w14:paraId="18031FE4" w14:textId="77777777" w:rsidR="00B611D1" w:rsidRDefault="00FB7689">
      <w:pPr>
        <w:numPr>
          <w:ilvl w:val="0"/>
          <w:numId w:val="18"/>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Coloration violette immédiate → oxydase positive.</w:t>
      </w:r>
    </w:p>
    <w:p w14:paraId="4AEB2BA5" w14:textId="77777777" w:rsidR="00B611D1" w:rsidRDefault="00FB7689">
      <w:pPr>
        <w:numPr>
          <w:ilvl w:val="0"/>
          <w:numId w:val="18"/>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Absence de coloration → oxydase négative.</w:t>
      </w:r>
    </w:p>
    <w:p w14:paraId="3AF62D29" w14:textId="77777777" w:rsidR="00B611D1" w:rsidRDefault="00FB7689">
      <w:pPr>
        <w:pStyle w:val="Titre5"/>
        <w:numPr>
          <w:ilvl w:val="4"/>
          <w:numId w:val="12"/>
        </w:numPr>
        <w:rPr>
          <w:rFonts w:ascii="Times New Roman" w:hAnsi="Times New Roman" w:hint="default"/>
          <w:i/>
          <w:iCs/>
          <w:sz w:val="24"/>
          <w:szCs w:val="24"/>
          <w:lang w:val="fr-FR"/>
        </w:rPr>
      </w:pPr>
      <w:bookmarkStart w:id="208" w:name="_Toc201260197"/>
      <w:r>
        <w:rPr>
          <w:rFonts w:ascii="Times New Roman" w:hAnsi="Times New Roman" w:hint="default"/>
          <w:sz w:val="24"/>
          <w:szCs w:val="24"/>
          <w:lang w:val="fr-FR"/>
        </w:rPr>
        <w:t>Test de la coagulase</w:t>
      </w:r>
      <w:bookmarkEnd w:id="208"/>
    </w:p>
    <w:p w14:paraId="112F5E08" w14:textId="77777777" w:rsidR="00B611D1" w:rsidRDefault="00FB7689">
      <w:pPr>
        <w:spacing w:after="200" w:line="360" w:lineRule="auto"/>
        <w:jc w:val="both"/>
        <w:rPr>
          <w:b/>
          <w:bCs/>
          <w:lang w:val="fr-FR"/>
        </w:rPr>
      </w:pPr>
      <w:r>
        <w:rPr>
          <w:lang w:val="fr-FR"/>
        </w:rPr>
        <w:t xml:space="preserve">La coagulase, enzyme produite notamment par </w:t>
      </w:r>
      <w:r>
        <w:rPr>
          <w:rStyle w:val="Accentuation"/>
          <w:lang w:val="fr-FR"/>
        </w:rPr>
        <w:t>Staphylococcus aureus</w:t>
      </w:r>
      <w:r>
        <w:rPr>
          <w:lang w:val="fr-FR"/>
        </w:rPr>
        <w:t xml:space="preserve">, catalyse la coagulation du plasma en transformant le fibrinogène en fibrine </w:t>
      </w:r>
      <w:r>
        <w:rPr>
          <w:rFonts w:eastAsia="Calibri"/>
          <w:b/>
          <w:bCs/>
          <w:kern w:val="2"/>
          <w:lang w:val="fr" w:eastAsia="zh-CN" w:bidi="ar"/>
        </w:rPr>
        <w:fldChar w:fldCharType="begin"/>
      </w:r>
      <w:r>
        <w:rPr>
          <w:rFonts w:eastAsia="Calibri"/>
          <w:b/>
          <w:bCs/>
          <w:kern w:val="2"/>
          <w:lang w:val="fr-FR" w:eastAsia="zh-CN" w:bidi="ar"/>
        </w:rPr>
        <w:instrText xml:space="preserve"> ADDIN ZOTERO_ITEM CSL_CITATION {"citationID":"5wvq5Fj6","properties":{"formattedCitation":"(Rasamiravaka et al., 2015)","plainCitation":"(Rasamiravaka et al., 2015)","noteIndex":0},"citationItems":[{"id":367,"uris":["http://zotero.org/users/16279382/items/KNDER7AH"],"itemData":{"id":367,"type":"article-journal","abstract":"Objectives\nWe wanted to update the distribution of community-acquired uropathogens and to estimate their susceptibility profile to newly available antibiotics in Antananarivo (Madagascar).\nMaterials and methods\nWe conducted a 3-year preliminary study (2011–2013) on bacteria isolated from the urine of patients at the Laboratory of Training and Research in Medical Biology (Antananarivo).\nResults\nThree hundred and fifty-seven pathogens were isolated: 234 (65.55%) Gram-negative bacilli and 123 (34.45%) Gram-positive cocci. The most commonly isolated bacteria were Escherichia coli (89 strains) followed by Staphylococcus aureus (48 strains). Thirty-three percent of Gram-negative bacilli were resistant to 3CG. Forty percent of Klebsiella pneumoniae strains were significantly resistant to imipenem (P=0.01).\nConclusions\nThe increased resistance to newly available antibiotics and the increased rate of Gram-positive cocci strains require a drastic surveillance of antibiotic resistance to ensure appropriate empirical treatment.\nRésumé\nObjectif\nActualiser la répartition des bactéries uropathogènes communautaires et d’estimer leurs profils de sensibilité aux antibiotiques nouvellement disponibles à Antananarivo (Madagascar).\nMatériels et méthodes\nUne étude préliminaire de trois années (2011–2013) a été réalisée sur les bactéries isolées à partir de l’urine des patients au Laboratoire de formation et de recherche en biologie médicale (Antananarivo).\nRésultats\nTrois cent cinquante-sept souches dont 234 (65, 55 %) bacilles à Gram négatif et 123 (34, 45 %) cocci à Gram positif ont été isolées. Les bactéries les plus fréquemment isolées étaient Escherichia coli (89 souches), suivies par Staphylococcus aureus (48 souches). Trente-trois pour cent des bacilles à Gram négatif sont résistants aux C3G. Quarante pour cent des Klebsiella pneumoniae sont significativement résistant à l’imipénème (p=0,01).\nConclusion\nL’augmentation de l’antibiorésistance et de la proportion des souches de cocci Gram-positifs implique une surveillance permanente de la résistance aux antimicrobiens pour garantir un traitement empirique adapté.","container-title":"Médecine et Maladies Infectieuses","DOI":"10.1016/j.medmal.2015.03.006","ISSN":"0399-077X","issue":"5","journalAbbreviation":"Médecine et Maladies Infectieuses","page":"173-176","source":"ScienceDirect","title":"Changing profile and increasing antimicrobial resistance of uropathogenic bacteria in Madagascar","volume":"45","author":[{"family":"Rasamiravaka","given":"T."},{"family":"Shaista Sheila","given":"H. S. L."},{"family":"Rakotomavojaona","given":"T."},{"family":"Rakoto-Alson","given":"A. O."},{"family":"Rasamindrakotroka","given":"A."}],"issued":{"date-parts":[["2015",5,1]]}}}],"schema":"https://github.com/citation-style-language/schema/raw/master/csl-citation.json"} </w:instrText>
      </w:r>
      <w:r>
        <w:rPr>
          <w:rFonts w:eastAsia="Calibri"/>
          <w:b/>
          <w:bCs/>
          <w:kern w:val="2"/>
          <w:lang w:val="fr" w:eastAsia="zh-CN" w:bidi="ar"/>
        </w:rPr>
        <w:fldChar w:fldCharType="separate"/>
      </w:r>
      <w:r>
        <w:rPr>
          <w:rFonts w:eastAsia="Calibri"/>
          <w:b/>
          <w:bCs/>
          <w:kern w:val="2"/>
          <w:szCs w:val="22"/>
          <w:lang w:val="fr-FR" w:eastAsia="zh-CN" w:bidi="ar"/>
        </w:rPr>
        <w:t xml:space="preserve">(Rasamiravaka </w:t>
      </w:r>
      <w:r>
        <w:rPr>
          <w:rFonts w:eastAsia="Calibri"/>
          <w:b/>
          <w:bCs/>
          <w:i/>
          <w:iCs/>
          <w:kern w:val="2"/>
          <w:szCs w:val="22"/>
          <w:lang w:val="fr-FR" w:eastAsia="zh-CN" w:bidi="ar"/>
        </w:rPr>
        <w:t>et al</w:t>
      </w:r>
      <w:r>
        <w:rPr>
          <w:rFonts w:eastAsia="Calibri"/>
          <w:b/>
          <w:bCs/>
          <w:kern w:val="2"/>
          <w:szCs w:val="22"/>
          <w:lang w:val="fr-FR" w:eastAsia="zh-CN" w:bidi="ar"/>
        </w:rPr>
        <w:t>., 2015)</w:t>
      </w:r>
      <w:r>
        <w:rPr>
          <w:rFonts w:eastAsia="Calibri"/>
          <w:b/>
          <w:bCs/>
          <w:kern w:val="2"/>
          <w:lang w:val="fr" w:eastAsia="zh-CN" w:bidi="ar"/>
        </w:rPr>
        <w:fldChar w:fldCharType="end"/>
      </w:r>
      <w:r>
        <w:rPr>
          <w:rFonts w:eastAsia="Calibri"/>
          <w:b/>
          <w:bCs/>
          <w:kern w:val="2"/>
          <w:lang w:val="fr-FR" w:eastAsia="zh-CN" w:bidi="ar"/>
        </w:rPr>
        <w:t>.</w:t>
      </w:r>
      <w:r>
        <w:t xml:space="preserve"> </w:t>
      </w:r>
      <w:r>
        <w:rPr>
          <w:lang w:val="fr-FR"/>
        </w:rPr>
        <w:t xml:space="preserve">Ce test permet d’identifier </w:t>
      </w:r>
      <w:r>
        <w:rPr>
          <w:rStyle w:val="Accentuation"/>
          <w:lang w:val="fr-FR"/>
        </w:rPr>
        <w:t>Staphylococcus aureus</w:t>
      </w:r>
      <w:r>
        <w:rPr>
          <w:lang w:val="fr-FR"/>
        </w:rPr>
        <w:t xml:space="preserve"> en le différenciant des autres staphylocoques coagulase-négatifs.</w:t>
      </w:r>
    </w:p>
    <w:p w14:paraId="61370E1B" w14:textId="77777777" w:rsidR="00B611D1" w:rsidRDefault="00B611D1">
      <w:pPr>
        <w:spacing w:before="100" w:beforeAutospacing="1" w:after="100" w:afterAutospacing="1" w:line="360" w:lineRule="auto"/>
        <w:jc w:val="both"/>
        <w:rPr>
          <w:rFonts w:asciiTheme="majorBidi" w:hAnsiTheme="majorBidi" w:cstheme="majorBidi"/>
          <w:lang w:val="fr-FR"/>
        </w:rPr>
      </w:pPr>
    </w:p>
    <w:p w14:paraId="1824FA4D" w14:textId="77777777" w:rsidR="00B611D1" w:rsidRDefault="00FB7689">
      <w:pPr>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Procédure </w:t>
      </w:r>
    </w:p>
    <w:p w14:paraId="5DA3234E" w14:textId="77777777" w:rsidR="00B611D1" w:rsidRDefault="00FB7689">
      <w:pPr>
        <w:numPr>
          <w:ilvl w:val="0"/>
          <w:numId w:val="19"/>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Une colonie provenant de la gélose Chapman a été inoculée dans un tube contenant 0,5 ml de plasma sanguin humain stérile.</w:t>
      </w:r>
    </w:p>
    <w:p w14:paraId="568E3E2D" w14:textId="77777777" w:rsidR="00B611D1" w:rsidRDefault="00FB7689">
      <w:pPr>
        <w:numPr>
          <w:ilvl w:val="0"/>
          <w:numId w:val="19"/>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Le tube a été incubé à 37 °C.</w:t>
      </w:r>
    </w:p>
    <w:p w14:paraId="29F43232" w14:textId="77777777" w:rsidR="00B611D1" w:rsidRDefault="00FB7689">
      <w:pPr>
        <w:numPr>
          <w:ilvl w:val="0"/>
          <w:numId w:val="19"/>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L’apparition d’un caillot a été observée toutes les 2 heures, avec une lecture finale à 8 heures.</w:t>
      </w:r>
    </w:p>
    <w:p w14:paraId="18366695" w14:textId="77777777" w:rsidR="00B611D1" w:rsidRDefault="00FB7689">
      <w:pPr>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Interprétation </w:t>
      </w:r>
    </w:p>
    <w:p w14:paraId="7A0A215D" w14:textId="77777777" w:rsidR="00B611D1" w:rsidRDefault="00FB7689">
      <w:pPr>
        <w:numPr>
          <w:ilvl w:val="0"/>
          <w:numId w:val="20"/>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Formation de caillot → test coagulase positif.</w:t>
      </w:r>
    </w:p>
    <w:p w14:paraId="71AEF8AC" w14:textId="77777777" w:rsidR="00B611D1" w:rsidRDefault="00FB7689">
      <w:pPr>
        <w:numPr>
          <w:ilvl w:val="0"/>
          <w:numId w:val="20"/>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Absence de caillot → test coagulase négatif.</w:t>
      </w:r>
    </w:p>
    <w:p w14:paraId="6086E37B" w14:textId="77777777" w:rsidR="00B611D1" w:rsidRDefault="00FB7689">
      <w:pPr>
        <w:pStyle w:val="Titre5"/>
        <w:numPr>
          <w:ilvl w:val="4"/>
          <w:numId w:val="12"/>
        </w:numPr>
        <w:rPr>
          <w:rFonts w:ascii="Times New Roman" w:hAnsi="Times New Roman" w:hint="default"/>
          <w:i/>
          <w:iCs/>
          <w:sz w:val="24"/>
          <w:szCs w:val="24"/>
          <w:lang w:val="fr-FR"/>
        </w:rPr>
      </w:pPr>
      <w:bookmarkStart w:id="209" w:name="_Toc201260198"/>
      <w:r>
        <w:rPr>
          <w:rFonts w:ascii="Times New Roman" w:hAnsi="Times New Roman" w:hint="default"/>
          <w:sz w:val="24"/>
          <w:szCs w:val="24"/>
          <w:lang w:val="fr-FR"/>
        </w:rPr>
        <w:t>Identification biochimique par galeries API</w:t>
      </w:r>
      <w:bookmarkEnd w:id="209"/>
    </w:p>
    <w:p w14:paraId="31D1CF69" w14:textId="77777777" w:rsidR="00B611D1" w:rsidRDefault="00FB7689">
      <w:p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Les galeries API 20 E (pour entérobactéries et bacilles à Gram négatif) et API Staph (pour staphylocoques) ont été utilisées pour confirmer l’identification.</w:t>
      </w:r>
    </w:p>
    <w:p w14:paraId="590EADEF" w14:textId="77777777" w:rsidR="00B611D1" w:rsidRDefault="00FB7689">
      <w:pPr>
        <w:spacing w:before="100" w:beforeAutospacing="1" w:after="100" w:afterAutospacing="1" w:line="360" w:lineRule="auto"/>
        <w:jc w:val="both"/>
        <w:rPr>
          <w:rFonts w:asciiTheme="majorBidi" w:hAnsiTheme="majorBidi" w:cstheme="majorBidi"/>
          <w:lang w:eastAsia="zh-CN"/>
        </w:rPr>
      </w:pPr>
      <w:r>
        <w:rPr>
          <w:rStyle w:val="lev"/>
          <w:rFonts w:asciiTheme="majorBidi" w:hAnsiTheme="majorBidi" w:cstheme="majorBidi"/>
        </w:rPr>
        <w:t xml:space="preserve">Procédure </w:t>
      </w:r>
    </w:p>
    <w:p w14:paraId="23338BE8" w14:textId="77777777" w:rsidR="00B611D1" w:rsidRDefault="00FB7689">
      <w:pPr>
        <w:numPr>
          <w:ilvl w:val="0"/>
          <w:numId w:val="21"/>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Le fond de la boîte d’incubation a été humidifié avec de l’eau distillée, puis la galerie a été placée stérilement dans la boîte.</w:t>
      </w:r>
    </w:p>
    <w:p w14:paraId="0B8B1435" w14:textId="77777777" w:rsidR="00B611D1" w:rsidRDefault="00FB7689">
      <w:pPr>
        <w:numPr>
          <w:ilvl w:val="0"/>
          <w:numId w:val="21"/>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Une suspension bactérienne a été préparée à partir d’une culture pure de 18 à 24 heures en diluant plusieurs colonies dans 5 ml d’eau distillée stérile pour obtenir une turbidité équivalente à 0,5 McFarland.</w:t>
      </w:r>
    </w:p>
    <w:p w14:paraId="7192EF52" w14:textId="77777777" w:rsidR="00B611D1" w:rsidRDefault="00FB7689">
      <w:pPr>
        <w:numPr>
          <w:ilvl w:val="0"/>
          <w:numId w:val="21"/>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À l’aide d’une pipette Pasteur stérile, la suspension a été inoculée dans les microtubes des galeries en évitant la formation de bulles d’air.</w:t>
      </w:r>
    </w:p>
    <w:p w14:paraId="2CF4143A" w14:textId="77777777" w:rsidR="00B611D1" w:rsidRDefault="00FB7689">
      <w:pPr>
        <w:numPr>
          <w:ilvl w:val="0"/>
          <w:numId w:val="21"/>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Pour les tests ADH, ODC, LDC, H₂S et urée (Galerie API 20 E) et ADH, URE (Galerie STAPH), les cupules ont été recouvertes d’huile de vaseline afin de créer des conditions anaérobies.</w:t>
      </w:r>
    </w:p>
    <w:p w14:paraId="2AB8BD3A" w14:textId="77777777" w:rsidR="00B611D1" w:rsidRDefault="00FB7689">
      <w:pPr>
        <w:numPr>
          <w:ilvl w:val="0"/>
          <w:numId w:val="21"/>
        </w:numPr>
        <w:spacing w:before="100" w:beforeAutospacing="1" w:after="100" w:afterAutospacing="1" w:line="360" w:lineRule="auto"/>
        <w:jc w:val="both"/>
        <w:rPr>
          <w:rFonts w:asciiTheme="majorBidi" w:hAnsiTheme="majorBidi" w:cstheme="majorBidi"/>
          <w:lang w:val="fr-FR"/>
        </w:rPr>
      </w:pPr>
      <w:r>
        <w:rPr>
          <w:rFonts w:asciiTheme="majorBidi" w:hAnsiTheme="majorBidi" w:cstheme="majorBidi"/>
          <w:lang w:val="fr-FR"/>
        </w:rPr>
        <w:t>Après incubation, les résultats ont été interprétés en fonction des changements de couleur spontanés ou après ajout de réactifs spécifiques, conformément au protocole du fabricant.</w:t>
      </w:r>
    </w:p>
    <w:p w14:paraId="0C4030D7" w14:textId="77777777" w:rsidR="00B611D1" w:rsidRDefault="00FB7689">
      <w:pPr>
        <w:pStyle w:val="Titre5"/>
        <w:numPr>
          <w:ilvl w:val="4"/>
          <w:numId w:val="12"/>
        </w:numPr>
        <w:rPr>
          <w:rFonts w:ascii="Times New Roman" w:hAnsi="Times New Roman" w:hint="default"/>
          <w:sz w:val="24"/>
          <w:szCs w:val="24"/>
          <w:lang w:val="fr-FR"/>
        </w:rPr>
      </w:pPr>
      <w:bookmarkStart w:id="210" w:name="_Toc201260199"/>
      <w:r>
        <w:rPr>
          <w:rFonts w:ascii="Times New Roman" w:hAnsi="Times New Roman" w:hint="default"/>
          <w:sz w:val="24"/>
          <w:szCs w:val="24"/>
          <w:lang w:val="fr-FR"/>
        </w:rPr>
        <w:t>Étude de la sensibilité aux Antibiotiques</w:t>
      </w:r>
      <w:bookmarkEnd w:id="210"/>
    </w:p>
    <w:p w14:paraId="159E689F" w14:textId="77777777" w:rsidR="00B611D1" w:rsidRDefault="00B611D1">
      <w:pPr>
        <w:jc w:val="both"/>
        <w:rPr>
          <w:rFonts w:eastAsia="TimesNewRomanPS-BoldMT"/>
          <w:color w:val="000000"/>
          <w:lang w:val="fr-FR" w:eastAsia="zh-CN"/>
        </w:rPr>
      </w:pPr>
    </w:p>
    <w:p w14:paraId="79205E4B" w14:textId="77777777" w:rsidR="00B611D1" w:rsidRDefault="00FB7689">
      <w:pPr>
        <w:spacing w:line="360" w:lineRule="auto"/>
        <w:jc w:val="both"/>
        <w:rPr>
          <w:lang w:val="fr-FR" w:eastAsia="zh-CN"/>
        </w:rPr>
      </w:pPr>
      <w:r>
        <w:rPr>
          <w:lang w:val="fr-FR"/>
        </w:rPr>
        <w:t xml:space="preserve">Les tests de sensibilité aux antibiotiques ont été réalisés selon la méthode de diffusion en gélose de Kirby-Bauer et interprétés conformément aux recommandations du Comité de l’Antibiogramme de la Société Française de Microbiologie </w:t>
      </w:r>
      <w:r>
        <w:rPr>
          <w:b/>
          <w:bCs/>
          <w:lang w:val="fr-FR"/>
        </w:rPr>
        <w:t xml:space="preserve">(CA-SFM, 2013). </w:t>
      </w:r>
    </w:p>
    <w:p w14:paraId="69CE6ED6" w14:textId="77777777" w:rsidR="00B611D1" w:rsidRDefault="00FB7689">
      <w:pPr>
        <w:spacing w:line="360" w:lineRule="auto"/>
        <w:jc w:val="both"/>
        <w:rPr>
          <w:rFonts w:eastAsia="TimesNewRomanPS-BoldMT"/>
          <w:b/>
          <w:bCs/>
          <w:color w:val="000000"/>
          <w:lang w:val="fr-FR" w:eastAsia="zh-CN"/>
        </w:rPr>
      </w:pPr>
      <w:r>
        <w:rPr>
          <w:lang w:val="fr-FR"/>
        </w:rPr>
        <w:t xml:space="preserve">Une suspension bactérienne standardisée (équivalente au 0,5 de l’échelle de McFarland) a été ensemencée sur un milieu Mueller-Hinton Agar (MHA). Des disques de papier imprégnés d’une concentration standardisée d’antibiotiques ont ensuite été appliqués à la surface du milieu </w:t>
      </w:r>
      <w:r>
        <w:rPr>
          <w:rFonts w:eastAsia="Calibri"/>
          <w:b/>
          <w:bCs/>
          <w:lang w:val="fr" w:bidi="ar"/>
        </w:rPr>
        <w:fldChar w:fldCharType="begin"/>
      </w:r>
      <w:r>
        <w:rPr>
          <w:rFonts w:eastAsia="Calibri"/>
          <w:b/>
          <w:bCs/>
          <w:lang w:val="fr-FR" w:bidi="ar"/>
        </w:rPr>
        <w:instrText xml:space="preserve"> ADDIN ZOTERO_ITEM CSL_CITATION {"citationID":"sj1eMdCu","properties":{"formattedCitation":"(Reller et al., 2009)","plainCitation":"(Reller et al., 2009)","noteIndex":0},"citationItems":[{"id":158,"uris":["http://zotero.org/users/16279382/items/DLXGXCA8"],"itemData":{"id":158,"type":"article-journal","abstract":"An important task of the clinical microbiology laboratory is the performance of antimicrobial susceptibility testing of significant bacterial isolates. The goals of testing are to detect possible drug resistance in common pathogens and to assure susceptibility to drugs of choice for particular infections. The most widely used testing methods include broth microdilution or rapid automated instrument methods that use commercially marketed materials and devices. Manual methods that provide flexibility and possible cost savings include the disk diffusion and gradient diffusion methods. Each method has strengths and weaknesses, including organisms that may be accurately tested by the method. Some methods provide quantitative results (eg, minimum inhibitory concentration), and all provide qualitative assessments using the categories susceptible, intermediate, or resistant. In general, current testing methods provide accurate detection of common antimicrobial resistance mechanisms. However, newer or emerging mechanisms of resistance require constant vigilance regarding the ability of each test method to accurately detect resistance.","container-title":"Clinical Infectious Diseases","DOI":"10.1086/647952","ISSN":"1058-4838","issue":"11","journalAbbreviation":"Clinical Infectious Diseases","page":"1749-1755","source":"Silverchair","title":"Antimicrobial Susceptibility Testing: A Review of General Principles and Contemporary Practices","title-short":"Antimicrobial Susceptibility Testing","volume":"49","author":[{"family":"Reller","given":"L. Barth"},{"family":"Weinstein","given":"Melvin"},{"family":"Jorgensen","given":"James H."},{"family":"Ferraro","given":"Mary Jane"}],"issued":{"date-parts":[["2009",12,1]]}}}],"schema":"https://github.com/citation-style-language/schema/raw/master/csl-citation.json"} </w:instrText>
      </w:r>
      <w:r>
        <w:rPr>
          <w:rFonts w:eastAsia="Calibri"/>
          <w:b/>
          <w:bCs/>
          <w:lang w:val="fr" w:bidi="ar"/>
        </w:rPr>
        <w:fldChar w:fldCharType="separate"/>
      </w:r>
      <w:r>
        <w:rPr>
          <w:rFonts w:eastAsia="Calibri"/>
          <w:b/>
          <w:bCs/>
          <w:szCs w:val="22"/>
          <w:lang w:val="fr-FR" w:bidi="ar"/>
        </w:rPr>
        <w:t xml:space="preserve">(Reller </w:t>
      </w:r>
      <w:r>
        <w:rPr>
          <w:rFonts w:eastAsia="Calibri"/>
          <w:b/>
          <w:bCs/>
          <w:i/>
          <w:iCs/>
          <w:szCs w:val="22"/>
          <w:lang w:val="fr-FR" w:bidi="ar"/>
        </w:rPr>
        <w:t>et al</w:t>
      </w:r>
      <w:r>
        <w:rPr>
          <w:rFonts w:eastAsia="Calibri"/>
          <w:b/>
          <w:bCs/>
          <w:szCs w:val="22"/>
          <w:lang w:val="fr-FR" w:bidi="ar"/>
        </w:rPr>
        <w:t>., 2009)</w:t>
      </w:r>
      <w:r>
        <w:rPr>
          <w:rFonts w:eastAsia="Calibri"/>
          <w:b/>
          <w:bCs/>
          <w:lang w:val="fr" w:bidi="ar"/>
        </w:rPr>
        <w:fldChar w:fldCharType="end"/>
      </w:r>
      <w:r>
        <w:rPr>
          <w:b/>
          <w:bCs/>
          <w:lang w:val="fr-FR"/>
        </w:rPr>
        <w:t>.</w:t>
      </w:r>
      <w:r>
        <w:rPr>
          <w:lang w:val="fr-FR"/>
        </w:rPr>
        <w:t xml:space="preserve"> Après incubation à 37 °C pendant 18 à 24 heures, les diamètres des zones d’inhibition ont été mesurés avec précision. Les souches ont été classées comme sensibles (S) ou résistantes (R) selon les seuils d’interprétation définis par le CA-SFM. La liste des antibiotiques testés figure en </w:t>
      </w:r>
      <w:r>
        <w:rPr>
          <w:b/>
          <w:bCs/>
          <w:lang w:val="fr-FR"/>
        </w:rPr>
        <w:t>Annexe 04.</w:t>
      </w:r>
    </w:p>
    <w:p w14:paraId="2F7EF0DE" w14:textId="77777777" w:rsidR="00B611D1" w:rsidRDefault="00B611D1">
      <w:pPr>
        <w:rPr>
          <w:rFonts w:asciiTheme="majorBidi" w:hAnsiTheme="majorBidi" w:cstheme="majorBidi"/>
          <w:i/>
          <w:iCs/>
          <w:lang w:val="fr-FR" w:eastAsia="zh-CN"/>
        </w:rPr>
      </w:pPr>
    </w:p>
    <w:p w14:paraId="33EB486B" w14:textId="77777777" w:rsidR="00B611D1" w:rsidRDefault="00B611D1">
      <w:pPr>
        <w:spacing w:line="360" w:lineRule="auto"/>
        <w:rPr>
          <w:rFonts w:eastAsia="TimesNewRomanPS-BoldMT"/>
          <w:b/>
          <w:bCs/>
          <w:color w:val="000000"/>
          <w:sz w:val="28"/>
          <w:szCs w:val="28"/>
          <w:lang w:val="fr-FR" w:eastAsia="zh-CN" w:bidi="ar"/>
        </w:rPr>
      </w:pPr>
    </w:p>
    <w:p w14:paraId="64460D8E" w14:textId="77777777" w:rsidR="00B611D1" w:rsidRDefault="00B611D1">
      <w:pPr>
        <w:spacing w:line="360" w:lineRule="auto"/>
        <w:rPr>
          <w:rFonts w:eastAsia="TimesNewRomanPS-BoldMT"/>
          <w:b/>
          <w:bCs/>
          <w:color w:val="000000"/>
          <w:sz w:val="28"/>
          <w:szCs w:val="28"/>
          <w:lang w:val="fr-FR" w:eastAsia="zh-CN" w:bidi="ar"/>
        </w:rPr>
      </w:pPr>
    </w:p>
    <w:p w14:paraId="6E82F4DF" w14:textId="77777777" w:rsidR="00B611D1" w:rsidRDefault="00B611D1">
      <w:pPr>
        <w:spacing w:line="360" w:lineRule="auto"/>
        <w:rPr>
          <w:rFonts w:eastAsia="TimesNewRomanPS-BoldMT"/>
          <w:b/>
          <w:bCs/>
          <w:color w:val="000000"/>
          <w:sz w:val="28"/>
          <w:szCs w:val="28"/>
          <w:lang w:val="fr-FR" w:eastAsia="zh-CN" w:bidi="ar"/>
        </w:rPr>
      </w:pPr>
    </w:p>
    <w:p w14:paraId="30F90B9E" w14:textId="77777777" w:rsidR="00B611D1" w:rsidRDefault="00B611D1">
      <w:pPr>
        <w:spacing w:line="360" w:lineRule="auto"/>
        <w:rPr>
          <w:rFonts w:eastAsia="TimesNewRomanPS-BoldMT"/>
          <w:b/>
          <w:bCs/>
          <w:color w:val="000000"/>
          <w:sz w:val="28"/>
          <w:szCs w:val="28"/>
          <w:lang w:val="fr-FR" w:eastAsia="zh-CN" w:bidi="ar"/>
        </w:rPr>
      </w:pPr>
    </w:p>
    <w:p w14:paraId="5D3F88EF" w14:textId="77777777" w:rsidR="00B611D1" w:rsidRDefault="00B611D1">
      <w:pPr>
        <w:spacing w:line="360" w:lineRule="auto"/>
        <w:rPr>
          <w:rFonts w:eastAsia="TimesNewRomanPS-BoldMT"/>
          <w:b/>
          <w:bCs/>
          <w:color w:val="000000"/>
          <w:sz w:val="28"/>
          <w:szCs w:val="28"/>
          <w:lang w:val="fr-FR" w:eastAsia="zh-CN" w:bidi="ar"/>
        </w:rPr>
      </w:pPr>
    </w:p>
    <w:p w14:paraId="69751F2D" w14:textId="77777777" w:rsidR="00B611D1" w:rsidRDefault="00B611D1">
      <w:pPr>
        <w:spacing w:line="360" w:lineRule="auto"/>
        <w:rPr>
          <w:rFonts w:eastAsia="TimesNewRomanPS-BoldMT"/>
          <w:b/>
          <w:bCs/>
          <w:color w:val="000000"/>
          <w:sz w:val="28"/>
          <w:szCs w:val="28"/>
          <w:lang w:val="fr-FR" w:eastAsia="zh-CN" w:bidi="ar"/>
        </w:rPr>
      </w:pPr>
    </w:p>
    <w:p w14:paraId="4D39DFD5" w14:textId="77777777" w:rsidR="00B611D1" w:rsidRDefault="00B611D1">
      <w:pPr>
        <w:spacing w:line="360" w:lineRule="auto"/>
        <w:rPr>
          <w:rFonts w:eastAsia="TimesNewRomanPS-BoldMT"/>
          <w:b/>
          <w:bCs/>
          <w:color w:val="000000"/>
          <w:sz w:val="28"/>
          <w:szCs w:val="28"/>
          <w:lang w:val="fr-FR" w:eastAsia="zh-CN" w:bidi="ar"/>
        </w:rPr>
      </w:pPr>
    </w:p>
    <w:p w14:paraId="404CCA17" w14:textId="77777777" w:rsidR="00B611D1" w:rsidRDefault="00B611D1">
      <w:pPr>
        <w:spacing w:line="360" w:lineRule="auto"/>
        <w:rPr>
          <w:rFonts w:eastAsia="TimesNewRomanPS-BoldMT"/>
          <w:b/>
          <w:bCs/>
          <w:color w:val="000000"/>
          <w:sz w:val="28"/>
          <w:szCs w:val="28"/>
          <w:lang w:val="fr-FR" w:eastAsia="zh-CN" w:bidi="ar"/>
        </w:rPr>
      </w:pPr>
    </w:p>
    <w:p w14:paraId="5CF1BAC8" w14:textId="77777777" w:rsidR="00B611D1" w:rsidRDefault="00B611D1">
      <w:pPr>
        <w:spacing w:line="360" w:lineRule="auto"/>
        <w:rPr>
          <w:rFonts w:eastAsia="TimesNewRomanPS-BoldMT"/>
          <w:b/>
          <w:bCs/>
          <w:color w:val="000000"/>
          <w:sz w:val="28"/>
          <w:szCs w:val="28"/>
          <w:lang w:val="fr-FR" w:eastAsia="zh-CN" w:bidi="ar"/>
        </w:rPr>
      </w:pPr>
    </w:p>
    <w:p w14:paraId="4097701C" w14:textId="77777777" w:rsidR="00B611D1" w:rsidRDefault="00B611D1">
      <w:pPr>
        <w:spacing w:line="360" w:lineRule="auto"/>
        <w:rPr>
          <w:rFonts w:eastAsia="TimesNewRomanPS-BoldMT"/>
          <w:b/>
          <w:bCs/>
          <w:color w:val="000000"/>
          <w:sz w:val="28"/>
          <w:szCs w:val="28"/>
          <w:lang w:val="fr-FR" w:eastAsia="zh-CN" w:bidi="ar"/>
        </w:rPr>
      </w:pPr>
    </w:p>
    <w:p w14:paraId="0CB4B9C4" w14:textId="77777777" w:rsidR="00B611D1" w:rsidRDefault="00B611D1">
      <w:pPr>
        <w:spacing w:line="360" w:lineRule="auto"/>
        <w:rPr>
          <w:rFonts w:eastAsia="TimesNewRomanPS-BoldMT"/>
          <w:b/>
          <w:bCs/>
          <w:color w:val="000000"/>
          <w:sz w:val="28"/>
          <w:szCs w:val="28"/>
          <w:lang w:val="fr-FR" w:eastAsia="zh-CN" w:bidi="ar"/>
        </w:rPr>
      </w:pPr>
    </w:p>
    <w:p w14:paraId="0C4754A5" w14:textId="77777777" w:rsidR="00B611D1" w:rsidRDefault="00B611D1">
      <w:pPr>
        <w:spacing w:line="360" w:lineRule="auto"/>
        <w:rPr>
          <w:rFonts w:eastAsia="TimesNewRomanPS-BoldMT"/>
          <w:b/>
          <w:bCs/>
          <w:color w:val="000000"/>
          <w:sz w:val="28"/>
          <w:szCs w:val="28"/>
          <w:lang w:val="fr-FR" w:eastAsia="zh-CN" w:bidi="ar"/>
        </w:rPr>
      </w:pPr>
    </w:p>
    <w:p w14:paraId="2786F983" w14:textId="77777777" w:rsidR="00B611D1" w:rsidRDefault="00B611D1">
      <w:pPr>
        <w:spacing w:line="360" w:lineRule="auto"/>
        <w:rPr>
          <w:rFonts w:eastAsia="TimesNewRomanPS-BoldMT"/>
          <w:b/>
          <w:bCs/>
          <w:color w:val="000000"/>
          <w:sz w:val="28"/>
          <w:szCs w:val="28"/>
          <w:lang w:val="fr-FR" w:eastAsia="zh-CN" w:bidi="ar"/>
        </w:rPr>
      </w:pPr>
    </w:p>
    <w:p w14:paraId="001ED994" w14:textId="77777777" w:rsidR="00B611D1" w:rsidRDefault="00B611D1">
      <w:pPr>
        <w:spacing w:line="360" w:lineRule="auto"/>
        <w:rPr>
          <w:rFonts w:eastAsia="TimesNewRomanPS-BoldMT"/>
          <w:b/>
          <w:bCs/>
          <w:color w:val="000000"/>
          <w:sz w:val="28"/>
          <w:szCs w:val="28"/>
          <w:lang w:val="fr-FR" w:eastAsia="zh-CN" w:bidi="ar"/>
        </w:rPr>
      </w:pPr>
    </w:p>
    <w:p w14:paraId="3A8DC514" w14:textId="77777777" w:rsidR="00B611D1" w:rsidRDefault="00B611D1">
      <w:pPr>
        <w:spacing w:line="360" w:lineRule="auto"/>
        <w:rPr>
          <w:rFonts w:eastAsia="TimesNewRomanPS-BoldMT"/>
          <w:b/>
          <w:bCs/>
          <w:color w:val="000000"/>
          <w:sz w:val="28"/>
          <w:szCs w:val="28"/>
          <w:lang w:val="fr-FR" w:eastAsia="zh-CN" w:bidi="ar"/>
        </w:rPr>
      </w:pPr>
    </w:p>
    <w:p w14:paraId="6BCE6096" w14:textId="77777777" w:rsidR="00B611D1" w:rsidRDefault="00B611D1">
      <w:pPr>
        <w:spacing w:line="360" w:lineRule="auto"/>
        <w:rPr>
          <w:rFonts w:eastAsia="TimesNewRomanPS-BoldMT"/>
          <w:b/>
          <w:bCs/>
          <w:color w:val="000000"/>
          <w:sz w:val="28"/>
          <w:szCs w:val="28"/>
          <w:lang w:val="fr-FR" w:eastAsia="zh-CN" w:bidi="ar"/>
        </w:rPr>
      </w:pPr>
    </w:p>
    <w:p w14:paraId="675C5E4A" w14:textId="77777777" w:rsidR="00B611D1" w:rsidRDefault="00B611D1">
      <w:pPr>
        <w:spacing w:line="360" w:lineRule="auto"/>
        <w:rPr>
          <w:rFonts w:eastAsia="TimesNewRomanPS-BoldMT"/>
          <w:b/>
          <w:bCs/>
          <w:color w:val="000000"/>
          <w:sz w:val="28"/>
          <w:szCs w:val="28"/>
          <w:lang w:val="fr-FR" w:eastAsia="zh-CN" w:bidi="ar"/>
        </w:rPr>
      </w:pPr>
    </w:p>
    <w:p w14:paraId="5D9A2A34" w14:textId="77777777" w:rsidR="00B611D1" w:rsidRDefault="00B611D1">
      <w:pPr>
        <w:spacing w:line="360" w:lineRule="auto"/>
        <w:rPr>
          <w:rFonts w:eastAsia="TimesNewRomanPS-BoldMT"/>
          <w:b/>
          <w:bCs/>
          <w:color w:val="000000"/>
          <w:sz w:val="28"/>
          <w:szCs w:val="28"/>
          <w:lang w:val="fr-FR" w:eastAsia="zh-CN" w:bidi="ar"/>
        </w:rPr>
      </w:pPr>
    </w:p>
    <w:p w14:paraId="7E51E740" w14:textId="77777777" w:rsidR="00B611D1" w:rsidRDefault="00B611D1">
      <w:pPr>
        <w:spacing w:line="360" w:lineRule="auto"/>
        <w:rPr>
          <w:rFonts w:eastAsia="TimesNewRomanPS-BoldMT"/>
          <w:b/>
          <w:bCs/>
          <w:color w:val="000000"/>
          <w:sz w:val="28"/>
          <w:szCs w:val="28"/>
          <w:lang w:val="fr-FR" w:eastAsia="zh-CN" w:bidi="ar"/>
        </w:rPr>
      </w:pPr>
    </w:p>
    <w:p w14:paraId="272184B4" w14:textId="77777777" w:rsidR="00B611D1" w:rsidRDefault="00B611D1">
      <w:pPr>
        <w:spacing w:line="360" w:lineRule="auto"/>
        <w:rPr>
          <w:rFonts w:eastAsia="TimesNewRomanPS-BoldMT"/>
          <w:b/>
          <w:bCs/>
          <w:color w:val="000000"/>
          <w:sz w:val="28"/>
          <w:szCs w:val="28"/>
          <w:lang w:val="fr-FR" w:eastAsia="zh-CN" w:bidi="ar"/>
        </w:rPr>
      </w:pPr>
    </w:p>
    <w:p w14:paraId="4BECAA02" w14:textId="77777777" w:rsidR="00B611D1" w:rsidRDefault="00B611D1">
      <w:pPr>
        <w:spacing w:line="360" w:lineRule="auto"/>
        <w:rPr>
          <w:rFonts w:eastAsia="TimesNewRomanPS-BoldMT"/>
          <w:b/>
          <w:bCs/>
          <w:color w:val="000000"/>
          <w:sz w:val="28"/>
          <w:szCs w:val="28"/>
          <w:lang w:val="fr-FR" w:eastAsia="zh-CN" w:bidi="ar"/>
        </w:rPr>
      </w:pPr>
    </w:p>
    <w:p w14:paraId="5142E68B" w14:textId="77777777" w:rsidR="00B611D1" w:rsidRDefault="00B611D1">
      <w:pPr>
        <w:spacing w:line="360" w:lineRule="auto"/>
        <w:rPr>
          <w:rFonts w:eastAsia="TimesNewRomanPS-BoldMT"/>
          <w:b/>
          <w:bCs/>
          <w:color w:val="000000"/>
          <w:sz w:val="28"/>
          <w:szCs w:val="28"/>
          <w:lang w:val="fr-FR" w:eastAsia="zh-CN" w:bidi="ar"/>
        </w:rPr>
      </w:pPr>
    </w:p>
    <w:p w14:paraId="0E9337D8" w14:textId="77777777" w:rsidR="00B611D1" w:rsidRDefault="00B611D1">
      <w:pPr>
        <w:spacing w:line="360" w:lineRule="auto"/>
        <w:rPr>
          <w:rFonts w:eastAsia="TimesNewRomanPS-BoldMT"/>
          <w:b/>
          <w:bCs/>
          <w:color w:val="000000"/>
          <w:sz w:val="28"/>
          <w:szCs w:val="28"/>
          <w:lang w:val="fr-FR" w:eastAsia="zh-CN" w:bidi="ar"/>
        </w:rPr>
      </w:pPr>
    </w:p>
    <w:p w14:paraId="40D208AD" w14:textId="77777777" w:rsidR="00B611D1" w:rsidRDefault="00B611D1">
      <w:pPr>
        <w:spacing w:line="360" w:lineRule="auto"/>
        <w:rPr>
          <w:rFonts w:eastAsia="TimesNewRomanPS-BoldMT"/>
          <w:b/>
          <w:bCs/>
          <w:color w:val="000000"/>
          <w:sz w:val="28"/>
          <w:szCs w:val="28"/>
          <w:lang w:val="fr-FR" w:eastAsia="zh-CN" w:bidi="ar"/>
        </w:rPr>
      </w:pPr>
    </w:p>
    <w:p w14:paraId="54A398F5" w14:textId="77777777" w:rsidR="00B611D1" w:rsidRDefault="00B611D1">
      <w:pPr>
        <w:spacing w:line="360" w:lineRule="auto"/>
        <w:rPr>
          <w:rFonts w:eastAsia="TimesNewRomanPS-BoldMT"/>
          <w:b/>
          <w:bCs/>
          <w:color w:val="000000"/>
          <w:sz w:val="28"/>
          <w:szCs w:val="28"/>
          <w:lang w:val="fr-FR" w:eastAsia="zh-CN" w:bidi="ar"/>
        </w:rPr>
      </w:pPr>
    </w:p>
    <w:p w14:paraId="232FCD1E" w14:textId="77777777" w:rsidR="00B611D1" w:rsidRDefault="00FB7689">
      <w:pPr>
        <w:pStyle w:val="Titre2"/>
        <w:numPr>
          <w:ilvl w:val="1"/>
          <w:numId w:val="12"/>
        </w:numPr>
        <w:spacing w:line="360" w:lineRule="auto"/>
        <w:rPr>
          <w:rFonts w:eastAsia="TimesNewRomanPS-BoldMT"/>
          <w:lang w:val="fr-FR" w:eastAsia="zh-CN" w:bidi="ar"/>
        </w:rPr>
      </w:pPr>
      <w:r>
        <w:rPr>
          <w:rFonts w:eastAsia="TimesNewRomanPS-BoldMT"/>
          <w:lang w:val="fr-FR" w:eastAsia="zh-CN" w:bidi="ar"/>
        </w:rPr>
        <w:t xml:space="preserve"> </w:t>
      </w:r>
      <w:bookmarkStart w:id="211" w:name="_Toc201260200"/>
      <w:r>
        <w:rPr>
          <w:rFonts w:eastAsia="TimesNewRomanPS-BoldMT"/>
          <w:lang w:val="fr-FR" w:eastAsia="zh-CN" w:bidi="ar"/>
        </w:rPr>
        <w:t>Résultats</w:t>
      </w:r>
      <w:bookmarkEnd w:id="211"/>
    </w:p>
    <w:p w14:paraId="7BDCB0C4" w14:textId="77777777" w:rsidR="00B611D1" w:rsidRDefault="00FB7689">
      <w:pPr>
        <w:pStyle w:val="Titre3"/>
        <w:numPr>
          <w:ilvl w:val="2"/>
          <w:numId w:val="12"/>
        </w:numPr>
        <w:spacing w:line="360" w:lineRule="auto"/>
        <w:rPr>
          <w:rFonts w:eastAsia="TimesNewRomanPS-BoldMT"/>
          <w:sz w:val="28"/>
          <w:szCs w:val="28"/>
          <w:lang w:val="fr-FR" w:eastAsia="zh-CN" w:bidi="ar"/>
        </w:rPr>
      </w:pPr>
      <w:bookmarkStart w:id="212" w:name="_Toc201260201"/>
      <w:r>
        <w:rPr>
          <w:rFonts w:eastAsia="TimesNewRomanPS-BoldMT"/>
          <w:sz w:val="28"/>
          <w:szCs w:val="28"/>
          <w:lang w:val="fr-FR" w:eastAsia="zh-CN"/>
        </w:rPr>
        <w:t>Résultats de l’enrichissement</w:t>
      </w:r>
      <w:bookmarkEnd w:id="212"/>
    </w:p>
    <w:p w14:paraId="5C764A3C" w14:textId="77777777" w:rsidR="00B611D1" w:rsidRDefault="00FB7689">
      <w:pPr>
        <w:spacing w:line="360" w:lineRule="auto"/>
        <w:jc w:val="both"/>
        <w:rPr>
          <w:rFonts w:eastAsia="SimSun"/>
          <w:lang w:val="fr-FR"/>
        </w:rPr>
      </w:pPr>
      <w:r>
        <w:rPr>
          <w:rFonts w:eastAsia="SimSun"/>
          <w:lang w:val="fr-FR"/>
        </w:rPr>
        <w:t xml:space="preserve">Au total, 13 prélèvements ont été réalisés </w:t>
      </w:r>
      <w:r>
        <w:rPr>
          <w:lang w:val="fr-FR"/>
        </w:rPr>
        <w:t>au cours de deux journées de collecte, les 19 février et 2 mars 2025</w:t>
      </w:r>
      <w:r>
        <w:rPr>
          <w:rFonts w:eastAsia="SimSun"/>
          <w:lang w:val="fr-FR"/>
        </w:rPr>
        <w:t>, au sein du service d’urgence de l’hôpital Les Sœurs Bedj</w:t>
      </w:r>
      <w:r>
        <w:rPr>
          <w:rFonts w:eastAsia="SimSun" w:hint="eastAsia"/>
          <w:lang w:val="fr-FR" w:eastAsia="zh-CN"/>
        </w:rPr>
        <w:t xml:space="preserve"> </w:t>
      </w:r>
      <w:r>
        <w:rPr>
          <w:lang w:val="fr-FR"/>
        </w:rPr>
        <w:t>(wilaya de Chlef)</w:t>
      </w:r>
      <w:r>
        <w:rPr>
          <w:rFonts w:eastAsia="SimSun"/>
          <w:lang w:val="fr-FR"/>
        </w:rPr>
        <w:t>. Après incubation dans le bouillon nutritif, une observation macroscopique a permis d’évaluer la croissance bactérienne par la présence ou l’absence de turbidité.</w:t>
      </w:r>
    </w:p>
    <w:p w14:paraId="410AC387" w14:textId="77777777" w:rsidR="00B611D1" w:rsidRDefault="00FB7689">
      <w:pPr>
        <w:spacing w:line="360" w:lineRule="auto"/>
        <w:jc w:val="both"/>
        <w:rPr>
          <w:rFonts w:eastAsia="SimSun"/>
          <w:lang w:val="fr-FR" w:eastAsia="zh-CN"/>
        </w:rPr>
      </w:pPr>
      <w:r>
        <w:rPr>
          <w:rFonts w:eastAsia="SimSun"/>
          <w:lang w:val="fr-FR"/>
        </w:rPr>
        <w:t xml:space="preserve">Parmi ces échantillons, 12 ont présenté une turbidité visible </w:t>
      </w:r>
      <w:r>
        <w:rPr>
          <w:rFonts w:eastAsia="SimSun"/>
          <w:b/>
          <w:bCs/>
          <w:lang w:val="fr-FR"/>
        </w:rPr>
        <w:t>(Figue 9)</w:t>
      </w:r>
      <w:r>
        <w:rPr>
          <w:rFonts w:eastAsia="SimSun"/>
          <w:lang w:val="fr-FR"/>
        </w:rPr>
        <w:t>, indiquant une croissance microbienne positive, tandis qu’un seul échantillon est resté clair, témoignant de l’absence de croissance apparente. Ces résultats suggèrent une forte contamination bactérienne des surfaces hospitalières étudiées.</w:t>
      </w:r>
      <w:r>
        <w:rPr>
          <w:rFonts w:eastAsia="SimSun"/>
          <w:lang w:val="fr-FR" w:eastAsia="zh-CN"/>
        </w:rPr>
        <w:t xml:space="preserve"> </w:t>
      </w:r>
      <w:r>
        <w:rPr>
          <w:lang w:val="fr-FR"/>
        </w:rPr>
        <w:t xml:space="preserve">Après l’étape initiale d’enrichissement en bouillon, une seconde étape a été réalisée par ensemencement sur gélose au sang, afin de favoriser la croissance de bactéries exigeantes et d’évaluer une éventuelle activité hémolytique. Les résultats macroscopiques observés après incubation sont présentés en </w:t>
      </w:r>
      <w:r>
        <w:rPr>
          <w:b/>
          <w:bCs/>
          <w:lang w:val="fr-FR"/>
        </w:rPr>
        <w:t>Annexe02.</w:t>
      </w:r>
    </w:p>
    <w:p w14:paraId="54FBE2D1" w14:textId="77777777" w:rsidR="00B611D1" w:rsidRDefault="00B611D1">
      <w:pPr>
        <w:jc w:val="both"/>
        <w:rPr>
          <w:rFonts w:eastAsia="SimSun"/>
          <w:lang w:val="fr-FR"/>
        </w:rPr>
      </w:pPr>
    </w:p>
    <w:p w14:paraId="5E393E6C" w14:textId="77777777" w:rsidR="00B611D1" w:rsidRDefault="00FB7689">
      <w:pPr>
        <w:jc w:val="center"/>
        <w:rPr>
          <w:rFonts w:eastAsia="SimSun"/>
        </w:rPr>
      </w:pPr>
      <w:r>
        <w:rPr>
          <w:rFonts w:eastAsia="SimSun"/>
          <w:noProof/>
        </w:rPr>
        <w:drawing>
          <wp:inline distT="0" distB="0" distL="0" distR="0" wp14:anchorId="58056AD4" wp14:editId="62E02E6A">
            <wp:extent cx="4323080" cy="2583180"/>
            <wp:effectExtent l="0" t="0" r="0" b="0"/>
            <wp:docPr id="8799858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985808" name="Picture 1"/>
                    <pic:cNvPicPr>
                      <a:picLocks noChangeAspect="1"/>
                    </pic:cNvPicPr>
                  </pic:nvPicPr>
                  <pic:blipFill>
                    <a:blip r:embed="rId44"/>
                    <a:stretch>
                      <a:fillRect/>
                    </a:stretch>
                  </pic:blipFill>
                  <pic:spPr>
                    <a:xfrm>
                      <a:off x="0" y="0"/>
                      <a:ext cx="4346470" cy="2597050"/>
                    </a:xfrm>
                    <a:prstGeom prst="rect">
                      <a:avLst/>
                    </a:prstGeom>
                  </pic:spPr>
                </pic:pic>
              </a:graphicData>
            </a:graphic>
          </wp:inline>
        </w:drawing>
      </w:r>
    </w:p>
    <w:p w14:paraId="551C8E8C" w14:textId="77777777" w:rsidR="00B611D1" w:rsidRDefault="00B611D1">
      <w:pPr>
        <w:keepNext/>
      </w:pPr>
    </w:p>
    <w:p w14:paraId="43957E7B" w14:textId="77777777" w:rsidR="00B611D1" w:rsidRDefault="00FB7689">
      <w:pPr>
        <w:pStyle w:val="Lgende"/>
        <w:jc w:val="center"/>
        <w:rPr>
          <w:i w:val="0"/>
          <w:iCs w:val="0"/>
          <w:color w:val="auto"/>
          <w:sz w:val="24"/>
          <w:szCs w:val="24"/>
          <w:lang w:val="fr-FR"/>
        </w:rPr>
      </w:pPr>
      <w:bookmarkStart w:id="213" w:name="_Toc201269653"/>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10</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Turbidité des tubes. Avant (A) et après 24h d'incubation (B)</w:t>
      </w:r>
      <w:r>
        <w:rPr>
          <w:rFonts w:eastAsia="SimSun"/>
          <w:color w:val="000000"/>
          <w:lang w:val="fr-FR" w:eastAsia="zh-CN" w:bidi="ar"/>
        </w:rPr>
        <w:t>.</w:t>
      </w:r>
      <w:bookmarkEnd w:id="213"/>
    </w:p>
    <w:p w14:paraId="5922048E" w14:textId="77777777" w:rsidR="00B611D1" w:rsidRDefault="00B611D1">
      <w:pPr>
        <w:ind w:firstLineChars="450" w:firstLine="1080"/>
        <w:jc w:val="center"/>
        <w:rPr>
          <w:rFonts w:eastAsia="SimSun"/>
          <w:color w:val="000000"/>
          <w:lang w:val="fr-FR" w:eastAsia="zh-CN" w:bidi="ar"/>
        </w:rPr>
      </w:pPr>
    </w:p>
    <w:p w14:paraId="0915AD8E" w14:textId="77777777" w:rsidR="00B611D1" w:rsidRDefault="00B611D1">
      <w:pPr>
        <w:pStyle w:val="Paragraphedeliste"/>
        <w:numPr>
          <w:ilvl w:val="0"/>
          <w:numId w:val="22"/>
        </w:numPr>
        <w:spacing w:line="360" w:lineRule="auto"/>
        <w:jc w:val="both"/>
        <w:outlineLvl w:val="2"/>
        <w:rPr>
          <w:b/>
          <w:bCs/>
          <w:vanish/>
          <w:lang w:val="fr-FR"/>
        </w:rPr>
      </w:pPr>
      <w:bookmarkStart w:id="214" w:name="_Toc201260202"/>
      <w:bookmarkEnd w:id="214"/>
    </w:p>
    <w:p w14:paraId="1FAFDEA1" w14:textId="77777777" w:rsidR="00B611D1" w:rsidRDefault="00B611D1">
      <w:pPr>
        <w:pStyle w:val="Paragraphedeliste"/>
        <w:numPr>
          <w:ilvl w:val="0"/>
          <w:numId w:val="22"/>
        </w:numPr>
        <w:spacing w:line="360" w:lineRule="auto"/>
        <w:jc w:val="both"/>
        <w:outlineLvl w:val="2"/>
        <w:rPr>
          <w:b/>
          <w:bCs/>
          <w:vanish/>
          <w:lang w:val="fr-FR"/>
        </w:rPr>
      </w:pPr>
      <w:bookmarkStart w:id="215" w:name="_Toc201260203"/>
      <w:bookmarkEnd w:id="215"/>
    </w:p>
    <w:p w14:paraId="38FC8940" w14:textId="77777777" w:rsidR="00B611D1" w:rsidRDefault="00B611D1">
      <w:pPr>
        <w:pStyle w:val="Paragraphedeliste"/>
        <w:numPr>
          <w:ilvl w:val="1"/>
          <w:numId w:val="22"/>
        </w:numPr>
        <w:spacing w:line="360" w:lineRule="auto"/>
        <w:jc w:val="both"/>
        <w:outlineLvl w:val="2"/>
        <w:rPr>
          <w:b/>
          <w:bCs/>
          <w:vanish/>
          <w:lang w:val="fr-FR"/>
        </w:rPr>
      </w:pPr>
      <w:bookmarkStart w:id="216" w:name="_Toc201260204"/>
      <w:bookmarkEnd w:id="216"/>
    </w:p>
    <w:p w14:paraId="4B2A3005" w14:textId="77777777" w:rsidR="00B611D1" w:rsidRDefault="00B611D1">
      <w:pPr>
        <w:pStyle w:val="Paragraphedeliste"/>
        <w:numPr>
          <w:ilvl w:val="1"/>
          <w:numId w:val="22"/>
        </w:numPr>
        <w:spacing w:line="360" w:lineRule="auto"/>
        <w:jc w:val="both"/>
        <w:outlineLvl w:val="2"/>
        <w:rPr>
          <w:b/>
          <w:bCs/>
          <w:vanish/>
          <w:lang w:val="fr-FR"/>
        </w:rPr>
      </w:pPr>
      <w:bookmarkStart w:id="217" w:name="_Toc201260205"/>
      <w:bookmarkEnd w:id="217"/>
    </w:p>
    <w:p w14:paraId="2C810C81" w14:textId="77777777" w:rsidR="00B611D1" w:rsidRDefault="00B611D1">
      <w:pPr>
        <w:pStyle w:val="Paragraphedeliste"/>
        <w:numPr>
          <w:ilvl w:val="2"/>
          <w:numId w:val="22"/>
        </w:numPr>
        <w:spacing w:line="360" w:lineRule="auto"/>
        <w:jc w:val="both"/>
        <w:outlineLvl w:val="2"/>
        <w:rPr>
          <w:b/>
          <w:bCs/>
          <w:vanish/>
          <w:lang w:val="fr-FR"/>
        </w:rPr>
      </w:pPr>
      <w:bookmarkStart w:id="218" w:name="_Toc201260206"/>
      <w:bookmarkEnd w:id="218"/>
    </w:p>
    <w:p w14:paraId="6DC97EC9" w14:textId="77777777" w:rsidR="00B611D1" w:rsidRDefault="00FB7689">
      <w:pPr>
        <w:pStyle w:val="Titre3"/>
        <w:numPr>
          <w:ilvl w:val="2"/>
          <w:numId w:val="22"/>
        </w:numPr>
        <w:spacing w:line="360" w:lineRule="auto"/>
        <w:rPr>
          <w:lang w:val="fr-FR"/>
        </w:rPr>
      </w:pPr>
      <w:bookmarkStart w:id="219" w:name="_Toc201260207"/>
      <w:r>
        <w:rPr>
          <w:lang w:val="fr-FR"/>
        </w:rPr>
        <w:t>Isolement et identification macroscopique et microscopique des souches bactériennes</w:t>
      </w:r>
      <w:bookmarkEnd w:id="219"/>
    </w:p>
    <w:p w14:paraId="6611E1A0" w14:textId="77777777" w:rsidR="00B611D1" w:rsidRDefault="00FB7689">
      <w:pPr>
        <w:pStyle w:val="Corpsdetexte"/>
        <w:spacing w:before="5" w:line="360" w:lineRule="auto"/>
        <w:jc w:val="both"/>
        <w:rPr>
          <w:lang w:val="fr-FR" w:eastAsia="zh-CN"/>
        </w:rPr>
      </w:pPr>
      <w:r>
        <w:rPr>
          <w:lang w:val="fr-FR"/>
        </w:rPr>
        <w:t xml:space="preserve">L’analyse des échantillons collectés, basée sur les caractères culturaux, morphologiques et biochimiques, a permis d’identifier plusieurs espèces bactériennes. Staphylococcus aureus a été retrouvé dans 15,40 % des cas, suivi de </w:t>
      </w:r>
      <w:r>
        <w:rPr>
          <w:i/>
          <w:iCs/>
          <w:lang w:val="fr-FR"/>
        </w:rPr>
        <w:t xml:space="preserve">Staphylococcus hominis </w:t>
      </w:r>
      <w:r>
        <w:rPr>
          <w:lang w:val="fr-FR"/>
        </w:rPr>
        <w:t xml:space="preserve">(7,70%), </w:t>
      </w:r>
      <w:r>
        <w:rPr>
          <w:i/>
          <w:iCs/>
          <w:lang w:val="fr-FR"/>
        </w:rPr>
        <w:t xml:space="preserve">Serratia marcescens </w:t>
      </w:r>
      <w:r>
        <w:rPr>
          <w:lang w:val="fr-FR"/>
        </w:rPr>
        <w:t xml:space="preserve">(7,70%), </w:t>
      </w:r>
      <w:r>
        <w:rPr>
          <w:i/>
          <w:iCs/>
          <w:lang w:val="fr-FR"/>
        </w:rPr>
        <w:t>Acinetobacter baumannii</w:t>
      </w:r>
      <w:r>
        <w:rPr>
          <w:lang w:val="fr-FR"/>
        </w:rPr>
        <w:t xml:space="preserve"> (7,70%) et </w:t>
      </w:r>
      <w:r>
        <w:rPr>
          <w:i/>
          <w:iCs/>
          <w:lang w:val="fr-FR"/>
        </w:rPr>
        <w:t>Klebsiella pneumoniae</w:t>
      </w:r>
      <w:r>
        <w:rPr>
          <w:lang w:val="fr-FR"/>
        </w:rPr>
        <w:t xml:space="preserve"> (7,70%) </w:t>
      </w:r>
      <w:r>
        <w:rPr>
          <w:b/>
          <w:bCs/>
          <w:lang w:val="fr-FR"/>
        </w:rPr>
        <w:t>(Figure 10)</w:t>
      </w:r>
      <w:r>
        <w:rPr>
          <w:lang w:val="fr-FR"/>
        </w:rPr>
        <w:t xml:space="preserve">. Les autres isolats, regroupés sous l’intitulé "autres" (53,80 %), correspondaient à des bacilles à Gram positif qui n’ont pas fait l’objet d’une identification approfondie, en raison de leur implication peu fréquente dans les infections nosocomiales. Les sites de prélèvement n'ont pas été associés directement aux espèces identifiées, afin de proposer une vision globale de la contamination dans le service. En </w:t>
      </w:r>
      <w:r>
        <w:rPr>
          <w:b/>
          <w:bCs/>
          <w:lang w:val="fr-FR"/>
        </w:rPr>
        <w:t xml:space="preserve">Annexe </w:t>
      </w:r>
      <w:r>
        <w:rPr>
          <w:rFonts w:hint="eastAsia"/>
          <w:b/>
          <w:bCs/>
          <w:lang w:val="fr-FR" w:eastAsia="zh-CN"/>
        </w:rPr>
        <w:t>0</w:t>
      </w:r>
      <w:r>
        <w:rPr>
          <w:b/>
          <w:bCs/>
          <w:lang w:val="fr-FR" w:eastAsia="zh-CN"/>
        </w:rPr>
        <w:t>3</w:t>
      </w:r>
      <w:r>
        <w:rPr>
          <w:lang w:val="fr-FR"/>
        </w:rPr>
        <w:t>, figure la correspondance entre chaque germe isolé et son site de prélèvement.</w:t>
      </w:r>
    </w:p>
    <w:p w14:paraId="570993A9" w14:textId="77777777" w:rsidR="00B611D1" w:rsidRDefault="00B611D1">
      <w:pPr>
        <w:pStyle w:val="Corpsdetexte"/>
        <w:spacing w:before="5" w:line="360" w:lineRule="auto"/>
        <w:jc w:val="both"/>
        <w:rPr>
          <w:lang w:val="fr-FR" w:eastAsia="zh-CN"/>
        </w:rPr>
      </w:pPr>
    </w:p>
    <w:p w14:paraId="2572A0C0" w14:textId="77777777" w:rsidR="00B611D1" w:rsidRDefault="00FB7689">
      <w:pPr>
        <w:pStyle w:val="Corpsdetexte"/>
        <w:spacing w:before="5" w:line="360" w:lineRule="auto"/>
        <w:jc w:val="center"/>
        <w:rPr>
          <w:lang w:eastAsia="zh-CN"/>
        </w:rPr>
      </w:pPr>
      <w:r>
        <w:rPr>
          <w:noProof/>
        </w:rPr>
        <w:drawing>
          <wp:inline distT="0" distB="0" distL="114300" distR="114300" wp14:anchorId="4D618BD2" wp14:editId="323DE609">
            <wp:extent cx="5994400" cy="3657600"/>
            <wp:effectExtent l="0" t="0" r="0" b="0"/>
            <wp:docPr id="2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2"/>
                    <pic:cNvPicPr>
                      <a:picLocks noChangeAspect="1"/>
                    </pic:cNvPicPr>
                  </pic:nvPicPr>
                  <pic:blipFill>
                    <a:blip r:embed="rId45"/>
                    <a:stretch>
                      <a:fillRect/>
                    </a:stretch>
                  </pic:blipFill>
                  <pic:spPr>
                    <a:xfrm>
                      <a:off x="0" y="0"/>
                      <a:ext cx="6007876" cy="3665698"/>
                    </a:xfrm>
                    <a:prstGeom prst="rect">
                      <a:avLst/>
                    </a:prstGeom>
                    <a:noFill/>
                    <a:ln>
                      <a:noFill/>
                    </a:ln>
                  </pic:spPr>
                </pic:pic>
              </a:graphicData>
            </a:graphic>
          </wp:inline>
        </w:drawing>
      </w:r>
    </w:p>
    <w:p w14:paraId="398D9DDF" w14:textId="77777777" w:rsidR="00B611D1" w:rsidRDefault="00FB7689">
      <w:pPr>
        <w:pStyle w:val="Lgende"/>
        <w:jc w:val="center"/>
        <w:rPr>
          <w:i w:val="0"/>
          <w:iCs w:val="0"/>
          <w:color w:val="auto"/>
          <w:sz w:val="24"/>
          <w:szCs w:val="24"/>
          <w:lang w:val="fr-FR"/>
        </w:rPr>
      </w:pPr>
      <w:bookmarkStart w:id="220" w:name="_Toc201269654"/>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11</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Fréquence des espèces bactériennes isolées aux urgences</w:t>
      </w:r>
      <w:bookmarkEnd w:id="220"/>
    </w:p>
    <w:p w14:paraId="08EE4FBA" w14:textId="77777777" w:rsidR="00B611D1" w:rsidRDefault="00B611D1">
      <w:pPr>
        <w:rPr>
          <w:lang w:val="fr-FR"/>
        </w:rPr>
      </w:pPr>
    </w:p>
    <w:p w14:paraId="397552A2" w14:textId="77777777" w:rsidR="00B611D1" w:rsidRDefault="00FB7689">
      <w:pPr>
        <w:pStyle w:val="Corpsdetexte"/>
        <w:spacing w:before="5" w:line="360" w:lineRule="auto"/>
        <w:jc w:val="both"/>
        <w:rPr>
          <w:lang w:val="fr-FR" w:eastAsia="zh-CN"/>
        </w:rPr>
      </w:pPr>
      <w:r>
        <w:rPr>
          <w:lang w:val="fr-FR"/>
        </w:rPr>
        <w:t>Les résultats complets de l’isolement et de l’identification macroscopique et microscopique des souches bactériennes sont présentés dans le Tableau IV, avec les caractéristiques distinctives associées à chaque souche.</w:t>
      </w:r>
    </w:p>
    <w:p w14:paraId="64EFF64D" w14:textId="77777777" w:rsidR="00B611D1" w:rsidRDefault="00B611D1">
      <w:pPr>
        <w:pStyle w:val="Corpsdetexte"/>
        <w:spacing w:before="5" w:line="360" w:lineRule="auto"/>
        <w:jc w:val="both"/>
        <w:rPr>
          <w:b/>
          <w:bCs/>
          <w:lang w:val="fr-FR"/>
        </w:rPr>
      </w:pPr>
    </w:p>
    <w:p w14:paraId="64C8E5ED" w14:textId="77777777" w:rsidR="00B611D1" w:rsidRDefault="00FB7689">
      <w:pPr>
        <w:pStyle w:val="Lgende"/>
        <w:keepNext/>
        <w:rPr>
          <w:i w:val="0"/>
          <w:iCs w:val="0"/>
          <w:color w:val="auto"/>
          <w:sz w:val="24"/>
          <w:szCs w:val="24"/>
          <w:lang w:val="fr-FR"/>
        </w:rPr>
      </w:pPr>
      <w:bookmarkStart w:id="221" w:name="_Toc201267819"/>
      <w:bookmarkStart w:id="222" w:name="_Hlk201267267"/>
      <w:r>
        <w:rPr>
          <w:b/>
          <w:bCs/>
          <w:i w:val="0"/>
          <w:iCs w:val="0"/>
          <w:color w:val="auto"/>
          <w:sz w:val="24"/>
          <w:szCs w:val="24"/>
          <w:lang w:val="fr-FR"/>
        </w:rPr>
        <w:t xml:space="preserve">Tableau </w:t>
      </w:r>
      <w:r>
        <w:rPr>
          <w:b/>
          <w:bCs/>
          <w:i w:val="0"/>
          <w:iCs w:val="0"/>
          <w:color w:val="auto"/>
          <w:sz w:val="24"/>
          <w:szCs w:val="24"/>
        </w:rPr>
        <w:fldChar w:fldCharType="begin"/>
      </w:r>
      <w:r>
        <w:rPr>
          <w:b/>
          <w:bCs/>
          <w:i w:val="0"/>
          <w:iCs w:val="0"/>
          <w:color w:val="auto"/>
          <w:sz w:val="24"/>
          <w:szCs w:val="24"/>
          <w:lang w:val="fr-FR"/>
        </w:rPr>
        <w:instrText xml:space="preserve"> SEQ Tableau \* ARABIC </w:instrText>
      </w:r>
      <w:r>
        <w:rPr>
          <w:b/>
          <w:bCs/>
          <w:i w:val="0"/>
          <w:iCs w:val="0"/>
          <w:color w:val="auto"/>
          <w:sz w:val="24"/>
          <w:szCs w:val="24"/>
        </w:rPr>
        <w:fldChar w:fldCharType="separate"/>
      </w:r>
      <w:r>
        <w:rPr>
          <w:b/>
          <w:bCs/>
          <w:i w:val="0"/>
          <w:iCs w:val="0"/>
          <w:color w:val="auto"/>
          <w:sz w:val="24"/>
          <w:szCs w:val="24"/>
          <w:lang w:val="fr-FR"/>
        </w:rPr>
        <w:t>3</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Caractérisation des espèces bactériennes</w:t>
      </w:r>
      <w:bookmarkEnd w:id="221"/>
    </w:p>
    <w:tbl>
      <w:tblPr>
        <w:tblW w:w="0" w:type="auto"/>
        <w:tblInd w:w="-900" w:type="dxa"/>
        <w:tblCellMar>
          <w:left w:w="0" w:type="dxa"/>
          <w:right w:w="0" w:type="dxa"/>
        </w:tblCellMar>
        <w:tblLook w:val="04A0" w:firstRow="1" w:lastRow="0" w:firstColumn="1" w:lastColumn="0" w:noHBand="0" w:noVBand="1"/>
      </w:tblPr>
      <w:tblGrid>
        <w:gridCol w:w="1517"/>
        <w:gridCol w:w="1781"/>
        <w:gridCol w:w="1491"/>
        <w:gridCol w:w="3128"/>
        <w:gridCol w:w="3078"/>
      </w:tblGrid>
      <w:tr w:rsidR="00B611D1" w14:paraId="2B9593CA" w14:textId="77777777">
        <w:trPr>
          <w:trHeight w:val="809"/>
        </w:trPr>
        <w:tc>
          <w:tcPr>
            <w:tcW w:w="1522" w:type="dxa"/>
            <w:tcBorders>
              <w:top w:val="single" w:sz="4" w:space="0" w:color="auto"/>
              <w:left w:val="single" w:sz="4" w:space="0" w:color="auto"/>
              <w:bottom w:val="single" w:sz="4" w:space="0" w:color="auto"/>
              <w:right w:val="single" w:sz="4" w:space="0" w:color="auto"/>
            </w:tcBorders>
            <w:vAlign w:val="center"/>
          </w:tcPr>
          <w:bookmarkEnd w:id="222"/>
          <w:p w14:paraId="0A299BE7" w14:textId="77777777" w:rsidR="00B611D1" w:rsidRDefault="00FB7689">
            <w:pPr>
              <w:spacing w:after="200" w:line="276" w:lineRule="auto"/>
              <w:jc w:val="center"/>
              <w:rPr>
                <w:rFonts w:asciiTheme="majorBidi" w:hAnsiTheme="majorBidi" w:cstheme="majorBidi"/>
                <w:b/>
                <w:bCs/>
                <w:kern w:val="2"/>
                <w:lang w:val="fr-FR"/>
              </w:rPr>
            </w:pPr>
            <w:r>
              <w:rPr>
                <w:rFonts w:hint="eastAsia"/>
                <w:b/>
                <w:bCs/>
                <w:kern w:val="2"/>
                <w:lang w:val="fr-FR"/>
              </w:rPr>
              <w:t>Classement</w:t>
            </w:r>
          </w:p>
        </w:tc>
        <w:tc>
          <w:tcPr>
            <w:tcW w:w="1781" w:type="dxa"/>
            <w:tcBorders>
              <w:top w:val="single" w:sz="8" w:space="0" w:color="000000"/>
              <w:left w:val="single" w:sz="4" w:space="0" w:color="auto"/>
              <w:bottom w:val="single" w:sz="8" w:space="0" w:color="000000"/>
              <w:right w:val="single" w:sz="8" w:space="0" w:color="000000"/>
            </w:tcBorders>
            <w:shd w:val="clear" w:color="auto" w:fill="auto"/>
            <w:tcMar>
              <w:top w:w="72" w:type="dxa"/>
              <w:left w:w="144" w:type="dxa"/>
              <w:bottom w:w="72" w:type="dxa"/>
              <w:right w:w="144" w:type="dxa"/>
            </w:tcMar>
            <w:vAlign w:val="center"/>
          </w:tcPr>
          <w:p w14:paraId="794EA87C" w14:textId="77777777" w:rsidR="00B611D1" w:rsidRDefault="00FB7689">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kern w:val="2"/>
                <w:lang w:val="fr-FR"/>
              </w:rPr>
              <w:t>Espèces</w:t>
            </w:r>
          </w:p>
        </w:tc>
        <w:tc>
          <w:tcPr>
            <w:tcW w:w="149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59A28665" w14:textId="77777777" w:rsidR="00B611D1" w:rsidRDefault="00FB7689">
            <w:pPr>
              <w:spacing w:after="200" w:line="276" w:lineRule="auto"/>
              <w:jc w:val="center"/>
              <w:rPr>
                <w:rFonts w:asciiTheme="majorBidi" w:hAnsiTheme="majorBidi" w:cstheme="majorBidi"/>
                <w:b/>
                <w:bCs/>
                <w:kern w:val="2"/>
                <w:lang w:val="fr-FR"/>
              </w:rPr>
            </w:pPr>
            <w:r>
              <w:rPr>
                <w:rFonts w:asciiTheme="majorBidi" w:eastAsiaTheme="minorEastAsia" w:hAnsiTheme="majorBidi" w:cstheme="majorBidi" w:hint="eastAsia"/>
                <w:b/>
                <w:bCs/>
                <w:kern w:val="2"/>
                <w:lang w:val="fr-FR"/>
              </w:rPr>
              <w:t>Milieu</w:t>
            </w:r>
          </w:p>
        </w:tc>
        <w:tc>
          <w:tcPr>
            <w:tcW w:w="31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4B0AB984" w14:textId="77777777" w:rsidR="00B611D1" w:rsidRDefault="00FB7689">
            <w:pPr>
              <w:spacing w:after="200" w:line="276" w:lineRule="auto"/>
              <w:jc w:val="center"/>
              <w:rPr>
                <w:rFonts w:asciiTheme="majorBidi" w:hAnsiTheme="majorBidi" w:cstheme="majorBidi"/>
                <w:b/>
                <w:bCs/>
                <w:kern w:val="2"/>
                <w:lang w:val="fr-FR"/>
              </w:rPr>
            </w:pPr>
            <w:r>
              <w:rPr>
                <w:rFonts w:asciiTheme="majorBidi" w:eastAsiaTheme="minorEastAsia" w:hAnsiTheme="majorBidi" w:cstheme="majorBidi" w:hint="eastAsia"/>
                <w:b/>
                <w:bCs/>
                <w:kern w:val="2"/>
                <w:lang w:val="fr-FR"/>
              </w:rPr>
              <w:t>Caractères culturaux</w:t>
            </w:r>
          </w:p>
        </w:tc>
        <w:tc>
          <w:tcPr>
            <w:tcW w:w="30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757BDB36" w14:textId="77777777" w:rsidR="00B611D1" w:rsidRDefault="00FB7689">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kern w:val="2"/>
                <w:lang w:val="fr-FR"/>
              </w:rPr>
              <w:t>Coloration de Gram</w:t>
            </w:r>
          </w:p>
        </w:tc>
      </w:tr>
      <w:tr w:rsidR="00B611D1" w14:paraId="31E48E6E" w14:textId="77777777">
        <w:trPr>
          <w:trHeight w:val="2527"/>
        </w:trPr>
        <w:tc>
          <w:tcPr>
            <w:tcW w:w="1522" w:type="dxa"/>
            <w:vMerge w:val="restart"/>
            <w:tcBorders>
              <w:top w:val="single" w:sz="4" w:space="0" w:color="auto"/>
              <w:left w:val="single" w:sz="4" w:space="0" w:color="auto"/>
              <w:bottom w:val="single" w:sz="4" w:space="0" w:color="auto"/>
              <w:right w:val="single" w:sz="4" w:space="0" w:color="auto"/>
            </w:tcBorders>
            <w:vAlign w:val="center"/>
          </w:tcPr>
          <w:p w14:paraId="245378E3" w14:textId="77777777" w:rsidR="00B611D1" w:rsidRDefault="00FB7689">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kern w:val="2"/>
                <w:lang w:val="fr-FR"/>
              </w:rPr>
              <w:t>Bacilles à Gram Négatif</w:t>
            </w:r>
          </w:p>
        </w:tc>
        <w:tc>
          <w:tcPr>
            <w:tcW w:w="1781" w:type="dxa"/>
            <w:tcBorders>
              <w:top w:val="single" w:sz="8" w:space="0" w:color="000000"/>
              <w:left w:val="single" w:sz="4" w:space="0" w:color="auto"/>
              <w:bottom w:val="single" w:sz="8" w:space="0" w:color="000000"/>
              <w:right w:val="single" w:sz="8" w:space="0" w:color="000000"/>
            </w:tcBorders>
            <w:shd w:val="clear" w:color="auto" w:fill="auto"/>
            <w:tcMar>
              <w:top w:w="72" w:type="dxa"/>
              <w:left w:w="144" w:type="dxa"/>
              <w:bottom w:w="72" w:type="dxa"/>
              <w:right w:w="144" w:type="dxa"/>
            </w:tcMar>
            <w:vAlign w:val="center"/>
          </w:tcPr>
          <w:p w14:paraId="31516166" w14:textId="77777777" w:rsidR="00B611D1" w:rsidRDefault="00FB7689">
            <w:pPr>
              <w:spacing w:after="200" w:line="276" w:lineRule="auto"/>
              <w:jc w:val="center"/>
              <w:rPr>
                <w:rFonts w:asciiTheme="majorBidi" w:hAnsiTheme="majorBidi" w:cstheme="majorBidi"/>
                <w:kern w:val="2"/>
                <w:lang w:val="fr-FR"/>
              </w:rPr>
            </w:pPr>
            <w:r>
              <w:rPr>
                <w:rFonts w:asciiTheme="majorBidi" w:eastAsiaTheme="minorEastAsia" w:hAnsiTheme="majorBidi" w:cstheme="majorBidi" w:hint="eastAsia"/>
                <w:i/>
                <w:iCs/>
                <w:kern w:val="2"/>
                <w:lang w:val="fr-FR"/>
              </w:rPr>
              <w:t>Serratia marcescens</w:t>
            </w:r>
          </w:p>
        </w:tc>
        <w:tc>
          <w:tcPr>
            <w:tcW w:w="1495" w:type="dxa"/>
            <w:tcBorders>
              <w:top w:val="single" w:sz="8" w:space="0" w:color="000000"/>
              <w:left w:val="single" w:sz="8" w:space="0" w:color="000000"/>
              <w:bottom w:val="single" w:sz="4" w:space="0" w:color="auto"/>
              <w:right w:val="single" w:sz="8" w:space="0" w:color="000000"/>
            </w:tcBorders>
            <w:shd w:val="clear" w:color="auto" w:fill="auto"/>
            <w:tcMar>
              <w:top w:w="72" w:type="dxa"/>
              <w:left w:w="144" w:type="dxa"/>
              <w:bottom w:w="72" w:type="dxa"/>
              <w:right w:w="144" w:type="dxa"/>
            </w:tcMar>
            <w:vAlign w:val="center"/>
          </w:tcPr>
          <w:p w14:paraId="1A126418" w14:textId="77777777" w:rsidR="00B611D1" w:rsidRDefault="00FB7689">
            <w:pPr>
              <w:spacing w:after="200" w:line="276" w:lineRule="auto"/>
              <w:rPr>
                <w:rFonts w:asciiTheme="majorBidi" w:hAnsiTheme="majorBidi" w:cstheme="majorBidi"/>
                <w:kern w:val="2"/>
                <w:lang w:val="fr-FR"/>
              </w:rPr>
            </w:pPr>
            <w:r>
              <w:rPr>
                <w:rFonts w:asciiTheme="majorBidi" w:hAnsiTheme="majorBidi" w:cstheme="majorBidi" w:hint="eastAsia"/>
                <w:kern w:val="2"/>
                <w:lang w:val="fr-FR"/>
              </w:rPr>
              <w:t>Mac-conkey</w:t>
            </w:r>
          </w:p>
        </w:tc>
        <w:tc>
          <w:tcPr>
            <w:tcW w:w="31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4E969E9F" w14:textId="77777777" w:rsidR="00B611D1" w:rsidRDefault="00FB7689">
            <w:pPr>
              <w:spacing w:after="200" w:line="276" w:lineRule="auto"/>
              <w:jc w:val="center"/>
              <w:rPr>
                <w:rFonts w:asciiTheme="majorBidi" w:hAnsiTheme="majorBidi" w:cstheme="majorBidi"/>
                <w:b/>
                <w:bCs/>
                <w:kern w:val="2"/>
                <w:lang w:val="fr-FR"/>
              </w:rPr>
            </w:pPr>
            <w:r>
              <w:rPr>
                <w:rFonts w:hint="eastAsia"/>
                <w:b/>
                <w:bCs/>
                <w:noProof/>
                <w:color w:val="4F81BD" w:themeColor="accent1"/>
                <w:kern w:val="2"/>
                <w:sz w:val="36"/>
                <w:szCs w:val="36"/>
              </w:rPr>
              <w:drawing>
                <wp:inline distT="0" distB="0" distL="114300" distR="114300" wp14:anchorId="0BAEAC95" wp14:editId="471F8447">
                  <wp:extent cx="1803400" cy="1749425"/>
                  <wp:effectExtent l="0" t="0" r="0" b="3175"/>
                  <wp:docPr id="5" name="Image 5" descr="serat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seratia"/>
                          <pic:cNvPicPr>
                            <a:picLocks noChangeAspect="1"/>
                          </pic:cNvPicPr>
                        </pic:nvPicPr>
                        <pic:blipFill>
                          <a:blip r:embed="rId46"/>
                          <a:srcRect t="24044" r="8549" b="15317"/>
                          <a:stretch>
                            <a:fillRect/>
                          </a:stretch>
                        </pic:blipFill>
                        <pic:spPr>
                          <a:xfrm>
                            <a:off x="0" y="0"/>
                            <a:ext cx="1824589" cy="1770337"/>
                          </a:xfrm>
                          <a:prstGeom prst="rect">
                            <a:avLst/>
                          </a:prstGeom>
                          <a:ln>
                            <a:noFill/>
                          </a:ln>
                        </pic:spPr>
                      </pic:pic>
                    </a:graphicData>
                  </a:graphic>
                </wp:inline>
              </w:drawing>
            </w:r>
          </w:p>
        </w:tc>
        <w:tc>
          <w:tcPr>
            <w:tcW w:w="30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0350128E" w14:textId="673F296B" w:rsidR="00B611D1" w:rsidRDefault="00771DB6">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noProof/>
                <w:kern w:val="2"/>
                <w:lang w:val="fr-FR"/>
              </w:rPr>
              <mc:AlternateContent>
                <mc:Choice Requires="wps">
                  <w:drawing>
                    <wp:anchor distT="0" distB="0" distL="114300" distR="114300" simplePos="0" relativeHeight="251672576" behindDoc="0" locked="0" layoutInCell="1" allowOverlap="1" wp14:anchorId="7D24CF93" wp14:editId="38025EDE">
                      <wp:simplePos x="0" y="0"/>
                      <wp:positionH relativeFrom="column">
                        <wp:posOffset>1350645</wp:posOffset>
                      </wp:positionH>
                      <wp:positionV relativeFrom="paragraph">
                        <wp:posOffset>-2540</wp:posOffset>
                      </wp:positionV>
                      <wp:extent cx="464820" cy="203200"/>
                      <wp:effectExtent l="0" t="0" r="0" b="0"/>
                      <wp:wrapNone/>
                      <wp:docPr id="1998778030" name="Zone de texte 21"/>
                      <wp:cNvGraphicFramePr/>
                      <a:graphic xmlns:a="http://schemas.openxmlformats.org/drawingml/2006/main">
                        <a:graphicData uri="http://schemas.microsoft.com/office/word/2010/wordprocessingShape">
                          <wps:wsp>
                            <wps:cNvSpPr txBox="1"/>
                            <wps:spPr>
                              <a:xfrm>
                                <a:off x="0" y="0"/>
                                <a:ext cx="464820" cy="203200"/>
                              </a:xfrm>
                              <a:prstGeom prst="rect">
                                <a:avLst/>
                              </a:prstGeom>
                              <a:noFill/>
                              <a:ln w="6350">
                                <a:noFill/>
                              </a:ln>
                            </wps:spPr>
                            <wps:txbx>
                              <w:txbxContent>
                                <w:p w14:paraId="013D1752" w14:textId="2D6A0F6E" w:rsidR="00771DB6" w:rsidRPr="00771DB6" w:rsidRDefault="00771DB6">
                                  <w:pPr>
                                    <w:rPr>
                                      <w:b/>
                                      <w:bCs/>
                                      <w:sz w:val="16"/>
                                      <w:szCs w:val="16"/>
                                      <w:lang w:eastAsia="zh-CN"/>
                                    </w:rPr>
                                  </w:pPr>
                                  <w:r w:rsidRPr="00771DB6">
                                    <w:rPr>
                                      <w:b/>
                                      <w:bCs/>
                                      <w:sz w:val="16"/>
                                      <w:szCs w:val="16"/>
                                    </w:rPr>
                                    <w:t xml:space="preserve">100×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7D24CF93" id="_x0000_t202" coordsize="21600,21600" o:spt="202" path="m,l,21600r21600,l21600,xe">
                      <v:stroke joinstyle="miter"/>
                      <v:path gradientshapeok="t" o:connecttype="rect"/>
                    </v:shapetype>
                    <v:shape id="Zone de texte 21" o:spid="_x0000_s1030" type="#_x0000_t202" style="position:absolute;left:0;text-align:left;margin-left:106.35pt;margin-top:-.2pt;width:36.6pt;height:1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" filled="f" stroked="f" strokeweight=".5pt">
                      <v:textbox>
                        <w:txbxContent>
                          <w:p w14:paraId="013D1752" w14:textId="2D6A0F6E" w:rsidR="00771DB6" w:rsidRPr="00771DB6" w:rsidRDefault="00771DB6">
                            <w:pPr>
                              <w:rPr>
                                <w:rFonts w:hint="eastAsia"/>
                                <w:b/>
                                <w:bCs/>
                                <w:sz w:val="16"/>
                                <w:szCs w:val="16"/>
                                <w:lang w:eastAsia="zh-CN"/>
                              </w:rPr>
                            </w:pPr>
                            <w:r w:rsidRPr="00771DB6">
                              <w:rPr>
                                <w:b/>
                                <w:bCs/>
                                <w:sz w:val="16"/>
                                <w:szCs w:val="16"/>
                              </w:rPr>
                              <w:t xml:space="preserve">100× </w:t>
                            </w:r>
                          </w:p>
                        </w:txbxContent>
                      </v:textbox>
                    </v:shape>
                  </w:pict>
                </mc:Fallback>
              </mc:AlternateContent>
            </w:r>
            <w:r>
              <w:rPr>
                <w:rFonts w:asciiTheme="majorBidi" w:hAnsiTheme="majorBidi" w:cstheme="majorBidi" w:hint="eastAsia"/>
                <w:b/>
                <w:bCs/>
                <w:noProof/>
                <w:kern w:val="2"/>
                <w:lang w:val="fr-FR"/>
              </w:rPr>
              <w:drawing>
                <wp:inline distT="0" distB="0" distL="0" distR="0" wp14:anchorId="1F2281D2" wp14:editId="0C23255B">
                  <wp:extent cx="1764665" cy="1614170"/>
                  <wp:effectExtent l="0" t="0" r="6985" b="5080"/>
                  <wp:docPr id="1165004737" name="Image 35" descr="photo_2025-03-06_06-3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004737" name="Image 35" descr="photo_2025-03-06_06-30-57"/>
                          <pic:cNvPicPr>
                            <a:picLocks noChangeAspect="1"/>
                          </pic:cNvPicPr>
                        </pic:nvPicPr>
                        <pic:blipFill>
                          <a:blip r:embed="rId47"/>
                          <a:srcRect l="24298" t="41860" r="8774" b="17204"/>
                          <a:stretch>
                            <a:fillRect/>
                          </a:stretch>
                        </pic:blipFill>
                        <pic:spPr>
                          <a:xfrm>
                            <a:off x="0" y="0"/>
                            <a:ext cx="1771186" cy="1619848"/>
                          </a:xfrm>
                          <a:prstGeom prst="rect">
                            <a:avLst/>
                          </a:prstGeom>
                          <a:ln>
                            <a:noFill/>
                          </a:ln>
                        </pic:spPr>
                      </pic:pic>
                    </a:graphicData>
                  </a:graphic>
                </wp:inline>
              </w:drawing>
            </w:r>
          </w:p>
        </w:tc>
      </w:tr>
      <w:tr w:rsidR="00B611D1" w14:paraId="2495208C" w14:textId="77777777">
        <w:trPr>
          <w:trHeight w:val="2358"/>
        </w:trPr>
        <w:tc>
          <w:tcPr>
            <w:tcW w:w="1522" w:type="dxa"/>
            <w:vMerge/>
            <w:tcBorders>
              <w:top w:val="single" w:sz="4" w:space="0" w:color="auto"/>
              <w:left w:val="single" w:sz="4" w:space="0" w:color="auto"/>
              <w:bottom w:val="single" w:sz="4" w:space="0" w:color="auto"/>
              <w:right w:val="single" w:sz="4" w:space="0" w:color="auto"/>
            </w:tcBorders>
            <w:vAlign w:val="center"/>
          </w:tcPr>
          <w:p w14:paraId="2838D853" w14:textId="77777777" w:rsidR="00B611D1" w:rsidRDefault="00B611D1">
            <w:pPr>
              <w:spacing w:after="200" w:line="276" w:lineRule="auto"/>
              <w:jc w:val="center"/>
              <w:rPr>
                <w:rFonts w:asciiTheme="majorBidi" w:hAnsiTheme="majorBidi" w:cstheme="majorBidi"/>
                <w:b/>
                <w:bCs/>
                <w:i/>
                <w:iCs/>
                <w:kern w:val="2"/>
                <w:lang w:val="fr-FR"/>
              </w:rPr>
            </w:pPr>
          </w:p>
        </w:tc>
        <w:tc>
          <w:tcPr>
            <w:tcW w:w="1781" w:type="dxa"/>
            <w:tcBorders>
              <w:top w:val="single" w:sz="8" w:space="0" w:color="000000"/>
              <w:left w:val="single" w:sz="4" w:space="0" w:color="auto"/>
              <w:bottom w:val="single" w:sz="8" w:space="0" w:color="000000"/>
              <w:right w:val="single" w:sz="8" w:space="0" w:color="000000"/>
            </w:tcBorders>
            <w:shd w:val="clear" w:color="auto" w:fill="auto"/>
            <w:tcMar>
              <w:top w:w="72" w:type="dxa"/>
              <w:left w:w="144" w:type="dxa"/>
              <w:bottom w:w="72" w:type="dxa"/>
              <w:right w:w="144" w:type="dxa"/>
            </w:tcMar>
            <w:vAlign w:val="center"/>
          </w:tcPr>
          <w:p w14:paraId="27CFA1C6" w14:textId="77777777" w:rsidR="00B611D1" w:rsidRDefault="00FB7689">
            <w:pPr>
              <w:spacing w:after="200" w:line="276" w:lineRule="auto"/>
              <w:jc w:val="center"/>
              <w:rPr>
                <w:rFonts w:asciiTheme="majorBidi" w:hAnsiTheme="majorBidi" w:cstheme="majorBidi"/>
                <w:kern w:val="2"/>
                <w:lang w:val="fr-FR"/>
              </w:rPr>
            </w:pPr>
            <w:r>
              <w:rPr>
                <w:rFonts w:asciiTheme="majorBidi" w:eastAsiaTheme="minorEastAsia" w:hAnsiTheme="majorBidi" w:cstheme="majorBidi" w:hint="eastAsia"/>
                <w:i/>
                <w:iCs/>
                <w:kern w:val="2"/>
                <w:lang w:val="fr-FR"/>
              </w:rPr>
              <w:t>Klebsiella pneumoniae</w:t>
            </w:r>
          </w:p>
        </w:tc>
        <w:tc>
          <w:tcPr>
            <w:tcW w:w="1495" w:type="dxa"/>
            <w:vMerge w:val="restart"/>
            <w:tcBorders>
              <w:top w:val="single" w:sz="4" w:space="0" w:color="auto"/>
              <w:left w:val="single" w:sz="8" w:space="0" w:color="000000"/>
              <w:right w:val="single" w:sz="8" w:space="0" w:color="000000"/>
            </w:tcBorders>
            <w:shd w:val="clear" w:color="auto" w:fill="auto"/>
            <w:tcMar>
              <w:top w:w="72" w:type="dxa"/>
              <w:left w:w="144" w:type="dxa"/>
              <w:bottom w:w="72" w:type="dxa"/>
              <w:right w:w="144" w:type="dxa"/>
            </w:tcMar>
            <w:vAlign w:val="center"/>
          </w:tcPr>
          <w:p w14:paraId="637DF68E" w14:textId="77777777" w:rsidR="00B611D1" w:rsidRDefault="00FB7689">
            <w:pPr>
              <w:spacing w:after="200" w:line="276" w:lineRule="auto"/>
              <w:rPr>
                <w:rFonts w:asciiTheme="majorBidi" w:hAnsiTheme="majorBidi" w:cstheme="majorBidi"/>
                <w:kern w:val="2"/>
                <w:lang w:val="fr-FR"/>
              </w:rPr>
            </w:pPr>
            <w:r>
              <w:rPr>
                <w:rFonts w:asciiTheme="majorBidi" w:hAnsiTheme="majorBidi" w:cstheme="majorBidi" w:hint="eastAsia"/>
                <w:kern w:val="2"/>
                <w:lang w:val="fr-FR"/>
              </w:rPr>
              <w:t>Hektoen</w:t>
            </w:r>
          </w:p>
        </w:tc>
        <w:tc>
          <w:tcPr>
            <w:tcW w:w="31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72688651" w14:textId="77777777" w:rsidR="00B611D1" w:rsidRDefault="00FB7689">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noProof/>
                <w:kern w:val="2"/>
                <w:lang w:val="fr-FR"/>
              </w:rPr>
              <w:drawing>
                <wp:inline distT="0" distB="0" distL="0" distR="0" wp14:anchorId="330BB774" wp14:editId="6389AF8F">
                  <wp:extent cx="1631950" cy="1620520"/>
                  <wp:effectExtent l="0" t="0" r="0" b="5080"/>
                  <wp:docPr id="11" name="Image 41" descr="photo_2025-05-14_11-34-42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41" descr="photo_2025-05-14_11-34-42 (2)"/>
                          <pic:cNvPicPr>
                            <a:picLocks noChangeAspect="1"/>
                          </pic:cNvPicPr>
                        </pic:nvPicPr>
                        <pic:blipFill>
                          <a:blip r:embed="rId48">
                            <a:extLst>
                              <a:ext uri="{BEBA8EAE-BF5A-486C-A8C5-ECC9F3942E4B}">
                                <a14:imgProps xmlns:a14="http://schemas.microsoft.com/office/drawing/2010/main">
                                  <a14:imgLayer r:embed="rId49">
                                    <a14:imgEffect>
                                      <a14:sharpenSoften amount="50000"/>
                                    </a14:imgEffect>
                                  </a14:imgLayer>
                                </a14:imgProps>
                              </a:ext>
                            </a:extLst>
                          </a:blip>
                          <a:srcRect l="2846" t="4150" r="652"/>
                          <a:stretch>
                            <a:fillRect/>
                          </a:stretch>
                        </pic:blipFill>
                        <pic:spPr>
                          <a:xfrm>
                            <a:off x="0" y="0"/>
                            <a:ext cx="1681940" cy="1670576"/>
                          </a:xfrm>
                          <a:prstGeom prst="rect">
                            <a:avLst/>
                          </a:prstGeom>
                        </pic:spPr>
                      </pic:pic>
                    </a:graphicData>
                  </a:graphic>
                </wp:inline>
              </w:drawing>
            </w:r>
          </w:p>
        </w:tc>
        <w:tc>
          <w:tcPr>
            <w:tcW w:w="30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2EF5BE5F" w14:textId="4735F814" w:rsidR="00B611D1" w:rsidRDefault="00525786">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noProof/>
                <w:kern w:val="2"/>
                <w:lang w:val="fr-FR"/>
              </w:rPr>
              <mc:AlternateContent>
                <mc:Choice Requires="wps">
                  <w:drawing>
                    <wp:anchor distT="0" distB="0" distL="114300" distR="114300" simplePos="0" relativeHeight="251675648" behindDoc="0" locked="0" layoutInCell="1" allowOverlap="1" wp14:anchorId="7C7AFD64" wp14:editId="258A7550">
                      <wp:simplePos x="0" y="0"/>
                      <wp:positionH relativeFrom="column">
                        <wp:posOffset>1252220</wp:posOffset>
                      </wp:positionH>
                      <wp:positionV relativeFrom="paragraph">
                        <wp:posOffset>635</wp:posOffset>
                      </wp:positionV>
                      <wp:extent cx="464820" cy="203200"/>
                      <wp:effectExtent l="0" t="0" r="0" b="0"/>
                      <wp:wrapNone/>
                      <wp:docPr id="787351223" name="Zone de texte 21"/>
                      <wp:cNvGraphicFramePr/>
                      <a:graphic xmlns:a="http://schemas.openxmlformats.org/drawingml/2006/main">
                        <a:graphicData uri="http://schemas.microsoft.com/office/word/2010/wordprocessingShape">
                          <wps:wsp>
                            <wps:cNvSpPr txBox="1"/>
                            <wps:spPr>
                              <a:xfrm>
                                <a:off x="0" y="0"/>
                                <a:ext cx="464820" cy="203200"/>
                              </a:xfrm>
                              <a:prstGeom prst="rect">
                                <a:avLst/>
                              </a:prstGeom>
                              <a:noFill/>
                              <a:ln w="6350">
                                <a:noFill/>
                              </a:ln>
                            </wps:spPr>
                            <wps:txbx>
                              <w:txbxContent>
                                <w:p w14:paraId="1CCB883B" w14:textId="77777777" w:rsidR="00525786" w:rsidRPr="00771DB6" w:rsidRDefault="00525786" w:rsidP="00525786">
                                  <w:pPr>
                                    <w:rPr>
                                      <w:b/>
                                      <w:bCs/>
                                      <w:sz w:val="16"/>
                                      <w:szCs w:val="16"/>
                                      <w:lang w:eastAsia="zh-CN"/>
                                    </w:rPr>
                                  </w:pPr>
                                  <w:r w:rsidRPr="00771DB6">
                                    <w:rPr>
                                      <w:b/>
                                      <w:bCs/>
                                      <w:sz w:val="16"/>
                                      <w:szCs w:val="16"/>
                                    </w:rPr>
                                    <w:t xml:space="preserve">100×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C7AFD64" id="_x0000_s1031" type="#_x0000_t202" style="position:absolute;left:0;text-align:left;margin-left:98.6pt;margin-top:.05pt;width:36.6pt;height:1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" filled="f" stroked="f" strokeweight=".5pt">
                      <v:textbox>
                        <w:txbxContent>
                          <w:p w14:paraId="1CCB883B" w14:textId="77777777" w:rsidR="00525786" w:rsidRPr="00771DB6" w:rsidRDefault="00525786" w:rsidP="00525786">
                            <w:pPr>
                              <w:rPr>
                                <w:rFonts w:hint="eastAsia"/>
                                <w:b/>
                                <w:bCs/>
                                <w:sz w:val="16"/>
                                <w:szCs w:val="16"/>
                                <w:lang w:eastAsia="zh-CN"/>
                              </w:rPr>
                            </w:pPr>
                            <w:r w:rsidRPr="00771DB6">
                              <w:rPr>
                                <w:b/>
                                <w:bCs/>
                                <w:sz w:val="16"/>
                                <w:szCs w:val="16"/>
                              </w:rPr>
                              <w:t xml:space="preserve">100× </w:t>
                            </w:r>
                          </w:p>
                        </w:txbxContent>
                      </v:textbox>
                    </v:shape>
                  </w:pict>
                </mc:Fallback>
              </mc:AlternateContent>
            </w:r>
            <w:r>
              <w:rPr>
                <w:rFonts w:hint="eastAsia"/>
                <w:b/>
                <w:bCs/>
                <w:noProof/>
                <w:color w:val="4F81BD" w:themeColor="accent1"/>
                <w:kern w:val="2"/>
                <w:sz w:val="36"/>
                <w:szCs w:val="36"/>
              </w:rPr>
              <w:drawing>
                <wp:anchor distT="0" distB="0" distL="114300" distR="114300" simplePos="0" relativeHeight="251669504" behindDoc="0" locked="0" layoutInCell="1" allowOverlap="1" wp14:anchorId="3420F9A9" wp14:editId="4D82DDE8">
                  <wp:simplePos x="0" y="0"/>
                  <wp:positionH relativeFrom="column">
                    <wp:posOffset>5080</wp:posOffset>
                  </wp:positionH>
                  <wp:positionV relativeFrom="paragraph">
                    <wp:posOffset>-1097280</wp:posOffset>
                  </wp:positionV>
                  <wp:extent cx="1701165" cy="1200785"/>
                  <wp:effectExtent l="0" t="0" r="0" b="0"/>
                  <wp:wrapSquare wrapText="bothSides"/>
                  <wp:docPr id="616617698" name="Image 4" descr="Une image contenant cercle, r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617698" name="Image 4" descr="Une image contenant cercle, rose"/>
                          <pic:cNvPicPr>
                            <a:picLocks noChangeAspect="1"/>
                          </pic:cNvPicPr>
                        </pic:nvPicPr>
                        <pic:blipFill>
                          <a:blip r:embed="rId50" cstate="print">
                            <a:extLst>
                              <a:ext uri="{BEBA8EAE-BF5A-486C-A8C5-ECC9F3942E4B}">
                                <a14:imgProps xmlns:a14="http://schemas.microsoft.com/office/drawing/2010/main">
                                  <a14:imgLayer r:embed="rId51">
                                    <a14:imgEffect>
                                      <a14:colorTemperature colorTemp="7200"/>
                                    </a14:imgEffect>
                                  </a14:imgLayer>
                                </a14:imgProps>
                              </a:ext>
                              <a:ext uri="{28A0092B-C50C-407E-A947-70E740481C1C}">
                                <a14:useLocalDpi xmlns:a14="http://schemas.microsoft.com/office/drawing/2010/main" val="0"/>
                              </a:ext>
                            </a:extLst>
                          </a:blip>
                          <a:srcRect l="34988" t="52075" r="20663" b="26829"/>
                          <a:stretch>
                            <a:fillRect/>
                          </a:stretch>
                        </pic:blipFill>
                        <pic:spPr>
                          <a:xfrm>
                            <a:off x="0" y="0"/>
                            <a:ext cx="1701165" cy="1200785"/>
                          </a:xfrm>
                          <a:prstGeom prst="rect">
                            <a:avLst/>
                          </a:prstGeom>
                          <a:ln>
                            <a:noFill/>
                          </a:ln>
                        </pic:spPr>
                      </pic:pic>
                    </a:graphicData>
                  </a:graphic>
                  <wp14:sizeRelH relativeFrom="margin">
                    <wp14:pctWidth>0</wp14:pctWidth>
                  </wp14:sizeRelH>
                  <wp14:sizeRelV relativeFrom="margin">
                    <wp14:pctHeight>0</wp14:pctHeight>
                  </wp14:sizeRelV>
                </wp:anchor>
              </w:drawing>
            </w:r>
          </w:p>
        </w:tc>
      </w:tr>
      <w:tr w:rsidR="00B611D1" w14:paraId="44B7F5AF" w14:textId="77777777">
        <w:trPr>
          <w:trHeight w:val="2358"/>
        </w:trPr>
        <w:tc>
          <w:tcPr>
            <w:tcW w:w="1522" w:type="dxa"/>
            <w:vMerge/>
            <w:tcBorders>
              <w:top w:val="single" w:sz="4" w:space="0" w:color="auto"/>
              <w:left w:val="single" w:sz="4" w:space="0" w:color="auto"/>
              <w:bottom w:val="single" w:sz="4" w:space="0" w:color="auto"/>
              <w:right w:val="single" w:sz="4" w:space="0" w:color="auto"/>
            </w:tcBorders>
            <w:vAlign w:val="center"/>
          </w:tcPr>
          <w:p w14:paraId="080E7321" w14:textId="77777777" w:rsidR="00B611D1" w:rsidRDefault="00B611D1">
            <w:pPr>
              <w:spacing w:after="200" w:line="276" w:lineRule="auto"/>
              <w:jc w:val="center"/>
              <w:rPr>
                <w:rFonts w:asciiTheme="majorBidi" w:hAnsiTheme="majorBidi" w:cstheme="majorBidi"/>
                <w:b/>
                <w:bCs/>
                <w:i/>
                <w:iCs/>
                <w:kern w:val="2"/>
                <w:lang w:val="fr-FR"/>
              </w:rPr>
            </w:pPr>
          </w:p>
        </w:tc>
        <w:tc>
          <w:tcPr>
            <w:tcW w:w="1781" w:type="dxa"/>
            <w:tcBorders>
              <w:top w:val="single" w:sz="8" w:space="0" w:color="000000"/>
              <w:left w:val="single" w:sz="4" w:space="0" w:color="auto"/>
              <w:bottom w:val="single" w:sz="8" w:space="0" w:color="000000"/>
              <w:right w:val="single" w:sz="8" w:space="0" w:color="000000"/>
            </w:tcBorders>
            <w:shd w:val="clear" w:color="auto" w:fill="auto"/>
            <w:tcMar>
              <w:top w:w="72" w:type="dxa"/>
              <w:left w:w="144" w:type="dxa"/>
              <w:bottom w:w="72" w:type="dxa"/>
              <w:right w:w="144" w:type="dxa"/>
            </w:tcMar>
            <w:vAlign w:val="center"/>
          </w:tcPr>
          <w:p w14:paraId="2D636B6B" w14:textId="77777777" w:rsidR="00B611D1" w:rsidRDefault="00FB7689">
            <w:pPr>
              <w:spacing w:after="200" w:line="276" w:lineRule="auto"/>
              <w:jc w:val="center"/>
              <w:rPr>
                <w:rFonts w:asciiTheme="majorBidi" w:eastAsiaTheme="minorEastAsia" w:hAnsiTheme="majorBidi" w:cstheme="majorBidi"/>
                <w:i/>
                <w:iCs/>
                <w:kern w:val="2"/>
                <w:lang w:val="fr-FR"/>
              </w:rPr>
            </w:pPr>
            <w:r>
              <w:rPr>
                <w:rFonts w:hint="eastAsia"/>
                <w:i/>
                <w:iCs/>
                <w:kern w:val="2"/>
              </w:rPr>
              <w:t>Acinetobacter baumannii</w:t>
            </w:r>
          </w:p>
        </w:tc>
        <w:tc>
          <w:tcPr>
            <w:tcW w:w="1495" w:type="dxa"/>
            <w:vMerge/>
            <w:tcBorders>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5A1CA4B6" w14:textId="77777777" w:rsidR="00B611D1" w:rsidRDefault="00B611D1">
            <w:pPr>
              <w:spacing w:after="200" w:line="276" w:lineRule="auto"/>
              <w:rPr>
                <w:rFonts w:asciiTheme="majorBidi" w:hAnsiTheme="majorBidi" w:cstheme="majorBidi"/>
                <w:kern w:val="2"/>
                <w:lang w:val="fr-FR"/>
              </w:rPr>
            </w:pPr>
          </w:p>
        </w:tc>
        <w:tc>
          <w:tcPr>
            <w:tcW w:w="31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17E7C6D7" w14:textId="77777777" w:rsidR="00B611D1" w:rsidRDefault="00FB7689">
            <w:pPr>
              <w:spacing w:after="200" w:line="276" w:lineRule="auto"/>
              <w:jc w:val="center"/>
              <w:rPr>
                <w:rFonts w:asciiTheme="majorBidi" w:hAnsiTheme="majorBidi" w:cstheme="majorBidi"/>
                <w:b/>
                <w:bCs/>
                <w:kern w:val="2"/>
                <w:lang w:val="fr-FR"/>
              </w:rPr>
            </w:pPr>
            <w:r>
              <w:rPr>
                <w:rFonts w:hint="eastAsia"/>
                <w:b/>
                <w:bCs/>
                <w:noProof/>
                <w:color w:val="4F81BD" w:themeColor="accent1"/>
                <w:kern w:val="2"/>
                <w:sz w:val="36"/>
                <w:szCs w:val="36"/>
              </w:rPr>
              <w:drawing>
                <wp:inline distT="0" distB="0" distL="114300" distR="114300" wp14:anchorId="2D2FE26E" wp14:editId="210E652A">
                  <wp:extent cx="1702435" cy="1524000"/>
                  <wp:effectExtent l="0" t="0" r="0" b="0"/>
                  <wp:docPr id="1" name="Image 1" descr="AC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ACINE"/>
                          <pic:cNvPicPr>
                            <a:picLocks noChangeAspect="1"/>
                          </pic:cNvPicPr>
                        </pic:nvPicPr>
                        <pic:blipFill>
                          <a:blip r:embed="rId52"/>
                          <a:srcRect l="5913" r="4296" b="17702"/>
                          <a:stretch>
                            <a:fillRect/>
                          </a:stretch>
                        </pic:blipFill>
                        <pic:spPr>
                          <a:xfrm>
                            <a:off x="0" y="0"/>
                            <a:ext cx="1738409" cy="1555651"/>
                          </a:xfrm>
                          <a:prstGeom prst="rect">
                            <a:avLst/>
                          </a:prstGeom>
                          <a:ln>
                            <a:noFill/>
                          </a:ln>
                        </pic:spPr>
                      </pic:pic>
                    </a:graphicData>
                  </a:graphic>
                </wp:inline>
              </w:drawing>
            </w:r>
          </w:p>
        </w:tc>
        <w:tc>
          <w:tcPr>
            <w:tcW w:w="30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31C3EF16" w14:textId="05CDD120" w:rsidR="00B611D1" w:rsidRDefault="00525786">
            <w:pPr>
              <w:spacing w:after="200" w:line="276" w:lineRule="auto"/>
              <w:jc w:val="center"/>
              <w:rPr>
                <w:b/>
                <w:bCs/>
                <w:color w:val="4F81BD" w:themeColor="accent1"/>
                <w:kern w:val="2"/>
                <w:sz w:val="36"/>
                <w:szCs w:val="36"/>
              </w:rPr>
            </w:pPr>
            <w:r>
              <w:rPr>
                <w:rFonts w:asciiTheme="majorBidi" w:hAnsiTheme="majorBidi" w:cstheme="majorBidi" w:hint="eastAsia"/>
                <w:b/>
                <w:bCs/>
                <w:noProof/>
                <w:kern w:val="2"/>
                <w:lang w:val="fr-FR"/>
              </w:rPr>
              <mc:AlternateContent>
                <mc:Choice Requires="wps">
                  <w:drawing>
                    <wp:anchor distT="0" distB="0" distL="114300" distR="114300" simplePos="0" relativeHeight="251677696" behindDoc="0" locked="0" layoutInCell="1" allowOverlap="1" wp14:anchorId="43DC67E8" wp14:editId="7DA3D2EC">
                      <wp:simplePos x="0" y="0"/>
                      <wp:positionH relativeFrom="column">
                        <wp:posOffset>1355090</wp:posOffset>
                      </wp:positionH>
                      <wp:positionV relativeFrom="paragraph">
                        <wp:posOffset>52070</wp:posOffset>
                      </wp:positionV>
                      <wp:extent cx="464820" cy="203200"/>
                      <wp:effectExtent l="0" t="0" r="0" b="0"/>
                      <wp:wrapNone/>
                      <wp:docPr id="1736923075" name="Zone de texte 21"/>
                      <wp:cNvGraphicFramePr/>
                      <a:graphic xmlns:a="http://schemas.openxmlformats.org/drawingml/2006/main">
                        <a:graphicData uri="http://schemas.microsoft.com/office/word/2010/wordprocessingShape">
                          <wps:wsp>
                            <wps:cNvSpPr txBox="1"/>
                            <wps:spPr>
                              <a:xfrm>
                                <a:off x="0" y="0"/>
                                <a:ext cx="464820" cy="203200"/>
                              </a:xfrm>
                              <a:prstGeom prst="rect">
                                <a:avLst/>
                              </a:prstGeom>
                              <a:noFill/>
                              <a:ln w="6350">
                                <a:noFill/>
                              </a:ln>
                            </wps:spPr>
                            <wps:txbx>
                              <w:txbxContent>
                                <w:p w14:paraId="6FC8CF83" w14:textId="77777777" w:rsidR="00525786" w:rsidRPr="00771DB6" w:rsidRDefault="00525786" w:rsidP="00525786">
                                  <w:pPr>
                                    <w:rPr>
                                      <w:b/>
                                      <w:bCs/>
                                      <w:sz w:val="16"/>
                                      <w:szCs w:val="16"/>
                                      <w:lang w:eastAsia="zh-CN"/>
                                    </w:rPr>
                                  </w:pPr>
                                  <w:r w:rsidRPr="00771DB6">
                                    <w:rPr>
                                      <w:b/>
                                      <w:bCs/>
                                      <w:sz w:val="16"/>
                                      <w:szCs w:val="16"/>
                                    </w:rPr>
                                    <w:t xml:space="preserve">100×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3DC67E8" id="_x0000_s1032" type="#_x0000_t202" style="position:absolute;left:0;text-align:left;margin-left:106.7pt;margin-top:4.1pt;width:36.6pt;height:1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" filled="f" stroked="f" strokeweight=".5pt">
                      <v:textbox>
                        <w:txbxContent>
                          <w:p w14:paraId="6FC8CF83" w14:textId="77777777" w:rsidR="00525786" w:rsidRPr="00771DB6" w:rsidRDefault="00525786" w:rsidP="00525786">
                            <w:pPr>
                              <w:rPr>
                                <w:rFonts w:hint="eastAsia"/>
                                <w:b/>
                                <w:bCs/>
                                <w:sz w:val="16"/>
                                <w:szCs w:val="16"/>
                                <w:lang w:eastAsia="zh-CN"/>
                              </w:rPr>
                            </w:pPr>
                            <w:r w:rsidRPr="00771DB6">
                              <w:rPr>
                                <w:b/>
                                <w:bCs/>
                                <w:sz w:val="16"/>
                                <w:szCs w:val="16"/>
                              </w:rPr>
                              <w:t xml:space="preserve">100× </w:t>
                            </w:r>
                          </w:p>
                        </w:txbxContent>
                      </v:textbox>
                    </v:shape>
                  </w:pict>
                </mc:Fallback>
              </mc:AlternateContent>
            </w:r>
            <w:r w:rsidR="00855AAA">
              <w:rPr>
                <w:rFonts w:hint="eastAsia"/>
                <w:b/>
                <w:bCs/>
                <w:noProof/>
                <w:color w:val="4F81BD" w:themeColor="accent1"/>
                <w:kern w:val="2"/>
                <w:sz w:val="36"/>
                <w:szCs w:val="36"/>
              </w:rPr>
              <w:drawing>
                <wp:inline distT="0" distB="0" distL="0" distR="0" wp14:anchorId="404BAF82" wp14:editId="1CD9EF94">
                  <wp:extent cx="1690370" cy="1501140"/>
                  <wp:effectExtent l="0" t="0" r="0" b="0"/>
                  <wp:docPr id="9654643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464348" name="Picture 1"/>
                          <pic:cNvPicPr>
                            <a:picLocks noChangeAspect="1"/>
                          </pic:cNvPicPr>
                        </pic:nvPicPr>
                        <pic:blipFill>
                          <a:blip r:embed="rId53"/>
                          <a:stretch>
                            <a:fillRect/>
                          </a:stretch>
                        </pic:blipFill>
                        <pic:spPr>
                          <a:xfrm>
                            <a:off x="0" y="0"/>
                            <a:ext cx="1693271" cy="1503462"/>
                          </a:xfrm>
                          <a:prstGeom prst="rect">
                            <a:avLst/>
                          </a:prstGeom>
                        </pic:spPr>
                      </pic:pic>
                    </a:graphicData>
                  </a:graphic>
                </wp:inline>
              </w:drawing>
            </w:r>
          </w:p>
        </w:tc>
      </w:tr>
      <w:tr w:rsidR="00B611D1" w14:paraId="2D3BBE6E" w14:textId="77777777">
        <w:trPr>
          <w:trHeight w:val="1157"/>
        </w:trPr>
        <w:tc>
          <w:tcPr>
            <w:tcW w:w="1522" w:type="dxa"/>
            <w:vMerge w:val="restart"/>
            <w:tcBorders>
              <w:top w:val="single" w:sz="4" w:space="0" w:color="auto"/>
              <w:left w:val="single" w:sz="4" w:space="0" w:color="auto"/>
              <w:bottom w:val="single" w:sz="4" w:space="0" w:color="auto"/>
              <w:right w:val="single" w:sz="4" w:space="0" w:color="auto"/>
            </w:tcBorders>
            <w:vAlign w:val="center"/>
          </w:tcPr>
          <w:p w14:paraId="60591A7B" w14:textId="77777777" w:rsidR="00B611D1" w:rsidRDefault="00FB7689">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kern w:val="2"/>
                <w:lang w:val="fr-FR"/>
              </w:rPr>
              <w:t>Cocci à Gram positif</w:t>
            </w:r>
          </w:p>
        </w:tc>
        <w:tc>
          <w:tcPr>
            <w:tcW w:w="1781" w:type="dxa"/>
            <w:tcBorders>
              <w:top w:val="single" w:sz="8" w:space="0" w:color="000000"/>
              <w:left w:val="single" w:sz="4" w:space="0" w:color="auto"/>
              <w:bottom w:val="single" w:sz="8" w:space="0" w:color="000000"/>
              <w:right w:val="single" w:sz="8" w:space="0" w:color="000000"/>
            </w:tcBorders>
            <w:shd w:val="clear" w:color="auto" w:fill="auto"/>
            <w:tcMar>
              <w:top w:w="72" w:type="dxa"/>
              <w:left w:w="144" w:type="dxa"/>
              <w:bottom w:w="72" w:type="dxa"/>
              <w:right w:w="144" w:type="dxa"/>
            </w:tcMar>
            <w:vAlign w:val="center"/>
          </w:tcPr>
          <w:p w14:paraId="5559CDB4" w14:textId="77777777" w:rsidR="00B611D1" w:rsidRDefault="00FB7689">
            <w:pPr>
              <w:spacing w:after="200" w:line="276" w:lineRule="auto"/>
              <w:jc w:val="center"/>
              <w:rPr>
                <w:rFonts w:asciiTheme="majorBidi" w:hAnsiTheme="majorBidi" w:cstheme="majorBidi"/>
                <w:kern w:val="2"/>
                <w:lang w:val="fr-FR"/>
              </w:rPr>
            </w:pPr>
            <w:r>
              <w:rPr>
                <w:rFonts w:asciiTheme="majorBidi" w:eastAsiaTheme="minorEastAsia" w:hAnsiTheme="majorBidi" w:cstheme="majorBidi" w:hint="eastAsia"/>
                <w:i/>
                <w:iCs/>
                <w:kern w:val="2"/>
                <w:lang w:val="fr-FR"/>
              </w:rPr>
              <w:t>Staphylococcus  aureus</w:t>
            </w:r>
            <w:r>
              <w:rPr>
                <w:rFonts w:asciiTheme="majorBidi" w:hAnsiTheme="majorBidi" w:cstheme="majorBidi" w:hint="eastAsia"/>
                <w:i/>
                <w:iCs/>
                <w:kern w:val="2"/>
                <w:lang w:val="fr-FR"/>
              </w:rPr>
              <w:t xml:space="preserve"> </w:t>
            </w:r>
          </w:p>
        </w:tc>
        <w:tc>
          <w:tcPr>
            <w:tcW w:w="1495" w:type="dxa"/>
            <w:vMerge w:val="restart"/>
            <w:tcBorders>
              <w:top w:val="single" w:sz="8" w:space="0" w:color="000000"/>
              <w:left w:val="single" w:sz="8" w:space="0" w:color="000000"/>
              <w:right w:val="single" w:sz="8" w:space="0" w:color="000000"/>
            </w:tcBorders>
            <w:shd w:val="clear" w:color="auto" w:fill="auto"/>
            <w:tcMar>
              <w:top w:w="72" w:type="dxa"/>
              <w:left w:w="144" w:type="dxa"/>
              <w:bottom w:w="72" w:type="dxa"/>
              <w:right w:w="144" w:type="dxa"/>
            </w:tcMar>
            <w:vAlign w:val="center"/>
          </w:tcPr>
          <w:p w14:paraId="7135573E" w14:textId="77777777" w:rsidR="00B611D1" w:rsidRDefault="00FB7689">
            <w:pPr>
              <w:spacing w:after="200" w:line="276" w:lineRule="auto"/>
              <w:jc w:val="center"/>
              <w:rPr>
                <w:rFonts w:asciiTheme="majorBidi" w:hAnsiTheme="majorBidi" w:cstheme="majorBidi"/>
                <w:kern w:val="2"/>
                <w:lang w:val="fr-FR"/>
              </w:rPr>
            </w:pPr>
            <w:r>
              <w:rPr>
                <w:rFonts w:asciiTheme="majorBidi" w:hAnsiTheme="majorBidi" w:cstheme="majorBidi" w:hint="eastAsia"/>
                <w:kern w:val="2"/>
                <w:lang w:val="fr-FR"/>
              </w:rPr>
              <w:t>Chapmen</w:t>
            </w:r>
          </w:p>
        </w:tc>
        <w:tc>
          <w:tcPr>
            <w:tcW w:w="31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2660D219" w14:textId="77777777" w:rsidR="00B611D1" w:rsidRDefault="00FB7689">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noProof/>
                <w:kern w:val="2"/>
                <w:lang w:val="fr-FR"/>
              </w:rPr>
              <w:drawing>
                <wp:inline distT="0" distB="0" distL="0" distR="0" wp14:anchorId="307015D0" wp14:editId="570199AA">
                  <wp:extent cx="1589405" cy="1604645"/>
                  <wp:effectExtent l="0" t="0" r="0" b="0"/>
                  <wp:docPr id="7" name="Image 30" descr="photo_2025-03-25_16-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30" descr="photo_2025-03-25_16-10-35"/>
                          <pic:cNvPicPr>
                            <a:picLocks noChangeAspect="1"/>
                          </pic:cNvPicPr>
                        </pic:nvPicPr>
                        <pic:blipFill>
                          <a:blip r:embed="rId54">
                            <a:extLst>
                              <a:ext uri="{BEBA8EAE-BF5A-486C-A8C5-ECC9F3942E4B}">
                                <a14:imgProps xmlns:a14="http://schemas.microsoft.com/office/drawing/2010/main">
                                  <a14:imgLayer r:embed="rId55">
                                    <a14:imgEffect>
                                      <a14:sharpenSoften amount="50000"/>
                                    </a14:imgEffect>
                                  </a14:imgLayer>
                                </a14:imgProps>
                              </a:ext>
                            </a:extLst>
                          </a:blip>
                          <a:srcRect l="13663" t="33930" r="21326" b="16392"/>
                          <a:stretch>
                            <a:fillRect/>
                          </a:stretch>
                        </pic:blipFill>
                        <pic:spPr>
                          <a:xfrm>
                            <a:off x="0" y="0"/>
                            <a:ext cx="1620388" cy="1636137"/>
                          </a:xfrm>
                          <a:prstGeom prst="rect">
                            <a:avLst/>
                          </a:prstGeom>
                        </pic:spPr>
                      </pic:pic>
                    </a:graphicData>
                  </a:graphic>
                </wp:inline>
              </w:drawing>
            </w:r>
          </w:p>
        </w:tc>
        <w:tc>
          <w:tcPr>
            <w:tcW w:w="30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6B68C433" w14:textId="3E2EEDCE" w:rsidR="00B611D1" w:rsidRDefault="00525786">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noProof/>
                <w:kern w:val="2"/>
                <w:lang w:val="fr-FR"/>
              </w:rPr>
              <mc:AlternateContent>
                <mc:Choice Requires="wps">
                  <w:drawing>
                    <wp:anchor distT="0" distB="0" distL="114300" distR="114300" simplePos="0" relativeHeight="251679744" behindDoc="0" locked="0" layoutInCell="1" allowOverlap="1" wp14:anchorId="2965D892" wp14:editId="69E1849E">
                      <wp:simplePos x="0" y="0"/>
                      <wp:positionH relativeFrom="column">
                        <wp:posOffset>1355090</wp:posOffset>
                      </wp:positionH>
                      <wp:positionV relativeFrom="paragraph">
                        <wp:posOffset>67310</wp:posOffset>
                      </wp:positionV>
                      <wp:extent cx="464820" cy="203200"/>
                      <wp:effectExtent l="0" t="0" r="0" b="0"/>
                      <wp:wrapNone/>
                      <wp:docPr id="624512720" name="Zone de texte 21"/>
                      <wp:cNvGraphicFramePr/>
                      <a:graphic xmlns:a="http://schemas.openxmlformats.org/drawingml/2006/main">
                        <a:graphicData uri="http://schemas.microsoft.com/office/word/2010/wordprocessingShape">
                          <wps:wsp>
                            <wps:cNvSpPr txBox="1"/>
                            <wps:spPr>
                              <a:xfrm>
                                <a:off x="0" y="0"/>
                                <a:ext cx="464820" cy="203200"/>
                              </a:xfrm>
                              <a:prstGeom prst="rect">
                                <a:avLst/>
                              </a:prstGeom>
                              <a:noFill/>
                              <a:ln w="6350">
                                <a:noFill/>
                              </a:ln>
                            </wps:spPr>
                            <wps:txbx>
                              <w:txbxContent>
                                <w:p w14:paraId="47DE8206" w14:textId="77777777" w:rsidR="00525786" w:rsidRPr="00771DB6" w:rsidRDefault="00525786" w:rsidP="00525786">
                                  <w:pPr>
                                    <w:rPr>
                                      <w:b/>
                                      <w:bCs/>
                                      <w:sz w:val="16"/>
                                      <w:szCs w:val="16"/>
                                      <w:lang w:eastAsia="zh-CN"/>
                                    </w:rPr>
                                  </w:pPr>
                                  <w:r w:rsidRPr="00771DB6">
                                    <w:rPr>
                                      <w:b/>
                                      <w:bCs/>
                                      <w:sz w:val="16"/>
                                      <w:szCs w:val="16"/>
                                    </w:rPr>
                                    <w:t xml:space="preserve">100×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2965D892" id="_x0000_s1033" type="#_x0000_t202" style="position:absolute;left:0;text-align:left;margin-left:106.7pt;margin-top:5.3pt;width:36.6pt;height:1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" filled="f" stroked="f" strokeweight=".5pt">
                      <v:textbox>
                        <w:txbxContent>
                          <w:p w14:paraId="47DE8206" w14:textId="77777777" w:rsidR="00525786" w:rsidRPr="00771DB6" w:rsidRDefault="00525786" w:rsidP="00525786">
                            <w:pPr>
                              <w:rPr>
                                <w:rFonts w:hint="eastAsia"/>
                                <w:b/>
                                <w:bCs/>
                                <w:sz w:val="16"/>
                                <w:szCs w:val="16"/>
                                <w:lang w:eastAsia="zh-CN"/>
                              </w:rPr>
                            </w:pPr>
                            <w:r w:rsidRPr="00771DB6">
                              <w:rPr>
                                <w:b/>
                                <w:bCs/>
                                <w:sz w:val="16"/>
                                <w:szCs w:val="16"/>
                              </w:rPr>
                              <w:t xml:space="preserve">100× </w:t>
                            </w:r>
                          </w:p>
                        </w:txbxContent>
                      </v:textbox>
                    </v:shape>
                  </w:pict>
                </mc:Fallback>
              </mc:AlternateContent>
            </w:r>
            <w:r w:rsidR="00855AAA">
              <w:rPr>
                <w:rFonts w:asciiTheme="majorBidi" w:hAnsiTheme="majorBidi" w:cstheme="majorBidi" w:hint="eastAsia"/>
                <w:b/>
                <w:bCs/>
                <w:noProof/>
                <w:kern w:val="2"/>
                <w:lang w:val="fr-FR"/>
              </w:rPr>
              <w:drawing>
                <wp:inline distT="0" distB="0" distL="0" distR="0" wp14:anchorId="7370E513" wp14:editId="6BA85D0F">
                  <wp:extent cx="1446530" cy="1722120"/>
                  <wp:effectExtent l="0" t="4445" r="0" b="0"/>
                  <wp:docPr id="8" name="Image 34" descr="photo_2025-03-03_15-5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34" descr="photo_2025-03-03_15-59-54"/>
                          <pic:cNvPicPr>
                            <a:picLocks noChangeAspect="1"/>
                          </pic:cNvPicPr>
                        </pic:nvPicPr>
                        <pic:blipFill>
                          <a:blip r:embed="rId56"/>
                          <a:srcRect l="26298" t="30531" r="33720"/>
                          <a:stretch>
                            <a:fillRect/>
                          </a:stretch>
                        </pic:blipFill>
                        <pic:spPr>
                          <a:xfrm rot="5400000">
                            <a:off x="0" y="0"/>
                            <a:ext cx="1484312" cy="1766836"/>
                          </a:xfrm>
                          <a:prstGeom prst="rect">
                            <a:avLst/>
                          </a:prstGeom>
                          <a:ln>
                            <a:noFill/>
                          </a:ln>
                        </pic:spPr>
                      </pic:pic>
                    </a:graphicData>
                  </a:graphic>
                </wp:inline>
              </w:drawing>
            </w:r>
          </w:p>
        </w:tc>
      </w:tr>
      <w:tr w:rsidR="00B611D1" w14:paraId="1276AC4C" w14:textId="77777777">
        <w:trPr>
          <w:trHeight w:val="1157"/>
        </w:trPr>
        <w:tc>
          <w:tcPr>
            <w:tcW w:w="1522" w:type="dxa"/>
            <w:vMerge/>
            <w:tcBorders>
              <w:top w:val="single" w:sz="4" w:space="0" w:color="auto"/>
              <w:left w:val="single" w:sz="4" w:space="0" w:color="auto"/>
              <w:bottom w:val="single" w:sz="4" w:space="0" w:color="auto"/>
              <w:right w:val="single" w:sz="4" w:space="0" w:color="auto"/>
            </w:tcBorders>
          </w:tcPr>
          <w:p w14:paraId="68055CFF" w14:textId="77777777" w:rsidR="00B611D1" w:rsidRDefault="00B611D1">
            <w:pPr>
              <w:spacing w:after="200" w:line="276" w:lineRule="auto"/>
              <w:jc w:val="center"/>
              <w:rPr>
                <w:rFonts w:asciiTheme="majorBidi" w:hAnsiTheme="majorBidi" w:cstheme="majorBidi"/>
                <w:b/>
                <w:bCs/>
                <w:i/>
                <w:iCs/>
                <w:kern w:val="2"/>
                <w:lang w:val="fr-FR"/>
              </w:rPr>
            </w:pPr>
          </w:p>
        </w:tc>
        <w:tc>
          <w:tcPr>
            <w:tcW w:w="1781" w:type="dxa"/>
            <w:tcBorders>
              <w:top w:val="single" w:sz="8" w:space="0" w:color="000000"/>
              <w:left w:val="single" w:sz="4" w:space="0" w:color="auto"/>
              <w:bottom w:val="single" w:sz="8" w:space="0" w:color="000000"/>
              <w:right w:val="single" w:sz="8" w:space="0" w:color="000000"/>
            </w:tcBorders>
            <w:shd w:val="clear" w:color="auto" w:fill="auto"/>
            <w:tcMar>
              <w:top w:w="72" w:type="dxa"/>
              <w:left w:w="144" w:type="dxa"/>
              <w:bottom w:w="72" w:type="dxa"/>
              <w:right w:w="144" w:type="dxa"/>
            </w:tcMar>
            <w:vAlign w:val="center"/>
          </w:tcPr>
          <w:p w14:paraId="30CD9714" w14:textId="77777777" w:rsidR="00B611D1" w:rsidRDefault="00FB7689">
            <w:pPr>
              <w:spacing w:after="200" w:line="276" w:lineRule="auto"/>
              <w:jc w:val="center"/>
              <w:rPr>
                <w:rFonts w:asciiTheme="majorBidi" w:hAnsiTheme="majorBidi" w:cstheme="majorBidi"/>
                <w:kern w:val="2"/>
                <w:lang w:val="fr-FR"/>
              </w:rPr>
            </w:pPr>
            <w:r>
              <w:rPr>
                <w:rFonts w:asciiTheme="majorBidi" w:eastAsiaTheme="minorEastAsia" w:hAnsiTheme="majorBidi" w:cstheme="majorBidi" w:hint="eastAsia"/>
                <w:i/>
                <w:iCs/>
                <w:kern w:val="2"/>
                <w:lang w:val="fr-FR"/>
              </w:rPr>
              <w:t>Staphylococcus hominis</w:t>
            </w:r>
          </w:p>
        </w:tc>
        <w:tc>
          <w:tcPr>
            <w:tcW w:w="1495" w:type="dxa"/>
            <w:vMerge/>
            <w:tcBorders>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5A299815" w14:textId="77777777" w:rsidR="00B611D1" w:rsidRDefault="00B611D1">
            <w:pPr>
              <w:spacing w:after="200" w:line="276" w:lineRule="auto"/>
              <w:jc w:val="center"/>
              <w:rPr>
                <w:rFonts w:asciiTheme="majorBidi" w:hAnsiTheme="majorBidi" w:cstheme="majorBidi"/>
                <w:kern w:val="2"/>
                <w:lang w:val="fr-FR"/>
              </w:rPr>
            </w:pPr>
          </w:p>
        </w:tc>
        <w:tc>
          <w:tcPr>
            <w:tcW w:w="3128"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08BC31DA" w14:textId="77777777" w:rsidR="00B611D1" w:rsidRDefault="00FB7689">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noProof/>
                <w:kern w:val="2"/>
                <w:lang w:val="fr-FR"/>
              </w:rPr>
              <w:drawing>
                <wp:inline distT="0" distB="0" distL="0" distR="0" wp14:anchorId="1D6DB138" wp14:editId="143474EF">
                  <wp:extent cx="1630045" cy="1617980"/>
                  <wp:effectExtent l="0" t="0" r="0" b="0"/>
                  <wp:docPr id="9" name="Image 6" descr="photo_2025-03-02_17-0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6" descr="photo_2025-03-02_17-01-27"/>
                          <pic:cNvPicPr>
                            <a:picLocks noChangeAspect="1"/>
                          </pic:cNvPicPr>
                        </pic:nvPicPr>
                        <pic:blipFill>
                          <a:blip r:embed="rId57">
                            <a:extLst>
                              <a:ext uri="{BEBA8EAE-BF5A-486C-A8C5-ECC9F3942E4B}">
                                <a14:imgProps xmlns:a14="http://schemas.microsoft.com/office/drawing/2010/main">
                                  <a14:imgLayer r:embed="rId58">
                                    <a14:imgEffect>
                                      <a14:sharpenSoften amount="50000"/>
                                    </a14:imgEffect>
                                  </a14:imgLayer>
                                </a14:imgProps>
                              </a:ext>
                            </a:extLst>
                          </a:blip>
                          <a:srcRect t="7716" b="23563"/>
                          <a:stretch>
                            <a:fillRect/>
                          </a:stretch>
                        </pic:blipFill>
                        <pic:spPr>
                          <a:xfrm>
                            <a:off x="0" y="0"/>
                            <a:ext cx="1630547" cy="1618488"/>
                          </a:xfrm>
                          <a:prstGeom prst="rect">
                            <a:avLst/>
                          </a:prstGeom>
                        </pic:spPr>
                      </pic:pic>
                    </a:graphicData>
                  </a:graphic>
                </wp:inline>
              </w:drawing>
            </w:r>
          </w:p>
        </w:tc>
        <w:tc>
          <w:tcPr>
            <w:tcW w:w="306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36D131F7" w14:textId="736121BF" w:rsidR="00B611D1" w:rsidRDefault="00525786">
            <w:pPr>
              <w:spacing w:after="200" w:line="276" w:lineRule="auto"/>
              <w:jc w:val="center"/>
              <w:rPr>
                <w:rFonts w:asciiTheme="majorBidi" w:hAnsiTheme="majorBidi" w:cstheme="majorBidi"/>
                <w:b/>
                <w:bCs/>
                <w:kern w:val="2"/>
                <w:lang w:val="fr-FR"/>
              </w:rPr>
            </w:pPr>
            <w:r>
              <w:rPr>
                <w:rFonts w:asciiTheme="majorBidi" w:hAnsiTheme="majorBidi" w:cstheme="majorBidi" w:hint="eastAsia"/>
                <w:b/>
                <w:bCs/>
                <w:noProof/>
                <w:kern w:val="2"/>
                <w:lang w:val="fr-FR"/>
              </w:rPr>
              <mc:AlternateContent>
                <mc:Choice Requires="wps">
                  <w:drawing>
                    <wp:anchor distT="0" distB="0" distL="114300" distR="114300" simplePos="0" relativeHeight="251681792" behindDoc="0" locked="0" layoutInCell="1" allowOverlap="1" wp14:anchorId="70588223" wp14:editId="581013F0">
                      <wp:simplePos x="0" y="0"/>
                      <wp:positionH relativeFrom="column">
                        <wp:posOffset>0</wp:posOffset>
                      </wp:positionH>
                      <wp:positionV relativeFrom="paragraph">
                        <wp:posOffset>34925</wp:posOffset>
                      </wp:positionV>
                      <wp:extent cx="464820" cy="203200"/>
                      <wp:effectExtent l="0" t="0" r="0" b="0"/>
                      <wp:wrapNone/>
                      <wp:docPr id="2044251082" name="Zone de texte 21"/>
                      <wp:cNvGraphicFramePr/>
                      <a:graphic xmlns:a="http://schemas.openxmlformats.org/drawingml/2006/main">
                        <a:graphicData uri="http://schemas.microsoft.com/office/word/2010/wordprocessingShape">
                          <wps:wsp>
                            <wps:cNvSpPr txBox="1"/>
                            <wps:spPr>
                              <a:xfrm>
                                <a:off x="0" y="0"/>
                                <a:ext cx="464820" cy="203200"/>
                              </a:xfrm>
                              <a:prstGeom prst="rect">
                                <a:avLst/>
                              </a:prstGeom>
                              <a:noFill/>
                              <a:ln w="6350">
                                <a:noFill/>
                              </a:ln>
                            </wps:spPr>
                            <wps:txbx>
                              <w:txbxContent>
                                <w:p w14:paraId="058C5337" w14:textId="77777777" w:rsidR="00525786" w:rsidRPr="00771DB6" w:rsidRDefault="00525786" w:rsidP="00525786">
                                  <w:pPr>
                                    <w:rPr>
                                      <w:b/>
                                      <w:bCs/>
                                      <w:sz w:val="16"/>
                                      <w:szCs w:val="16"/>
                                      <w:lang w:eastAsia="zh-CN"/>
                                    </w:rPr>
                                  </w:pPr>
                                  <w:r w:rsidRPr="00771DB6">
                                    <w:rPr>
                                      <w:b/>
                                      <w:bCs/>
                                      <w:sz w:val="16"/>
                                      <w:szCs w:val="16"/>
                                    </w:rPr>
                                    <w:t xml:space="preserve">100×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0588223" id="_x0000_s1034" type="#_x0000_t202" style="position:absolute;left:0;text-align:left;margin-left:0;margin-top:2.75pt;width:36.6pt;height:1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" filled="f" stroked="f" strokeweight=".5pt">
                      <v:textbox>
                        <w:txbxContent>
                          <w:p w14:paraId="058C5337" w14:textId="77777777" w:rsidR="00525786" w:rsidRPr="00771DB6" w:rsidRDefault="00525786" w:rsidP="00525786">
                            <w:pPr>
                              <w:rPr>
                                <w:rFonts w:hint="eastAsia"/>
                                <w:b/>
                                <w:bCs/>
                                <w:sz w:val="16"/>
                                <w:szCs w:val="16"/>
                                <w:lang w:eastAsia="zh-CN"/>
                              </w:rPr>
                            </w:pPr>
                            <w:r w:rsidRPr="00771DB6">
                              <w:rPr>
                                <w:b/>
                                <w:bCs/>
                                <w:sz w:val="16"/>
                                <w:szCs w:val="16"/>
                              </w:rPr>
                              <w:t xml:space="preserve">100× </w:t>
                            </w:r>
                          </w:p>
                        </w:txbxContent>
                      </v:textbox>
                    </v:shape>
                  </w:pict>
                </mc:Fallback>
              </mc:AlternateContent>
            </w:r>
            <w:r w:rsidR="00771DB6">
              <w:rPr>
                <w:rFonts w:asciiTheme="majorBidi" w:hAnsiTheme="majorBidi" w:cstheme="majorBidi" w:hint="eastAsia"/>
                <w:b/>
                <w:bCs/>
                <w:noProof/>
                <w:kern w:val="2"/>
                <w:lang w:val="fr-FR"/>
              </w:rPr>
              <w:drawing>
                <wp:inline distT="0" distB="0" distL="0" distR="0" wp14:anchorId="3B76A228" wp14:editId="00D83A1A">
                  <wp:extent cx="1509395" cy="1722120"/>
                  <wp:effectExtent l="7938" t="0" r="3492" b="3493"/>
                  <wp:docPr id="10" name="Image 42" descr="photo_2025-03-03_16-02-07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42" descr="photo_2025-03-03_16-02-07 (2)"/>
                          <pic:cNvPicPr>
                            <a:picLocks noChangeAspect="1"/>
                          </pic:cNvPicPr>
                        </pic:nvPicPr>
                        <pic:blipFill>
                          <a:blip r:embed="rId59"/>
                          <a:srcRect l="29637" t="35829" r="37271"/>
                          <a:stretch>
                            <a:fillRect/>
                          </a:stretch>
                        </pic:blipFill>
                        <pic:spPr>
                          <a:xfrm rot="5400000">
                            <a:off x="0" y="0"/>
                            <a:ext cx="1539169" cy="1755401"/>
                          </a:xfrm>
                          <a:prstGeom prst="rect">
                            <a:avLst/>
                          </a:prstGeom>
                        </pic:spPr>
                      </pic:pic>
                    </a:graphicData>
                  </a:graphic>
                </wp:inline>
              </w:drawing>
            </w:r>
          </w:p>
        </w:tc>
      </w:tr>
    </w:tbl>
    <w:p w14:paraId="6DBC91BC" w14:textId="69CB7212" w:rsidR="00B611D1" w:rsidRDefault="00B611D1">
      <w:pPr>
        <w:spacing w:line="360" w:lineRule="auto"/>
        <w:rPr>
          <w:rFonts w:eastAsia="SimSun"/>
          <w:b/>
          <w:bCs/>
          <w:sz w:val="28"/>
          <w:szCs w:val="28"/>
          <w:lang w:val="fr-FR"/>
        </w:rPr>
      </w:pPr>
    </w:p>
    <w:p w14:paraId="762FC6FD" w14:textId="77777777" w:rsidR="00B611D1" w:rsidRDefault="00FB7689">
      <w:pPr>
        <w:pStyle w:val="Titre3"/>
        <w:numPr>
          <w:ilvl w:val="2"/>
          <w:numId w:val="22"/>
        </w:numPr>
        <w:rPr>
          <w:rFonts w:eastAsia="SimSun"/>
          <w:lang w:val="fr-FR"/>
        </w:rPr>
      </w:pPr>
      <w:bookmarkStart w:id="223" w:name="_Toc201260208"/>
      <w:r>
        <w:rPr>
          <w:rFonts w:eastAsia="SimSun"/>
          <w:lang w:val="fr-FR"/>
        </w:rPr>
        <w:t>Identification biochimique</w:t>
      </w:r>
      <w:bookmarkEnd w:id="223"/>
      <w:r>
        <w:rPr>
          <w:rFonts w:eastAsia="SimSun"/>
          <w:lang w:val="fr-FR"/>
        </w:rPr>
        <w:t xml:space="preserve"> </w:t>
      </w:r>
    </w:p>
    <w:p w14:paraId="21F1D51E" w14:textId="77777777" w:rsidR="00B611D1" w:rsidRDefault="00FB7689">
      <w:pPr>
        <w:spacing w:line="360" w:lineRule="auto"/>
        <w:rPr>
          <w:highlight w:val="magenta"/>
          <w:lang w:val="fr-FR"/>
        </w:rPr>
      </w:pPr>
      <w:r>
        <w:rPr>
          <w:rFonts w:eastAsia="SimSun"/>
          <w:color w:val="000000"/>
          <w:lang w:val="fr-FR" w:eastAsia="zh-CN" w:bidi="ar"/>
        </w:rPr>
        <w:t xml:space="preserve">Les résultats de l'identification biochimique par les galeries API sont montrés dans la </w:t>
      </w:r>
      <w:r>
        <w:rPr>
          <w:rFonts w:eastAsia="TimesNewRomanPS-BoldMT"/>
          <w:b/>
          <w:bCs/>
          <w:color w:val="000000"/>
          <w:lang w:val="fr-FR" w:eastAsia="zh-CN" w:bidi="ar"/>
        </w:rPr>
        <w:t xml:space="preserve">Figure 11 </w:t>
      </w:r>
    </w:p>
    <w:p w14:paraId="5589A774" w14:textId="77777777" w:rsidR="00B611D1" w:rsidRDefault="00FB7689">
      <w:pPr>
        <w:rPr>
          <w:rFonts w:eastAsia="SimSun"/>
          <w:color w:val="000000"/>
          <w:lang w:val="en-US" w:eastAsia="zh-CN" w:bidi="ar"/>
        </w:rPr>
      </w:pPr>
      <w:r>
        <w:rPr>
          <w:rFonts w:eastAsia="SimSun"/>
          <w:noProof/>
          <w:color w:val="000000"/>
          <w:lang w:eastAsia="zh-CN" w:bidi="ar"/>
        </w:rPr>
        <w:drawing>
          <wp:inline distT="0" distB="0" distL="0" distR="0" wp14:anchorId="60249F4B" wp14:editId="77FFFC79">
            <wp:extent cx="6299835" cy="6239510"/>
            <wp:effectExtent l="0" t="0" r="0" b="0"/>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60"/>
                    <a:stretch>
                      <a:fillRect/>
                    </a:stretch>
                  </pic:blipFill>
                  <pic:spPr>
                    <a:xfrm>
                      <a:off x="0" y="0"/>
                      <a:ext cx="6306766" cy="6245898"/>
                    </a:xfrm>
                    <a:prstGeom prst="rect">
                      <a:avLst/>
                    </a:prstGeom>
                  </pic:spPr>
                </pic:pic>
              </a:graphicData>
            </a:graphic>
          </wp:inline>
        </w:drawing>
      </w:r>
    </w:p>
    <w:p w14:paraId="1CE9F8E4" w14:textId="77777777" w:rsidR="00B611D1" w:rsidRDefault="00B611D1">
      <w:pPr>
        <w:rPr>
          <w:rFonts w:eastAsia="TimesNewRomanPS-BoldMT"/>
          <w:b/>
          <w:bCs/>
          <w:color w:val="000000"/>
          <w:lang w:val="en-US" w:eastAsia="zh-CN" w:bidi="ar"/>
        </w:rPr>
      </w:pPr>
    </w:p>
    <w:p w14:paraId="56FDFDF2" w14:textId="77777777" w:rsidR="00B611D1" w:rsidRDefault="00FB7689">
      <w:pPr>
        <w:pStyle w:val="Lgende"/>
        <w:rPr>
          <w:rFonts w:eastAsia="TimesNewRomanPS-BoldMT"/>
          <w:b/>
          <w:bCs/>
          <w:i w:val="0"/>
          <w:iCs w:val="0"/>
          <w:color w:val="auto"/>
          <w:sz w:val="24"/>
          <w:szCs w:val="24"/>
          <w:lang w:val="fr-FR" w:eastAsia="zh-CN" w:bidi="ar"/>
        </w:rPr>
      </w:pPr>
      <w:bookmarkStart w:id="224" w:name="_Toc201269655"/>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12</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Identification des souches par le système API basé sur les caractéristiques biochimiques.</w:t>
      </w:r>
      <w:bookmarkEnd w:id="224"/>
    </w:p>
    <w:p w14:paraId="690412D0" w14:textId="77777777" w:rsidR="00B611D1" w:rsidRDefault="00B611D1">
      <w:pPr>
        <w:rPr>
          <w:rFonts w:eastAsia="TimesNewRomanPS-BoldMT"/>
          <w:b/>
          <w:bCs/>
          <w:lang w:val="fr-FR" w:eastAsia="zh-CN" w:bidi="ar"/>
        </w:rPr>
      </w:pPr>
    </w:p>
    <w:p w14:paraId="5C52B6F6" w14:textId="77777777" w:rsidR="00B611D1" w:rsidRDefault="00B611D1">
      <w:pPr>
        <w:rPr>
          <w:rFonts w:eastAsia="TimesNewRomanPS-BoldMT"/>
          <w:b/>
          <w:bCs/>
          <w:color w:val="000000"/>
          <w:lang w:val="fr-FR" w:eastAsia="zh-CN" w:bidi="ar"/>
        </w:rPr>
      </w:pPr>
    </w:p>
    <w:p w14:paraId="6C41EFCE" w14:textId="77777777" w:rsidR="00B611D1" w:rsidRDefault="00FB7689">
      <w:pPr>
        <w:pStyle w:val="Titre3"/>
        <w:numPr>
          <w:ilvl w:val="2"/>
          <w:numId w:val="22"/>
        </w:numPr>
        <w:spacing w:line="360" w:lineRule="auto"/>
        <w:rPr>
          <w:rFonts w:eastAsia="TimesNewRomanPS-BoldMT"/>
          <w:lang w:val="fr-FR" w:eastAsia="zh-CN" w:bidi="ar"/>
        </w:rPr>
      </w:pPr>
      <w:bookmarkStart w:id="225" w:name="_Toc201260209"/>
      <w:r>
        <w:rPr>
          <w:rFonts w:eastAsia="TimesNewRomanPS-BoldMT"/>
          <w:lang w:val="fr-FR" w:eastAsia="zh-CN" w:bidi="ar"/>
        </w:rPr>
        <w:t>Tests complémentaires</w:t>
      </w:r>
      <w:bookmarkEnd w:id="225"/>
    </w:p>
    <w:p w14:paraId="38999604" w14:textId="77777777" w:rsidR="00B611D1" w:rsidRDefault="00B611D1">
      <w:pPr>
        <w:spacing w:line="360" w:lineRule="auto"/>
        <w:rPr>
          <w:rFonts w:eastAsia="TimesNewRomanPS-BoldMT"/>
          <w:b/>
          <w:bCs/>
          <w:color w:val="000000"/>
          <w:lang w:val="fr-FR" w:eastAsia="zh-CN" w:bidi="ar"/>
        </w:rPr>
      </w:pPr>
    </w:p>
    <w:p w14:paraId="771CEBBF" w14:textId="77777777" w:rsidR="00B611D1" w:rsidRDefault="00FB7689">
      <w:pPr>
        <w:spacing w:line="360" w:lineRule="auto"/>
        <w:rPr>
          <w:lang w:val="fr-FR" w:eastAsia="zh-CN"/>
        </w:rPr>
      </w:pPr>
      <w:r>
        <w:rPr>
          <w:lang w:val="fr-FR"/>
        </w:rPr>
        <w:t>Les résultats obtenus aux tests biochimiques (catalase, oxydase et coagulase) sont en accord avec les caractéristiques spécifiques attendues pour chaque espèce bactérienne</w:t>
      </w:r>
      <w:r>
        <w:rPr>
          <w:rFonts w:hint="eastAsia"/>
          <w:lang w:val="fr-FR" w:eastAsia="zh-CN"/>
        </w:rPr>
        <w:t xml:space="preserve"> </w:t>
      </w:r>
      <w:r>
        <w:rPr>
          <w:b/>
          <w:bCs/>
          <w:lang w:val="fr-FR" w:eastAsia="zh-CN"/>
        </w:rPr>
        <w:t>(</w:t>
      </w:r>
      <w:r>
        <w:rPr>
          <w:b/>
          <w:bCs/>
          <w:lang w:val="fr-FR"/>
        </w:rPr>
        <w:t>Figure12)</w:t>
      </w:r>
      <w:r>
        <w:rPr>
          <w:rFonts w:hint="eastAsia"/>
          <w:b/>
          <w:bCs/>
          <w:lang w:val="fr-FR" w:eastAsia="zh-CN"/>
        </w:rPr>
        <w:t xml:space="preserve"> </w:t>
      </w:r>
      <w:r>
        <w:rPr>
          <w:b/>
          <w:bCs/>
          <w:lang w:val="fr-FR" w:eastAsia="zh-CN"/>
        </w:rPr>
        <w:t>(</w:t>
      </w:r>
      <w:r>
        <w:rPr>
          <w:b/>
          <w:bCs/>
          <w:lang w:val="fr-FR"/>
        </w:rPr>
        <w:t>Tableau04)</w:t>
      </w:r>
      <w:r>
        <w:rPr>
          <w:rFonts w:hint="eastAsia"/>
          <w:lang w:val="fr-FR" w:eastAsia="zh-CN"/>
        </w:rPr>
        <w:t>.</w:t>
      </w:r>
    </w:p>
    <w:p w14:paraId="2B8CE57D" w14:textId="77777777" w:rsidR="00B611D1" w:rsidRDefault="00FB7689">
      <w:pPr>
        <w:spacing w:line="360" w:lineRule="auto"/>
        <w:jc w:val="center"/>
        <w:rPr>
          <w:lang w:eastAsia="zh-CN"/>
        </w:rPr>
      </w:pPr>
      <w:r>
        <w:rPr>
          <w:noProof/>
          <w:lang w:eastAsia="zh-CN"/>
        </w:rPr>
        <w:drawing>
          <wp:inline distT="0" distB="0" distL="0" distR="0" wp14:anchorId="3285B44E" wp14:editId="4E62E209">
            <wp:extent cx="2873375" cy="4054475"/>
            <wp:effectExtent l="0" t="0" r="0" b="0"/>
            <wp:docPr id="14865767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576721" name="Picture 1"/>
                    <pic:cNvPicPr>
                      <a:picLocks noChangeAspect="1"/>
                    </pic:cNvPicPr>
                  </pic:nvPicPr>
                  <pic:blipFill>
                    <a:blip r:embed="rId61"/>
                    <a:stretch>
                      <a:fillRect/>
                    </a:stretch>
                  </pic:blipFill>
                  <pic:spPr>
                    <a:xfrm>
                      <a:off x="0" y="0"/>
                      <a:ext cx="2886159" cy="4072252"/>
                    </a:xfrm>
                    <a:prstGeom prst="rect">
                      <a:avLst/>
                    </a:prstGeom>
                  </pic:spPr>
                </pic:pic>
              </a:graphicData>
            </a:graphic>
          </wp:inline>
        </w:drawing>
      </w:r>
    </w:p>
    <w:p w14:paraId="574CC3DA" w14:textId="098A54D8" w:rsidR="00B611D1" w:rsidRDefault="00FB7689">
      <w:pPr>
        <w:pStyle w:val="Lgende"/>
        <w:spacing w:line="360" w:lineRule="auto"/>
        <w:jc w:val="both"/>
        <w:rPr>
          <w:i w:val="0"/>
          <w:iCs w:val="0"/>
          <w:color w:val="auto"/>
          <w:sz w:val="24"/>
          <w:szCs w:val="24"/>
          <w:lang w:val="fr-FR"/>
        </w:rPr>
      </w:pPr>
      <w:bookmarkStart w:id="226" w:name="_Toc201269656"/>
      <w:bookmarkStart w:id="227" w:name="_Toc201267820"/>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13</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Résultats des tests biochimiques d’identification bactérienne</w:t>
      </w:r>
      <w:r w:rsidR="00525786">
        <w:rPr>
          <w:i w:val="0"/>
          <w:iCs w:val="0"/>
          <w:color w:val="auto"/>
          <w:sz w:val="24"/>
          <w:szCs w:val="24"/>
          <w:lang w:val="fr-FR"/>
        </w:rPr>
        <w:t>.</w:t>
      </w:r>
      <w:r>
        <w:rPr>
          <w:b/>
          <w:bCs/>
          <w:i w:val="0"/>
          <w:iCs w:val="0"/>
          <w:color w:val="auto"/>
          <w:sz w:val="24"/>
          <w:szCs w:val="24"/>
          <w:lang w:val="fr-FR"/>
        </w:rPr>
        <w:t>(A)</w:t>
      </w:r>
      <w:r>
        <w:rPr>
          <w:i w:val="0"/>
          <w:iCs w:val="0"/>
          <w:color w:val="auto"/>
          <w:sz w:val="24"/>
          <w:szCs w:val="24"/>
          <w:lang w:val="fr-FR"/>
        </w:rPr>
        <w:t xml:space="preserve"> Catalase positive : formation immédiate de bulles. </w:t>
      </w:r>
      <w:r>
        <w:rPr>
          <w:b/>
          <w:bCs/>
          <w:i w:val="0"/>
          <w:iCs w:val="0"/>
          <w:color w:val="auto"/>
          <w:sz w:val="24"/>
          <w:szCs w:val="24"/>
          <w:lang w:val="fr-FR"/>
        </w:rPr>
        <w:t>(B)</w:t>
      </w:r>
      <w:r>
        <w:rPr>
          <w:i w:val="0"/>
          <w:iCs w:val="0"/>
          <w:color w:val="auto"/>
          <w:sz w:val="24"/>
          <w:szCs w:val="24"/>
          <w:lang w:val="fr-FR"/>
        </w:rPr>
        <w:t xml:space="preserve"> Oxydase négative : absence de coloration violette après dépôt d’une colonie sur disque réactif. </w:t>
      </w:r>
      <w:r>
        <w:rPr>
          <w:b/>
          <w:bCs/>
          <w:i w:val="0"/>
          <w:iCs w:val="0"/>
          <w:color w:val="auto"/>
          <w:sz w:val="24"/>
          <w:szCs w:val="24"/>
          <w:lang w:val="fr-FR"/>
        </w:rPr>
        <w:t>(C)</w:t>
      </w:r>
      <w:r>
        <w:rPr>
          <w:i w:val="0"/>
          <w:iCs w:val="0"/>
          <w:color w:val="auto"/>
          <w:sz w:val="24"/>
          <w:szCs w:val="24"/>
          <w:lang w:val="fr-FR"/>
        </w:rPr>
        <w:t xml:space="preserve"> Coagulase négative : absence de caillots dans le plasma. </w:t>
      </w:r>
      <w:r>
        <w:rPr>
          <w:b/>
          <w:bCs/>
          <w:i w:val="0"/>
          <w:iCs w:val="0"/>
          <w:color w:val="auto"/>
          <w:sz w:val="24"/>
          <w:szCs w:val="24"/>
          <w:lang w:val="fr-FR"/>
        </w:rPr>
        <w:t>(D)</w:t>
      </w:r>
      <w:r>
        <w:rPr>
          <w:i w:val="0"/>
          <w:iCs w:val="0"/>
          <w:color w:val="auto"/>
          <w:sz w:val="24"/>
          <w:szCs w:val="24"/>
          <w:lang w:val="fr-FR"/>
        </w:rPr>
        <w:t xml:space="preserve"> Coagulase positive : formation de caillots indiquant une activité enzymatique.</w:t>
      </w:r>
      <w:bookmarkEnd w:id="226"/>
    </w:p>
    <w:p w14:paraId="37025B10" w14:textId="77777777" w:rsidR="00B611D1" w:rsidRDefault="00B611D1">
      <w:pPr>
        <w:pStyle w:val="Lgende"/>
        <w:keepNext/>
        <w:rPr>
          <w:b/>
          <w:bCs/>
          <w:i w:val="0"/>
          <w:iCs w:val="0"/>
          <w:color w:val="auto"/>
          <w:sz w:val="24"/>
          <w:szCs w:val="24"/>
          <w:lang w:val="fr-FR"/>
        </w:rPr>
      </w:pPr>
    </w:p>
    <w:p w14:paraId="706C389F" w14:textId="77777777" w:rsidR="00B611D1" w:rsidRDefault="00FB7689">
      <w:pPr>
        <w:pStyle w:val="Lgende"/>
        <w:keepNext/>
        <w:rPr>
          <w:i w:val="0"/>
          <w:iCs w:val="0"/>
          <w:color w:val="auto"/>
          <w:sz w:val="24"/>
          <w:szCs w:val="24"/>
          <w:lang w:val="fr-FR"/>
        </w:rPr>
      </w:pPr>
      <w:r>
        <w:rPr>
          <w:b/>
          <w:bCs/>
          <w:i w:val="0"/>
          <w:iCs w:val="0"/>
          <w:color w:val="auto"/>
          <w:sz w:val="24"/>
          <w:szCs w:val="24"/>
          <w:lang w:val="fr-FR"/>
        </w:rPr>
        <w:t xml:space="preserve">Tableau </w:t>
      </w:r>
      <w:r>
        <w:rPr>
          <w:b/>
          <w:bCs/>
          <w:i w:val="0"/>
          <w:iCs w:val="0"/>
          <w:color w:val="auto"/>
          <w:sz w:val="24"/>
          <w:szCs w:val="24"/>
        </w:rPr>
        <w:fldChar w:fldCharType="begin"/>
      </w:r>
      <w:r>
        <w:rPr>
          <w:b/>
          <w:bCs/>
          <w:i w:val="0"/>
          <w:iCs w:val="0"/>
          <w:color w:val="auto"/>
          <w:sz w:val="24"/>
          <w:szCs w:val="24"/>
          <w:lang w:val="fr-FR"/>
        </w:rPr>
        <w:instrText xml:space="preserve"> SEQ Tableau \* ARABIC </w:instrText>
      </w:r>
      <w:r>
        <w:rPr>
          <w:b/>
          <w:bCs/>
          <w:i w:val="0"/>
          <w:iCs w:val="0"/>
          <w:color w:val="auto"/>
          <w:sz w:val="24"/>
          <w:szCs w:val="24"/>
        </w:rPr>
        <w:fldChar w:fldCharType="separate"/>
      </w:r>
      <w:r>
        <w:rPr>
          <w:b/>
          <w:bCs/>
          <w:i w:val="0"/>
          <w:iCs w:val="0"/>
          <w:color w:val="auto"/>
          <w:sz w:val="24"/>
          <w:szCs w:val="24"/>
          <w:lang w:val="fr-FR"/>
        </w:rPr>
        <w:t>4</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Résultats des tests d'oxydase, de catalase et de coagulase. (+) Positif ; (-) : Négatif ; Test non réalisé (/)</w:t>
      </w:r>
      <w:bookmarkEnd w:id="227"/>
    </w:p>
    <w:p w14:paraId="02C5145E" w14:textId="77777777" w:rsidR="00B611D1" w:rsidRDefault="00B611D1">
      <w:pPr>
        <w:rPr>
          <w:lang w:val="fr-FR"/>
        </w:rPr>
      </w:pPr>
    </w:p>
    <w:tbl>
      <w:tblPr>
        <w:tblStyle w:val="Grilledutableau"/>
        <w:tblW w:w="0" w:type="auto"/>
        <w:tblLook w:val="04A0" w:firstRow="1" w:lastRow="0" w:firstColumn="1" w:lastColumn="0" w:noHBand="0" w:noVBand="1"/>
      </w:tblPr>
      <w:tblGrid>
        <w:gridCol w:w="2461"/>
        <w:gridCol w:w="2461"/>
        <w:gridCol w:w="2462"/>
        <w:gridCol w:w="2462"/>
      </w:tblGrid>
      <w:tr w:rsidR="00B611D1" w14:paraId="7BADB593" w14:textId="77777777">
        <w:tc>
          <w:tcPr>
            <w:tcW w:w="2461" w:type="dxa"/>
          </w:tcPr>
          <w:p w14:paraId="5DAAFD23" w14:textId="77777777" w:rsidR="00B611D1" w:rsidRDefault="00FB7689">
            <w:pPr>
              <w:spacing w:before="5" w:after="200" w:line="276" w:lineRule="auto"/>
              <w:jc w:val="center"/>
              <w:rPr>
                <w:rFonts w:asciiTheme="majorBidi" w:hAnsiTheme="majorBidi" w:cstheme="majorBidi" w:hint="default"/>
              </w:rPr>
            </w:pPr>
            <w:r>
              <w:rPr>
                <w:rFonts w:asciiTheme="majorBidi" w:eastAsia="TimesNewRomanPS-BoldMT" w:hAnsiTheme="majorBidi" w:cstheme="majorBidi" w:hint="default"/>
                <w:b/>
                <w:bCs/>
                <w:color w:val="000000"/>
                <w:lang w:val="en-US" w:eastAsia="zh-CN" w:bidi="ar"/>
              </w:rPr>
              <w:t>Espèces bactériennes</w:t>
            </w:r>
          </w:p>
        </w:tc>
        <w:tc>
          <w:tcPr>
            <w:tcW w:w="2461" w:type="dxa"/>
          </w:tcPr>
          <w:p w14:paraId="03BE2141" w14:textId="77777777" w:rsidR="00B611D1" w:rsidRDefault="00FB7689">
            <w:pPr>
              <w:spacing w:before="5" w:after="200" w:line="276" w:lineRule="auto"/>
              <w:jc w:val="center"/>
              <w:rPr>
                <w:rFonts w:asciiTheme="majorBidi" w:hAnsiTheme="majorBidi" w:cstheme="majorBidi" w:hint="default"/>
                <w:b/>
                <w:bCs/>
              </w:rPr>
            </w:pPr>
            <w:r>
              <w:rPr>
                <w:rFonts w:asciiTheme="majorBidi" w:hAnsiTheme="majorBidi" w:cstheme="majorBidi" w:hint="default"/>
                <w:b/>
                <w:bCs/>
              </w:rPr>
              <w:t>Catalase</w:t>
            </w:r>
          </w:p>
        </w:tc>
        <w:tc>
          <w:tcPr>
            <w:tcW w:w="2462" w:type="dxa"/>
          </w:tcPr>
          <w:p w14:paraId="300E768F" w14:textId="77777777" w:rsidR="00B611D1" w:rsidRDefault="00FB7689">
            <w:pPr>
              <w:spacing w:before="5" w:after="200" w:line="276" w:lineRule="auto"/>
              <w:jc w:val="center"/>
              <w:rPr>
                <w:rFonts w:asciiTheme="majorBidi" w:hAnsiTheme="majorBidi" w:cstheme="majorBidi" w:hint="default"/>
                <w:b/>
                <w:bCs/>
              </w:rPr>
            </w:pPr>
            <w:r>
              <w:rPr>
                <w:rFonts w:asciiTheme="majorBidi" w:hAnsiTheme="majorBidi" w:cstheme="majorBidi" w:hint="default"/>
                <w:b/>
                <w:bCs/>
              </w:rPr>
              <w:t>Oxydase</w:t>
            </w:r>
          </w:p>
        </w:tc>
        <w:tc>
          <w:tcPr>
            <w:tcW w:w="2462" w:type="dxa"/>
          </w:tcPr>
          <w:p w14:paraId="35E70B6A" w14:textId="77777777" w:rsidR="00B611D1" w:rsidRDefault="00FB7689">
            <w:pPr>
              <w:spacing w:before="5" w:after="200" w:line="276" w:lineRule="auto"/>
              <w:jc w:val="center"/>
              <w:rPr>
                <w:rFonts w:asciiTheme="majorBidi" w:hAnsiTheme="majorBidi" w:cstheme="majorBidi" w:hint="default"/>
                <w:b/>
                <w:bCs/>
              </w:rPr>
            </w:pPr>
            <w:r>
              <w:rPr>
                <w:rFonts w:asciiTheme="majorBidi" w:hAnsiTheme="majorBidi" w:cstheme="majorBidi" w:hint="default"/>
                <w:b/>
                <w:bCs/>
              </w:rPr>
              <w:t>coagulase</w:t>
            </w:r>
          </w:p>
        </w:tc>
      </w:tr>
      <w:tr w:rsidR="00B611D1" w14:paraId="1ECFF2CF" w14:textId="77777777">
        <w:tc>
          <w:tcPr>
            <w:tcW w:w="2461" w:type="dxa"/>
          </w:tcPr>
          <w:p w14:paraId="521BC0F6" w14:textId="77777777" w:rsidR="00B611D1" w:rsidRDefault="00FB7689">
            <w:pPr>
              <w:pStyle w:val="Corpsdetexte"/>
              <w:spacing w:before="5" w:after="200" w:line="276" w:lineRule="auto"/>
              <w:jc w:val="both"/>
              <w:rPr>
                <w:rFonts w:hint="default"/>
                <w:b/>
                <w:bCs/>
                <w:i/>
                <w:iCs/>
              </w:rPr>
            </w:pPr>
            <w:r>
              <w:rPr>
                <w:rFonts w:hint="default"/>
                <w:b/>
                <w:bCs/>
                <w:i/>
                <w:iCs/>
                <w:color w:val="000000" w:themeColor="text1"/>
              </w:rPr>
              <w:t>Serratia marcescens</w:t>
            </w:r>
          </w:p>
        </w:tc>
        <w:tc>
          <w:tcPr>
            <w:tcW w:w="2461" w:type="dxa"/>
          </w:tcPr>
          <w:p w14:paraId="0DC68140" w14:textId="77777777" w:rsidR="00B611D1" w:rsidRDefault="00FB7689">
            <w:pPr>
              <w:spacing w:before="5" w:after="200" w:line="276" w:lineRule="auto"/>
              <w:jc w:val="center"/>
              <w:rPr>
                <w:rFonts w:hint="default"/>
                <w:b/>
                <w:bCs/>
              </w:rPr>
            </w:pPr>
            <w:r>
              <w:rPr>
                <w:rFonts w:hint="default"/>
                <w:b/>
                <w:bCs/>
              </w:rPr>
              <w:t>+</w:t>
            </w:r>
          </w:p>
        </w:tc>
        <w:tc>
          <w:tcPr>
            <w:tcW w:w="2462" w:type="dxa"/>
          </w:tcPr>
          <w:p w14:paraId="13592C99" w14:textId="77777777" w:rsidR="00B611D1" w:rsidRDefault="00FB7689">
            <w:pPr>
              <w:pStyle w:val="Corpsdetexte"/>
              <w:spacing w:before="5" w:after="200" w:line="276" w:lineRule="auto"/>
              <w:jc w:val="center"/>
              <w:rPr>
                <w:rFonts w:hint="default"/>
                <w:b/>
                <w:bCs/>
              </w:rPr>
            </w:pPr>
            <w:r>
              <w:rPr>
                <w:rFonts w:hint="default"/>
                <w:b/>
                <w:bCs/>
              </w:rPr>
              <w:t>-</w:t>
            </w:r>
          </w:p>
        </w:tc>
        <w:tc>
          <w:tcPr>
            <w:tcW w:w="2462" w:type="dxa"/>
          </w:tcPr>
          <w:p w14:paraId="5F10B3D6" w14:textId="77777777" w:rsidR="00B611D1" w:rsidRDefault="00FB7689">
            <w:pPr>
              <w:pStyle w:val="Corpsdetexte"/>
              <w:spacing w:before="5" w:after="200" w:line="276" w:lineRule="auto"/>
              <w:jc w:val="center"/>
              <w:rPr>
                <w:rFonts w:hint="default"/>
                <w:b/>
                <w:bCs/>
              </w:rPr>
            </w:pPr>
            <w:r>
              <w:rPr>
                <w:rFonts w:eastAsia="TimesNewRomanPS-BoldItalicMT" w:hint="default"/>
                <w:b/>
                <w:bCs/>
                <w:i/>
                <w:iCs/>
                <w:color w:val="000000"/>
                <w:kern w:val="0"/>
                <w:lang w:val="en-US" w:eastAsia="zh-CN" w:bidi="ar"/>
              </w:rPr>
              <w:t>/</w:t>
            </w:r>
          </w:p>
        </w:tc>
      </w:tr>
      <w:tr w:rsidR="00B611D1" w14:paraId="297DBDAB" w14:textId="77777777">
        <w:tc>
          <w:tcPr>
            <w:tcW w:w="2461" w:type="dxa"/>
          </w:tcPr>
          <w:p w14:paraId="2AA2AF6A" w14:textId="77777777" w:rsidR="00B611D1" w:rsidRDefault="00FB7689">
            <w:pPr>
              <w:pStyle w:val="Corpsdetexte"/>
              <w:spacing w:before="5" w:after="200" w:line="276" w:lineRule="auto"/>
              <w:jc w:val="both"/>
              <w:rPr>
                <w:rFonts w:hint="default"/>
                <w:b/>
                <w:bCs/>
                <w:i/>
                <w:iCs/>
              </w:rPr>
            </w:pPr>
            <w:r>
              <w:rPr>
                <w:rFonts w:hint="default"/>
                <w:b/>
                <w:bCs/>
                <w:i/>
                <w:iCs/>
              </w:rPr>
              <w:t>Acinetobacter baumannii</w:t>
            </w:r>
          </w:p>
        </w:tc>
        <w:tc>
          <w:tcPr>
            <w:tcW w:w="2461" w:type="dxa"/>
          </w:tcPr>
          <w:p w14:paraId="3E304289" w14:textId="77777777" w:rsidR="00B611D1" w:rsidRDefault="00FB7689">
            <w:pPr>
              <w:spacing w:before="5" w:after="200" w:line="276" w:lineRule="auto"/>
              <w:jc w:val="center"/>
              <w:rPr>
                <w:rFonts w:hint="default"/>
                <w:b/>
                <w:bCs/>
              </w:rPr>
            </w:pPr>
            <w:r>
              <w:rPr>
                <w:rFonts w:hint="default"/>
                <w:b/>
                <w:bCs/>
              </w:rPr>
              <w:t>+</w:t>
            </w:r>
          </w:p>
        </w:tc>
        <w:tc>
          <w:tcPr>
            <w:tcW w:w="2462" w:type="dxa"/>
          </w:tcPr>
          <w:p w14:paraId="5C75511E" w14:textId="77777777" w:rsidR="00B611D1" w:rsidRDefault="00FB7689">
            <w:pPr>
              <w:pStyle w:val="Corpsdetexte"/>
              <w:spacing w:before="5" w:after="200" w:line="276" w:lineRule="auto"/>
              <w:jc w:val="center"/>
              <w:rPr>
                <w:rFonts w:hint="default"/>
                <w:b/>
                <w:bCs/>
              </w:rPr>
            </w:pPr>
            <w:r>
              <w:rPr>
                <w:rFonts w:hint="default"/>
                <w:b/>
                <w:bCs/>
              </w:rPr>
              <w:t>-</w:t>
            </w:r>
          </w:p>
        </w:tc>
        <w:tc>
          <w:tcPr>
            <w:tcW w:w="2462" w:type="dxa"/>
          </w:tcPr>
          <w:p w14:paraId="1BB5D374" w14:textId="77777777" w:rsidR="00B611D1" w:rsidRDefault="00FB7689">
            <w:pPr>
              <w:pStyle w:val="Corpsdetexte"/>
              <w:spacing w:before="5" w:after="200" w:line="276" w:lineRule="auto"/>
              <w:jc w:val="center"/>
              <w:rPr>
                <w:rFonts w:hint="default"/>
                <w:b/>
                <w:bCs/>
              </w:rPr>
            </w:pPr>
            <w:r>
              <w:rPr>
                <w:rFonts w:eastAsia="TimesNewRomanPS-BoldItalicMT" w:hint="default"/>
                <w:b/>
                <w:bCs/>
                <w:i/>
                <w:iCs/>
                <w:color w:val="000000"/>
                <w:kern w:val="0"/>
                <w:lang w:val="en-US" w:eastAsia="zh-CN" w:bidi="ar"/>
              </w:rPr>
              <w:t>/</w:t>
            </w:r>
          </w:p>
        </w:tc>
      </w:tr>
      <w:tr w:rsidR="00B611D1" w14:paraId="6443440B" w14:textId="77777777">
        <w:tc>
          <w:tcPr>
            <w:tcW w:w="2461" w:type="dxa"/>
          </w:tcPr>
          <w:p w14:paraId="57E20942" w14:textId="77777777" w:rsidR="00B611D1" w:rsidRDefault="00FB7689">
            <w:pPr>
              <w:pStyle w:val="Corpsdetexte"/>
              <w:spacing w:before="5" w:after="200" w:line="276" w:lineRule="auto"/>
              <w:jc w:val="both"/>
              <w:rPr>
                <w:rFonts w:hint="default"/>
                <w:b/>
                <w:bCs/>
                <w:i/>
                <w:iCs/>
              </w:rPr>
            </w:pPr>
            <w:r>
              <w:rPr>
                <w:rFonts w:hint="default"/>
                <w:b/>
                <w:bCs/>
                <w:i/>
                <w:iCs/>
              </w:rPr>
              <w:t>Klebsiella pneumoniae</w:t>
            </w:r>
          </w:p>
        </w:tc>
        <w:tc>
          <w:tcPr>
            <w:tcW w:w="2461" w:type="dxa"/>
          </w:tcPr>
          <w:p w14:paraId="158A1567" w14:textId="77777777" w:rsidR="00B611D1" w:rsidRDefault="00FB7689">
            <w:pPr>
              <w:spacing w:before="5" w:after="200" w:line="276" w:lineRule="auto"/>
              <w:jc w:val="center"/>
              <w:rPr>
                <w:rFonts w:hint="default"/>
                <w:b/>
                <w:bCs/>
              </w:rPr>
            </w:pPr>
            <w:r>
              <w:rPr>
                <w:rFonts w:hint="default"/>
                <w:b/>
                <w:bCs/>
              </w:rPr>
              <w:t>+</w:t>
            </w:r>
          </w:p>
        </w:tc>
        <w:tc>
          <w:tcPr>
            <w:tcW w:w="2462" w:type="dxa"/>
          </w:tcPr>
          <w:p w14:paraId="6D63BD86" w14:textId="77777777" w:rsidR="00B611D1" w:rsidRDefault="00FB7689">
            <w:pPr>
              <w:pStyle w:val="Corpsdetexte"/>
              <w:spacing w:before="5" w:after="200" w:line="276" w:lineRule="auto"/>
              <w:jc w:val="center"/>
              <w:rPr>
                <w:rFonts w:hint="default"/>
                <w:b/>
                <w:bCs/>
              </w:rPr>
            </w:pPr>
            <w:r>
              <w:rPr>
                <w:rFonts w:hint="default"/>
                <w:b/>
                <w:bCs/>
              </w:rPr>
              <w:t>-</w:t>
            </w:r>
          </w:p>
        </w:tc>
        <w:tc>
          <w:tcPr>
            <w:tcW w:w="2462" w:type="dxa"/>
          </w:tcPr>
          <w:p w14:paraId="266AA4DC" w14:textId="77777777" w:rsidR="00B611D1" w:rsidRDefault="00FB7689">
            <w:pPr>
              <w:pStyle w:val="Corpsdetexte"/>
              <w:spacing w:before="5" w:after="200" w:line="276" w:lineRule="auto"/>
              <w:jc w:val="center"/>
              <w:rPr>
                <w:rFonts w:hint="default"/>
                <w:b/>
                <w:bCs/>
              </w:rPr>
            </w:pPr>
            <w:r>
              <w:rPr>
                <w:rFonts w:eastAsia="TimesNewRomanPS-BoldItalicMT" w:hint="default"/>
                <w:b/>
                <w:bCs/>
                <w:i/>
                <w:iCs/>
                <w:color w:val="000000"/>
                <w:kern w:val="0"/>
                <w:lang w:val="en-US" w:eastAsia="zh-CN" w:bidi="ar"/>
              </w:rPr>
              <w:t>/</w:t>
            </w:r>
          </w:p>
        </w:tc>
      </w:tr>
      <w:tr w:rsidR="00B611D1" w14:paraId="1844C2A3" w14:textId="77777777">
        <w:tc>
          <w:tcPr>
            <w:tcW w:w="2461" w:type="dxa"/>
          </w:tcPr>
          <w:p w14:paraId="039635B6" w14:textId="77777777" w:rsidR="00B611D1" w:rsidRDefault="00FB7689">
            <w:pPr>
              <w:spacing w:before="5" w:after="200" w:line="276" w:lineRule="auto"/>
              <w:rPr>
                <w:rFonts w:hint="default"/>
                <w:b/>
                <w:bCs/>
                <w:i/>
                <w:iCs/>
              </w:rPr>
            </w:pPr>
            <w:r>
              <w:rPr>
                <w:rFonts w:eastAsia="TimesNewRomanPS-BoldItalicMT" w:hint="default"/>
                <w:b/>
                <w:bCs/>
                <w:i/>
                <w:iCs/>
                <w:color w:val="000000"/>
                <w:kern w:val="0"/>
                <w:lang w:val="en-US" w:eastAsia="zh-CN" w:bidi="ar"/>
              </w:rPr>
              <w:t xml:space="preserve">Staphylococcus aureus </w:t>
            </w:r>
          </w:p>
        </w:tc>
        <w:tc>
          <w:tcPr>
            <w:tcW w:w="2461" w:type="dxa"/>
          </w:tcPr>
          <w:p w14:paraId="3497472F" w14:textId="77777777" w:rsidR="00B611D1" w:rsidRDefault="00FB7689">
            <w:pPr>
              <w:spacing w:after="200" w:line="276" w:lineRule="auto"/>
              <w:jc w:val="center"/>
              <w:rPr>
                <w:rFonts w:hint="default"/>
                <w:b/>
                <w:bCs/>
              </w:rPr>
            </w:pPr>
            <w:r>
              <w:rPr>
                <w:rFonts w:hint="default"/>
                <w:b/>
                <w:bCs/>
              </w:rPr>
              <w:t>+</w:t>
            </w:r>
          </w:p>
        </w:tc>
        <w:tc>
          <w:tcPr>
            <w:tcW w:w="2462" w:type="dxa"/>
            <w:shd w:val="clear" w:color="auto" w:fill="auto"/>
          </w:tcPr>
          <w:p w14:paraId="2A92952A" w14:textId="77777777" w:rsidR="00B611D1" w:rsidRDefault="00FB7689">
            <w:pPr>
              <w:spacing w:before="5" w:after="200" w:line="276" w:lineRule="auto"/>
              <w:jc w:val="center"/>
              <w:rPr>
                <w:rFonts w:hint="default"/>
                <w:b/>
                <w:bCs/>
                <w:lang w:val="fr-FR"/>
              </w:rPr>
            </w:pPr>
            <w:r>
              <w:rPr>
                <w:rFonts w:hint="default"/>
                <w:b/>
                <w:bCs/>
                <w:lang w:val="fr-FR"/>
              </w:rPr>
              <w:t>-</w:t>
            </w:r>
          </w:p>
        </w:tc>
        <w:tc>
          <w:tcPr>
            <w:tcW w:w="2462" w:type="dxa"/>
          </w:tcPr>
          <w:p w14:paraId="547143D9" w14:textId="77777777" w:rsidR="00B611D1" w:rsidRDefault="00FB7689">
            <w:pPr>
              <w:spacing w:before="5" w:after="200" w:line="276" w:lineRule="auto"/>
              <w:jc w:val="center"/>
              <w:rPr>
                <w:rFonts w:hint="default"/>
                <w:b/>
                <w:bCs/>
              </w:rPr>
            </w:pPr>
            <w:r>
              <w:rPr>
                <w:rFonts w:hint="default"/>
                <w:b/>
                <w:bCs/>
              </w:rPr>
              <w:t>+</w:t>
            </w:r>
          </w:p>
        </w:tc>
      </w:tr>
      <w:tr w:rsidR="00B611D1" w14:paraId="5E65AC0D" w14:textId="77777777">
        <w:tc>
          <w:tcPr>
            <w:tcW w:w="2461" w:type="dxa"/>
          </w:tcPr>
          <w:p w14:paraId="20EBA2C9" w14:textId="77777777" w:rsidR="00B611D1" w:rsidRDefault="00FB7689">
            <w:pPr>
              <w:pStyle w:val="Corpsdetexte"/>
              <w:spacing w:before="5" w:after="200" w:line="276" w:lineRule="auto"/>
              <w:jc w:val="both"/>
              <w:rPr>
                <w:rFonts w:hint="default"/>
                <w:b/>
                <w:bCs/>
                <w:i/>
                <w:iCs/>
              </w:rPr>
            </w:pPr>
            <w:r>
              <w:rPr>
                <w:rFonts w:eastAsia="Calibri" w:hint="default"/>
                <w:b/>
                <w:bCs/>
                <w:i/>
                <w:iCs/>
                <w:lang w:val="fr" w:bidi="ar"/>
              </w:rPr>
              <w:t>Staphylococcus</w:t>
            </w:r>
            <w:r>
              <w:rPr>
                <w:rFonts w:eastAsia="Calibri" w:hint="default"/>
                <w:b/>
                <w:bCs/>
                <w:i/>
                <w:iCs/>
                <w:lang w:bidi="ar"/>
              </w:rPr>
              <w:t xml:space="preserve"> hominis</w:t>
            </w:r>
          </w:p>
        </w:tc>
        <w:tc>
          <w:tcPr>
            <w:tcW w:w="2461" w:type="dxa"/>
          </w:tcPr>
          <w:p w14:paraId="0AD0BC02" w14:textId="77777777" w:rsidR="00B611D1" w:rsidRDefault="00FB7689">
            <w:pPr>
              <w:pStyle w:val="Corpsdetexte"/>
              <w:spacing w:before="5" w:after="200" w:line="276" w:lineRule="auto"/>
              <w:jc w:val="center"/>
              <w:rPr>
                <w:rFonts w:hint="default"/>
                <w:b/>
                <w:bCs/>
              </w:rPr>
            </w:pPr>
            <w:r>
              <w:rPr>
                <w:rFonts w:hint="default"/>
                <w:b/>
                <w:bCs/>
              </w:rPr>
              <w:t>+</w:t>
            </w:r>
          </w:p>
        </w:tc>
        <w:tc>
          <w:tcPr>
            <w:tcW w:w="2462" w:type="dxa"/>
            <w:shd w:val="clear" w:color="auto" w:fill="auto"/>
          </w:tcPr>
          <w:p w14:paraId="04C95B0B" w14:textId="77777777" w:rsidR="00B611D1" w:rsidRDefault="00FB7689">
            <w:pPr>
              <w:pStyle w:val="Corpsdetexte"/>
              <w:spacing w:before="5" w:after="200" w:line="276" w:lineRule="auto"/>
              <w:jc w:val="center"/>
              <w:rPr>
                <w:rFonts w:hint="default"/>
                <w:b/>
                <w:bCs/>
                <w:lang w:val="fr-FR"/>
              </w:rPr>
            </w:pPr>
            <w:r>
              <w:rPr>
                <w:rFonts w:hint="default"/>
                <w:b/>
                <w:bCs/>
                <w:lang w:val="fr-FR"/>
              </w:rPr>
              <w:t>-</w:t>
            </w:r>
          </w:p>
        </w:tc>
        <w:tc>
          <w:tcPr>
            <w:tcW w:w="2462" w:type="dxa"/>
          </w:tcPr>
          <w:p w14:paraId="3BB65EF5" w14:textId="77777777" w:rsidR="00B611D1" w:rsidRDefault="00FB7689">
            <w:pPr>
              <w:pStyle w:val="Corpsdetexte"/>
              <w:spacing w:before="5" w:after="200" w:line="276" w:lineRule="auto"/>
              <w:jc w:val="center"/>
              <w:rPr>
                <w:rFonts w:hint="default"/>
                <w:b/>
                <w:bCs/>
              </w:rPr>
            </w:pPr>
            <w:r>
              <w:rPr>
                <w:rFonts w:hint="default"/>
                <w:b/>
                <w:bCs/>
              </w:rPr>
              <w:t>-</w:t>
            </w:r>
          </w:p>
        </w:tc>
      </w:tr>
    </w:tbl>
    <w:p w14:paraId="7D8660C3" w14:textId="77777777" w:rsidR="00B611D1" w:rsidRDefault="00B611D1">
      <w:pPr>
        <w:rPr>
          <w:lang w:eastAsia="zh-CN"/>
        </w:rPr>
      </w:pPr>
    </w:p>
    <w:p w14:paraId="273B0437" w14:textId="77777777" w:rsidR="00B611D1" w:rsidRDefault="00FB7689">
      <w:pPr>
        <w:pStyle w:val="Titre3"/>
        <w:numPr>
          <w:ilvl w:val="2"/>
          <w:numId w:val="22"/>
        </w:numPr>
        <w:rPr>
          <w:rFonts w:eastAsia="TimesNewRomanPS-BoldMT"/>
          <w:lang w:val="fr-FR" w:eastAsia="zh-CN" w:bidi="ar"/>
        </w:rPr>
      </w:pPr>
      <w:bookmarkStart w:id="228" w:name="_Toc201260210"/>
      <w:r>
        <w:rPr>
          <w:rFonts w:eastAsia="TimesNewRomanPS-BoldMT"/>
          <w:lang w:val="fr-FR" w:eastAsia="zh-CN" w:bidi="ar"/>
        </w:rPr>
        <w:t>Étude de la sensibilité aux Antibiotiques</w:t>
      </w:r>
      <w:bookmarkEnd w:id="228"/>
    </w:p>
    <w:p w14:paraId="1E1D70B3" w14:textId="77777777" w:rsidR="00B611D1" w:rsidRDefault="00B611D1">
      <w:pPr>
        <w:pStyle w:val="Corpsdetexte"/>
        <w:spacing w:before="5"/>
        <w:jc w:val="both"/>
        <w:rPr>
          <w:lang w:val="fr-FR"/>
        </w:rPr>
      </w:pPr>
    </w:p>
    <w:p w14:paraId="6A7937C6" w14:textId="77777777" w:rsidR="00B611D1" w:rsidRDefault="00FB7689">
      <w:pPr>
        <w:pStyle w:val="Corpsdetexte"/>
        <w:spacing w:before="5" w:line="360" w:lineRule="auto"/>
        <w:jc w:val="both"/>
        <w:rPr>
          <w:b/>
          <w:bCs/>
          <w:i/>
          <w:iCs/>
          <w:color w:val="000000" w:themeColor="text1"/>
          <w:kern w:val="2"/>
          <w:lang w:val="fr-FR"/>
        </w:rPr>
      </w:pPr>
      <w:r>
        <w:rPr>
          <w:b/>
          <w:bCs/>
          <w:i/>
          <w:iCs/>
          <w:color w:val="000000" w:themeColor="text1"/>
          <w:kern w:val="2"/>
          <w:lang w:val="fr-FR"/>
        </w:rPr>
        <w:t>Klebsiella pneumoniae</w:t>
      </w:r>
    </w:p>
    <w:p w14:paraId="475DA256" w14:textId="77777777" w:rsidR="00B611D1" w:rsidRDefault="00FB7689">
      <w:pPr>
        <w:spacing w:line="360" w:lineRule="auto"/>
        <w:jc w:val="both"/>
        <w:rPr>
          <w:lang w:val="fr-FR" w:eastAsia="zh-CN"/>
        </w:rPr>
      </w:pPr>
      <w:r>
        <w:rPr>
          <w:lang w:val="fr-FR"/>
        </w:rPr>
        <w:t xml:space="preserve">Les souches de </w:t>
      </w:r>
      <w:r>
        <w:rPr>
          <w:i/>
          <w:iCs/>
          <w:lang w:val="fr-FR"/>
        </w:rPr>
        <w:t>Klebsiella pneumoniae</w:t>
      </w:r>
      <w:r>
        <w:rPr>
          <w:lang w:val="fr-FR"/>
        </w:rPr>
        <w:t xml:space="preserve"> étudiées présentent une résistance à </w:t>
      </w:r>
      <w:r>
        <w:rPr>
          <w:rFonts w:eastAsia="TimesNewRomanPS-BoldMT"/>
          <w:color w:val="000000"/>
          <w:lang w:val="fr-FR" w:eastAsia="zh-CN"/>
        </w:rPr>
        <w:t>l’</w:t>
      </w:r>
      <w:r>
        <w:rPr>
          <w:lang w:val="fr-FR"/>
        </w:rPr>
        <w:t>Augmentin</w:t>
      </w:r>
      <w:r>
        <w:rPr>
          <w:rFonts w:eastAsia="TimesNewRomanPS-BoldMT"/>
          <w:color w:val="000000"/>
          <w:lang w:val="fr-FR" w:eastAsia="zh-CN"/>
        </w:rPr>
        <w:t xml:space="preserve"> (AUG)</w:t>
      </w:r>
      <w:r>
        <w:rPr>
          <w:lang w:val="fr-FR"/>
        </w:rPr>
        <w:t xml:space="preserve">, au Cefotaxime (CTX), ainsi qu’à la Céfazoline (KZ), Céfoxitine (FOX) et à </w:t>
      </w:r>
      <w:r>
        <w:rPr>
          <w:rFonts w:eastAsia="TimesNewRomanPS-BoldMT"/>
          <w:color w:val="000000"/>
          <w:lang w:val="fr-FR" w:eastAsia="zh-CN"/>
        </w:rPr>
        <w:t>l’Amoxicilline (AX)</w:t>
      </w:r>
      <w:r>
        <w:rPr>
          <w:lang w:val="fr-FR"/>
        </w:rPr>
        <w:t xml:space="preserve">. En revanche, elles demeurent sensibles à l’Amikacine (AK) </w:t>
      </w:r>
      <w:r>
        <w:rPr>
          <w:b/>
          <w:bCs/>
          <w:lang w:val="fr-FR"/>
        </w:rPr>
        <w:t>(Figure 13)</w:t>
      </w:r>
      <w:r>
        <w:rPr>
          <w:lang w:val="fr-FR"/>
        </w:rPr>
        <w:t xml:space="preserve">. Par ailleurs, la production de </w:t>
      </w:r>
      <w:r>
        <w:t>β</w:t>
      </w:r>
      <w:r>
        <w:rPr>
          <w:lang w:val="fr-FR"/>
        </w:rPr>
        <w:t xml:space="preserve">-lactamases à spectre étendu (BLSE) a été confirmée par la méthode de synergie entre </w:t>
      </w:r>
      <w:r>
        <w:rPr>
          <w:rFonts w:eastAsia="TimesNewRomanPS-BoldMT"/>
          <w:color w:val="000000"/>
          <w:lang w:val="fr-FR" w:eastAsia="zh-CN"/>
        </w:rPr>
        <w:t>l’</w:t>
      </w:r>
      <w:r>
        <w:rPr>
          <w:lang w:val="fr-FR"/>
        </w:rPr>
        <w:t>Augmentin</w:t>
      </w:r>
      <w:r>
        <w:rPr>
          <w:rFonts w:eastAsia="TimesNewRomanPS-BoldMT"/>
          <w:color w:val="000000"/>
          <w:lang w:val="fr-FR" w:eastAsia="zh-CN"/>
        </w:rPr>
        <w:t xml:space="preserve"> (AUG) </w:t>
      </w:r>
      <w:r>
        <w:rPr>
          <w:lang w:val="fr-FR"/>
        </w:rPr>
        <w:t>et le Céfotaxime (CTX), mise en évidence par l’apparition d’une image en « bouchon de champagne », typique des souches productrices de BLSE.</w:t>
      </w:r>
    </w:p>
    <w:p w14:paraId="6E299D4C" w14:textId="77777777" w:rsidR="00B611D1" w:rsidRDefault="00FB7689">
      <w:pPr>
        <w:pStyle w:val="Corpsdetexte"/>
        <w:spacing w:before="5"/>
        <w:rPr>
          <w:lang w:eastAsia="zh-CN"/>
        </w:rPr>
      </w:pPr>
      <w:r>
        <w:rPr>
          <w:noProof/>
          <w:lang w:eastAsia="zh-CN"/>
        </w:rPr>
        <w:drawing>
          <wp:inline distT="0" distB="0" distL="0" distR="0" wp14:anchorId="42865AF8" wp14:editId="375CC4EB">
            <wp:extent cx="6419850" cy="2614295"/>
            <wp:effectExtent l="0" t="0" r="0" b="1905"/>
            <wp:docPr id="6710884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088453" name="Picture 1"/>
                    <pic:cNvPicPr>
                      <a:picLocks noChangeAspect="1"/>
                    </pic:cNvPicPr>
                  </pic:nvPicPr>
                  <pic:blipFill>
                    <a:blip r:embed="rId62"/>
                    <a:stretch>
                      <a:fillRect/>
                    </a:stretch>
                  </pic:blipFill>
                  <pic:spPr>
                    <a:xfrm>
                      <a:off x="0" y="0"/>
                      <a:ext cx="6426151" cy="2616977"/>
                    </a:xfrm>
                    <a:prstGeom prst="rect">
                      <a:avLst/>
                    </a:prstGeom>
                  </pic:spPr>
                </pic:pic>
              </a:graphicData>
            </a:graphic>
          </wp:inline>
        </w:drawing>
      </w:r>
    </w:p>
    <w:p w14:paraId="4D846791" w14:textId="77777777" w:rsidR="00B611D1" w:rsidRDefault="00FB7689">
      <w:pPr>
        <w:pStyle w:val="Lgende"/>
        <w:jc w:val="center"/>
        <w:rPr>
          <w:b/>
          <w:bCs/>
          <w:color w:val="auto"/>
          <w:sz w:val="24"/>
          <w:szCs w:val="24"/>
          <w:lang w:val="fr-FR"/>
        </w:rPr>
      </w:pPr>
      <w:bookmarkStart w:id="229" w:name="_Toc201269657"/>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14</w:t>
      </w:r>
      <w:r>
        <w:rPr>
          <w:b/>
          <w:bCs/>
          <w:i w:val="0"/>
          <w:iCs w:val="0"/>
          <w:color w:val="auto"/>
          <w:sz w:val="24"/>
          <w:szCs w:val="24"/>
        </w:rPr>
        <w:fldChar w:fldCharType="end"/>
      </w:r>
      <w:r>
        <w:rPr>
          <w:b/>
          <w:bCs/>
          <w:i w:val="0"/>
          <w:iCs w:val="0"/>
          <w:color w:val="auto"/>
          <w:sz w:val="24"/>
          <w:szCs w:val="24"/>
          <w:lang w:val="fr-FR"/>
        </w:rPr>
        <w:t xml:space="preserve">: </w:t>
      </w:r>
      <w:r>
        <w:rPr>
          <w:i w:val="0"/>
          <w:iCs w:val="0"/>
          <w:color w:val="auto"/>
          <w:sz w:val="24"/>
          <w:szCs w:val="24"/>
          <w:lang w:val="fr-FR"/>
        </w:rPr>
        <w:t xml:space="preserve">Profil de résistance aux antibiotiques de </w:t>
      </w:r>
      <w:r>
        <w:rPr>
          <w:color w:val="auto"/>
          <w:sz w:val="24"/>
          <w:szCs w:val="24"/>
          <w:lang w:val="fr-FR"/>
        </w:rPr>
        <w:t>Klebsiella pneumoniae</w:t>
      </w:r>
      <w:bookmarkEnd w:id="229"/>
    </w:p>
    <w:p w14:paraId="6B86025C" w14:textId="77777777" w:rsidR="00B611D1" w:rsidRDefault="00B611D1">
      <w:pPr>
        <w:pStyle w:val="Corpsdetexte"/>
        <w:spacing w:before="5"/>
        <w:jc w:val="both"/>
        <w:rPr>
          <w:lang w:val="fr-FR"/>
        </w:rPr>
      </w:pPr>
    </w:p>
    <w:p w14:paraId="0F1577B7" w14:textId="77777777" w:rsidR="00B611D1" w:rsidRDefault="00FB7689">
      <w:pPr>
        <w:pStyle w:val="Corpsdetexte"/>
        <w:spacing w:before="5" w:line="360" w:lineRule="auto"/>
        <w:jc w:val="both"/>
        <w:rPr>
          <w:i/>
          <w:iCs/>
          <w:color w:val="000000" w:themeColor="text1"/>
          <w:lang w:val="fr-FR"/>
        </w:rPr>
      </w:pPr>
      <w:r>
        <w:rPr>
          <w:rFonts w:eastAsia="TimesNewRomanPS-BoldItalicMT"/>
          <w:b/>
          <w:bCs/>
          <w:i/>
          <w:iCs/>
          <w:color w:val="000000" w:themeColor="text1"/>
          <w:lang w:val="fr-FR" w:eastAsia="zh-CN" w:bidi="ar"/>
        </w:rPr>
        <w:t xml:space="preserve">Staphylococcus aureus </w:t>
      </w:r>
    </w:p>
    <w:p w14:paraId="459E575C" w14:textId="77777777" w:rsidR="00B611D1" w:rsidRDefault="00FB7689">
      <w:pPr>
        <w:pStyle w:val="Corpsdetexte"/>
        <w:spacing w:before="5" w:line="360" w:lineRule="auto"/>
        <w:jc w:val="both"/>
        <w:rPr>
          <w:lang w:val="fr-FR" w:eastAsia="zh-CN"/>
        </w:rPr>
      </w:pPr>
      <w:r>
        <w:rPr>
          <w:lang w:val="fr-FR"/>
        </w:rPr>
        <w:t xml:space="preserve">Les souches de </w:t>
      </w:r>
      <w:r>
        <w:rPr>
          <w:rStyle w:val="Accentuation"/>
          <w:lang w:val="fr-FR"/>
        </w:rPr>
        <w:t>Staphylococcus aureus</w:t>
      </w:r>
      <w:r>
        <w:rPr>
          <w:lang w:val="fr-FR"/>
        </w:rPr>
        <w:t xml:space="preserve"> présentent une résistance à l’Oxacilline (OX) et à la Céfoxitine (FOX), ce qui permet de les qualifier de SARM (</w:t>
      </w:r>
      <w:r>
        <w:rPr>
          <w:i/>
          <w:iCs/>
          <w:lang w:val="fr-FR"/>
        </w:rPr>
        <w:t xml:space="preserve">Staphylococcus aureus </w:t>
      </w:r>
      <w:r>
        <w:rPr>
          <w:lang w:val="fr-FR"/>
        </w:rPr>
        <w:t xml:space="preserve">résistant à la méticilline) </w:t>
      </w:r>
      <w:r>
        <w:rPr>
          <w:b/>
          <w:bCs/>
          <w:lang w:val="fr-FR"/>
        </w:rPr>
        <w:t>(Figure 14)</w:t>
      </w:r>
      <w:r>
        <w:rPr>
          <w:lang w:val="fr-FR"/>
        </w:rPr>
        <w:t>. Elles sont également résistantes à la Pipéracilline-Tazobactam (PT) et à la Pénicilline (PEN), tout en restant sensibles à l’Amikacine (AK) et à la Gentamicine (CN).</w:t>
      </w:r>
    </w:p>
    <w:p w14:paraId="668A40E2" w14:textId="77777777" w:rsidR="00B611D1" w:rsidRDefault="00B611D1">
      <w:pPr>
        <w:pStyle w:val="Corpsdetexte"/>
        <w:spacing w:before="5" w:line="360" w:lineRule="auto"/>
        <w:jc w:val="both"/>
        <w:rPr>
          <w:lang w:val="fr-FR"/>
        </w:rPr>
      </w:pPr>
    </w:p>
    <w:p w14:paraId="60E7FD7C" w14:textId="77777777" w:rsidR="00B611D1" w:rsidRDefault="00FB7689">
      <w:pPr>
        <w:pStyle w:val="Corpsdetexte"/>
        <w:spacing w:before="5" w:line="360" w:lineRule="auto"/>
        <w:jc w:val="center"/>
        <w:rPr>
          <w:lang w:eastAsia="zh-CN"/>
        </w:rPr>
      </w:pPr>
      <w:r>
        <w:rPr>
          <w:noProof/>
        </w:rPr>
        <w:drawing>
          <wp:inline distT="0" distB="0" distL="0" distR="0" wp14:anchorId="7CFB49A1" wp14:editId="4F4492A8">
            <wp:extent cx="6115050" cy="2280920"/>
            <wp:effectExtent l="0" t="0" r="6350" b="5080"/>
            <wp:docPr id="3079750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975081" name="Picture 1"/>
                    <pic:cNvPicPr>
                      <a:picLocks noChangeAspect="1"/>
                    </pic:cNvPicPr>
                  </pic:nvPicPr>
                  <pic:blipFill>
                    <a:blip r:embed="rId63"/>
                    <a:stretch>
                      <a:fillRect/>
                    </a:stretch>
                  </pic:blipFill>
                  <pic:spPr>
                    <a:xfrm>
                      <a:off x="0" y="0"/>
                      <a:ext cx="6115050" cy="2280920"/>
                    </a:xfrm>
                    <a:prstGeom prst="rect">
                      <a:avLst/>
                    </a:prstGeom>
                  </pic:spPr>
                </pic:pic>
              </a:graphicData>
            </a:graphic>
          </wp:inline>
        </w:drawing>
      </w:r>
    </w:p>
    <w:p w14:paraId="3EF460A7" w14:textId="77777777" w:rsidR="00B611D1" w:rsidRDefault="00FB7689">
      <w:pPr>
        <w:pStyle w:val="Lgende"/>
        <w:jc w:val="center"/>
        <w:rPr>
          <w:b/>
          <w:bCs/>
          <w:i w:val="0"/>
          <w:iCs w:val="0"/>
          <w:color w:val="auto"/>
          <w:sz w:val="24"/>
          <w:szCs w:val="24"/>
          <w:lang w:val="fr-FR"/>
        </w:rPr>
      </w:pPr>
      <w:bookmarkStart w:id="230" w:name="_Toc201269658"/>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15</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 xml:space="preserve">Profil de résistance aux antibiotiques de </w:t>
      </w:r>
      <w:r>
        <w:rPr>
          <w:color w:val="auto"/>
          <w:sz w:val="24"/>
          <w:szCs w:val="24"/>
          <w:lang w:val="fr-FR"/>
        </w:rPr>
        <w:t>Staphylococcus aureus</w:t>
      </w:r>
      <w:bookmarkEnd w:id="230"/>
    </w:p>
    <w:p w14:paraId="402CC202" w14:textId="77777777" w:rsidR="00B611D1" w:rsidRDefault="00B611D1">
      <w:pPr>
        <w:rPr>
          <w:b/>
          <w:bCs/>
          <w:i/>
          <w:iCs/>
          <w:color w:val="0F243E" w:themeColor="text2" w:themeShade="80"/>
          <w:lang w:val="fr-FR"/>
        </w:rPr>
      </w:pPr>
    </w:p>
    <w:p w14:paraId="101B8A51" w14:textId="77777777" w:rsidR="00B611D1" w:rsidRDefault="00FB7689">
      <w:pPr>
        <w:rPr>
          <w:b/>
          <w:bCs/>
          <w:i/>
          <w:iCs/>
          <w:color w:val="000000" w:themeColor="text1"/>
          <w:lang w:val="fr-FR"/>
        </w:rPr>
      </w:pPr>
      <w:r>
        <w:rPr>
          <w:b/>
          <w:bCs/>
          <w:i/>
          <w:iCs/>
          <w:color w:val="000000" w:themeColor="text1"/>
          <w:lang w:val="fr-FR"/>
        </w:rPr>
        <w:t>Serratia marcescens</w:t>
      </w:r>
    </w:p>
    <w:p w14:paraId="0B95F2C3" w14:textId="77777777" w:rsidR="00B611D1" w:rsidRDefault="00B611D1">
      <w:pPr>
        <w:rPr>
          <w:b/>
          <w:bCs/>
          <w:i/>
          <w:iCs/>
          <w:color w:val="0F243E" w:themeColor="text2" w:themeShade="80"/>
          <w:lang w:val="fr-FR"/>
        </w:rPr>
      </w:pPr>
    </w:p>
    <w:p w14:paraId="128ED233" w14:textId="77777777" w:rsidR="00B611D1" w:rsidRDefault="00FB7689">
      <w:pPr>
        <w:spacing w:line="360" w:lineRule="auto"/>
        <w:jc w:val="both"/>
        <w:rPr>
          <w:rFonts w:eastAsia="TimesNewRomanPS-BoldMT"/>
          <w:color w:val="000000"/>
          <w:highlight w:val="magenta"/>
          <w:lang w:eastAsia="zh-CN"/>
        </w:rPr>
      </w:pPr>
      <w:r>
        <w:rPr>
          <w:rFonts w:eastAsia="TimesNewRomanPS-BoldMT"/>
          <w:color w:val="000000"/>
          <w:lang w:val="fr-FR" w:eastAsia="zh-CN"/>
        </w:rPr>
        <w:t xml:space="preserve">Le profil de sensibilité antibiotique de </w:t>
      </w:r>
      <w:r>
        <w:rPr>
          <w:rFonts w:eastAsia="TimesNewRomanPS-BoldMT"/>
          <w:i/>
          <w:iCs/>
          <w:color w:val="000000"/>
          <w:lang w:val="fr-FR" w:eastAsia="zh-CN"/>
        </w:rPr>
        <w:t>Serratia marcescens</w:t>
      </w:r>
      <w:r>
        <w:rPr>
          <w:rFonts w:eastAsia="TimesNewRomanPS-BoldMT"/>
          <w:color w:val="000000"/>
          <w:lang w:val="fr-FR" w:eastAsia="zh-CN"/>
        </w:rPr>
        <w:t xml:space="preserve"> révèle une sensibilité marquée à la Céfotaxime (CTX), l’Amikacine (AK) et à</w:t>
      </w:r>
      <w:r>
        <w:rPr>
          <w:lang w:val="fr-FR"/>
        </w:rPr>
        <w:t xml:space="preserve"> la Cefoxitin (FOX)</w:t>
      </w:r>
      <w:r>
        <w:rPr>
          <w:rFonts w:eastAsia="TimesNewRomanPS-BoldMT"/>
          <w:color w:val="000000"/>
          <w:lang w:val="fr-FR" w:eastAsia="zh-CN"/>
        </w:rPr>
        <w:t>. En revanche, une résistance est observée vis-à-vis de l’Amoxicilline (AX), l’</w:t>
      </w:r>
      <w:r>
        <w:rPr>
          <w:lang w:val="fr-FR"/>
        </w:rPr>
        <w:t>Augmentin</w:t>
      </w:r>
      <w:r>
        <w:rPr>
          <w:rFonts w:eastAsia="TimesNewRomanPS-BoldMT"/>
          <w:color w:val="000000"/>
          <w:lang w:val="fr-FR" w:eastAsia="zh-CN"/>
        </w:rPr>
        <w:t xml:space="preserve"> (AUG), la Céfazoline (KZ).</w:t>
      </w:r>
      <w:r>
        <w:rPr>
          <w:lang w:val="fr-FR"/>
        </w:rPr>
        <w:t xml:space="preserve"> </w:t>
      </w:r>
      <w:r>
        <w:rPr>
          <w:b/>
          <w:bCs/>
          <w:lang w:val="fr-FR"/>
        </w:rPr>
        <w:t>(Figure 15)</w:t>
      </w:r>
      <w:r>
        <w:rPr>
          <w:b/>
          <w:bCs/>
        </w:rPr>
        <w:t>.</w:t>
      </w:r>
    </w:p>
    <w:p w14:paraId="0C229A37" w14:textId="77777777" w:rsidR="00B611D1" w:rsidRDefault="00B611D1">
      <w:pPr>
        <w:spacing w:line="360" w:lineRule="auto"/>
        <w:rPr>
          <w:rFonts w:asciiTheme="majorBidi" w:hAnsiTheme="majorBidi" w:cstheme="majorBidi"/>
          <w:lang w:eastAsia="zh-CN"/>
        </w:rPr>
      </w:pPr>
    </w:p>
    <w:p w14:paraId="2682DF7D" w14:textId="77777777" w:rsidR="00B611D1" w:rsidRDefault="00FB7689">
      <w:pPr>
        <w:spacing w:line="360" w:lineRule="auto"/>
        <w:rPr>
          <w:lang w:eastAsia="zh-CN"/>
        </w:rPr>
      </w:pPr>
      <w:r>
        <w:rPr>
          <w:noProof/>
          <w:lang w:eastAsia="zh-CN"/>
        </w:rPr>
        <w:drawing>
          <wp:inline distT="0" distB="0" distL="0" distR="0" wp14:anchorId="14BB29E6" wp14:editId="6B43217D">
            <wp:extent cx="6855460" cy="2419350"/>
            <wp:effectExtent l="0" t="0" r="2540" b="6350"/>
            <wp:docPr id="18108775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877512" name="Picture 1"/>
                    <pic:cNvPicPr>
                      <a:picLocks noChangeAspect="1"/>
                    </pic:cNvPicPr>
                  </pic:nvPicPr>
                  <pic:blipFill>
                    <a:blip r:embed="rId64"/>
                    <a:stretch>
                      <a:fillRect/>
                    </a:stretch>
                  </pic:blipFill>
                  <pic:spPr>
                    <a:xfrm>
                      <a:off x="0" y="0"/>
                      <a:ext cx="6875700" cy="2426843"/>
                    </a:xfrm>
                    <a:prstGeom prst="rect">
                      <a:avLst/>
                    </a:prstGeom>
                  </pic:spPr>
                </pic:pic>
              </a:graphicData>
            </a:graphic>
          </wp:inline>
        </w:drawing>
      </w:r>
    </w:p>
    <w:p w14:paraId="05C47809" w14:textId="77777777" w:rsidR="00B611D1" w:rsidRDefault="00FB7689">
      <w:pPr>
        <w:pStyle w:val="Lgende"/>
        <w:jc w:val="center"/>
        <w:rPr>
          <w:b/>
          <w:bCs/>
          <w:i w:val="0"/>
          <w:iCs w:val="0"/>
          <w:color w:val="auto"/>
          <w:kern w:val="2"/>
          <w:sz w:val="24"/>
          <w:szCs w:val="24"/>
          <w:lang w:val="fr-FR" w:eastAsia="zh-CN"/>
        </w:rPr>
      </w:pPr>
      <w:bookmarkStart w:id="231" w:name="_Toc201269659"/>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16</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 xml:space="preserve">Profil de résistance aux antibiotiques de </w:t>
      </w:r>
      <w:r>
        <w:rPr>
          <w:color w:val="auto"/>
          <w:sz w:val="24"/>
          <w:szCs w:val="24"/>
          <w:lang w:val="fr-FR"/>
        </w:rPr>
        <w:t>Serratia marcescens</w:t>
      </w:r>
      <w:bookmarkEnd w:id="231"/>
    </w:p>
    <w:p w14:paraId="5D3D9888" w14:textId="77777777" w:rsidR="00B611D1" w:rsidRDefault="00B611D1">
      <w:pPr>
        <w:pStyle w:val="Corpsdetexte"/>
        <w:spacing w:before="5" w:line="360" w:lineRule="auto"/>
        <w:jc w:val="both"/>
        <w:rPr>
          <w:b/>
          <w:bCs/>
          <w:i/>
          <w:iCs/>
          <w:color w:val="000000" w:themeColor="text1"/>
          <w:kern w:val="2"/>
          <w:lang w:val="fr-FR" w:eastAsia="zh-CN"/>
        </w:rPr>
      </w:pPr>
    </w:p>
    <w:p w14:paraId="1F117A24" w14:textId="77777777" w:rsidR="00B611D1" w:rsidRDefault="00FB7689">
      <w:pPr>
        <w:pStyle w:val="Corpsdetexte"/>
        <w:spacing w:before="5" w:line="360" w:lineRule="auto"/>
        <w:jc w:val="both"/>
        <w:rPr>
          <w:b/>
          <w:bCs/>
          <w:i/>
          <w:iCs/>
          <w:color w:val="000000" w:themeColor="text1"/>
          <w:lang w:val="fr-FR"/>
        </w:rPr>
      </w:pPr>
      <w:r>
        <w:rPr>
          <w:b/>
          <w:bCs/>
          <w:i/>
          <w:iCs/>
          <w:color w:val="000000" w:themeColor="text1"/>
          <w:kern w:val="2"/>
          <w:lang w:val="fr-FR"/>
        </w:rPr>
        <w:t>Acinetobacter baumannii</w:t>
      </w:r>
    </w:p>
    <w:p w14:paraId="7C877DA8" w14:textId="77777777" w:rsidR="00B611D1" w:rsidRDefault="00FB7689">
      <w:pPr>
        <w:spacing w:line="360" w:lineRule="auto"/>
        <w:jc w:val="both"/>
        <w:rPr>
          <w:highlight w:val="magenta"/>
          <w:lang w:val="fr-FR" w:eastAsia="zh-CN"/>
        </w:rPr>
      </w:pPr>
      <w:r>
        <w:rPr>
          <w:lang w:val="fr-FR"/>
        </w:rPr>
        <w:t xml:space="preserve">Le profil de sensibilité antibiotique </w:t>
      </w:r>
      <w:r>
        <w:rPr>
          <w:i/>
          <w:iCs/>
          <w:lang w:val="fr-FR"/>
        </w:rPr>
        <w:t>d’Acinetobacter baumannii</w:t>
      </w:r>
      <w:r>
        <w:rPr>
          <w:lang w:val="fr-FR"/>
        </w:rPr>
        <w:t xml:space="preserve"> révèle une résistance à la Piperacilline (PIR), la Ceftazidime (CAZ), Ticarcilline (TIC) et la </w:t>
      </w:r>
      <w:r>
        <w:rPr>
          <w:color w:val="000000" w:themeColor="text1"/>
          <w:lang w:val="fr-FR"/>
        </w:rPr>
        <w:t>Timentin</w:t>
      </w:r>
      <w:r>
        <w:rPr>
          <w:b/>
          <w:bCs/>
          <w:color w:val="1F497D" w:themeColor="text2"/>
          <w:lang w:val="fr-FR"/>
        </w:rPr>
        <w:t xml:space="preserve"> </w:t>
      </w:r>
      <w:r>
        <w:rPr>
          <w:lang w:val="fr-FR"/>
        </w:rPr>
        <w:t xml:space="preserve">(TCC). En revanche, une sensibilité est observée vis-à-vis de l’Imipénème (IPM) et de l’Amikacine (AK) </w:t>
      </w:r>
      <w:r>
        <w:rPr>
          <w:b/>
          <w:bCs/>
          <w:lang w:val="fr-FR"/>
        </w:rPr>
        <w:t>(Figure 16).</w:t>
      </w:r>
    </w:p>
    <w:p w14:paraId="74EC9A47" w14:textId="77777777" w:rsidR="00B611D1" w:rsidRDefault="00B611D1">
      <w:pPr>
        <w:spacing w:line="360" w:lineRule="auto"/>
        <w:jc w:val="both"/>
        <w:rPr>
          <w:lang w:val="fr-FR" w:eastAsia="zh-CN"/>
        </w:rPr>
      </w:pPr>
    </w:p>
    <w:p w14:paraId="33E78690" w14:textId="77777777" w:rsidR="00B611D1" w:rsidRDefault="00FB7689">
      <w:r>
        <w:rPr>
          <w:noProof/>
        </w:rPr>
        <w:drawing>
          <wp:inline distT="0" distB="0" distL="0" distR="0" wp14:anchorId="09689673" wp14:editId="0C606BC2">
            <wp:extent cx="6226810" cy="2410460"/>
            <wp:effectExtent l="0" t="0" r="0" b="2540"/>
            <wp:docPr id="5230290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029094" name="Picture 1"/>
                    <pic:cNvPicPr>
                      <a:picLocks noChangeAspect="1"/>
                    </pic:cNvPicPr>
                  </pic:nvPicPr>
                  <pic:blipFill>
                    <a:blip r:embed="rId65"/>
                    <a:stretch>
                      <a:fillRect/>
                    </a:stretch>
                  </pic:blipFill>
                  <pic:spPr>
                    <a:xfrm>
                      <a:off x="0" y="0"/>
                      <a:ext cx="6238628" cy="2414937"/>
                    </a:xfrm>
                    <a:prstGeom prst="rect">
                      <a:avLst/>
                    </a:prstGeom>
                  </pic:spPr>
                </pic:pic>
              </a:graphicData>
            </a:graphic>
          </wp:inline>
        </w:drawing>
      </w:r>
    </w:p>
    <w:p w14:paraId="54220406" w14:textId="77777777" w:rsidR="00B611D1" w:rsidRDefault="00B611D1">
      <w:pPr>
        <w:pStyle w:val="Corpsdetexte"/>
        <w:spacing w:before="5"/>
        <w:jc w:val="both"/>
        <w:rPr>
          <w:b/>
          <w:bCs/>
          <w:i/>
          <w:iCs/>
          <w:color w:val="1F497D" w:themeColor="text2"/>
        </w:rPr>
      </w:pPr>
    </w:p>
    <w:p w14:paraId="38013F7C" w14:textId="77777777" w:rsidR="00B611D1" w:rsidRDefault="00FB7689">
      <w:pPr>
        <w:pStyle w:val="Lgende"/>
        <w:jc w:val="center"/>
        <w:rPr>
          <w:color w:val="auto"/>
          <w:kern w:val="2"/>
          <w:sz w:val="24"/>
          <w:szCs w:val="24"/>
          <w:lang w:val="fr-FR" w:eastAsia="zh-CN"/>
        </w:rPr>
      </w:pPr>
      <w:bookmarkStart w:id="232" w:name="_Toc201269660"/>
      <w:r>
        <w:rPr>
          <w:b/>
          <w:bCs/>
          <w:i w:val="0"/>
          <w:iCs w:val="0"/>
          <w:color w:val="auto"/>
          <w:sz w:val="24"/>
          <w:szCs w:val="24"/>
          <w:lang w:val="fr-FR"/>
        </w:rPr>
        <w:t xml:space="preserve">Figure </w:t>
      </w:r>
      <w:r>
        <w:rPr>
          <w:b/>
          <w:bCs/>
          <w:i w:val="0"/>
          <w:iCs w:val="0"/>
          <w:color w:val="auto"/>
          <w:sz w:val="24"/>
          <w:szCs w:val="24"/>
        </w:rPr>
        <w:fldChar w:fldCharType="begin"/>
      </w:r>
      <w:r>
        <w:rPr>
          <w:b/>
          <w:bCs/>
          <w:i w:val="0"/>
          <w:iCs w:val="0"/>
          <w:color w:val="auto"/>
          <w:sz w:val="24"/>
          <w:szCs w:val="24"/>
          <w:lang w:val="fr-FR"/>
        </w:rPr>
        <w:instrText xml:space="preserve"> SEQ Figure \* ARABIC </w:instrText>
      </w:r>
      <w:r>
        <w:rPr>
          <w:b/>
          <w:bCs/>
          <w:i w:val="0"/>
          <w:iCs w:val="0"/>
          <w:color w:val="auto"/>
          <w:sz w:val="24"/>
          <w:szCs w:val="24"/>
        </w:rPr>
        <w:fldChar w:fldCharType="separate"/>
      </w:r>
      <w:r>
        <w:rPr>
          <w:b/>
          <w:bCs/>
          <w:i w:val="0"/>
          <w:iCs w:val="0"/>
          <w:color w:val="auto"/>
          <w:sz w:val="24"/>
          <w:szCs w:val="24"/>
          <w:lang w:val="fr-FR"/>
        </w:rPr>
        <w:t>17</w:t>
      </w:r>
      <w:r>
        <w:rPr>
          <w:b/>
          <w:bCs/>
          <w:i w:val="0"/>
          <w:iCs w:val="0"/>
          <w:color w:val="auto"/>
          <w:sz w:val="24"/>
          <w:szCs w:val="24"/>
        </w:rPr>
        <w:fldChar w:fldCharType="end"/>
      </w:r>
      <w:r>
        <w:rPr>
          <w:b/>
          <w:bCs/>
          <w:i w:val="0"/>
          <w:iCs w:val="0"/>
          <w:color w:val="auto"/>
          <w:sz w:val="24"/>
          <w:szCs w:val="24"/>
          <w:lang w:val="fr-FR"/>
        </w:rPr>
        <w:t xml:space="preserve"> : </w:t>
      </w:r>
      <w:r>
        <w:rPr>
          <w:i w:val="0"/>
          <w:iCs w:val="0"/>
          <w:color w:val="auto"/>
          <w:sz w:val="24"/>
          <w:szCs w:val="24"/>
          <w:lang w:val="fr-FR"/>
        </w:rPr>
        <w:t xml:space="preserve">Profil de résistance aux antibiotiques de </w:t>
      </w:r>
      <w:r>
        <w:rPr>
          <w:color w:val="auto"/>
          <w:sz w:val="24"/>
          <w:szCs w:val="24"/>
          <w:lang w:val="fr-FR"/>
        </w:rPr>
        <w:t>Acinetobacter baumannii</w:t>
      </w:r>
      <w:bookmarkEnd w:id="232"/>
    </w:p>
    <w:p w14:paraId="22ED41B4" w14:textId="77777777" w:rsidR="00B611D1" w:rsidRDefault="00B611D1">
      <w:pPr>
        <w:jc w:val="center"/>
        <w:rPr>
          <w:lang w:val="fr-FR" w:eastAsia="zh-CN"/>
        </w:rPr>
      </w:pPr>
    </w:p>
    <w:p w14:paraId="02FE5F13" w14:textId="77777777" w:rsidR="00B611D1" w:rsidRDefault="00B611D1">
      <w:pPr>
        <w:rPr>
          <w:lang w:val="fr-FR" w:eastAsia="zh-CN"/>
        </w:rPr>
      </w:pPr>
    </w:p>
    <w:p w14:paraId="739216B8" w14:textId="77777777" w:rsidR="00B611D1" w:rsidRDefault="00B611D1">
      <w:pPr>
        <w:jc w:val="both"/>
        <w:rPr>
          <w:lang w:val="fr-FR" w:eastAsia="zh-CN"/>
        </w:rPr>
      </w:pPr>
    </w:p>
    <w:p w14:paraId="467E813D" w14:textId="77777777" w:rsidR="00B611D1" w:rsidRDefault="00FB7689">
      <w:pPr>
        <w:pStyle w:val="Titre2"/>
        <w:numPr>
          <w:ilvl w:val="1"/>
          <w:numId w:val="22"/>
        </w:numPr>
      </w:pPr>
      <w:r>
        <w:rPr>
          <w:lang w:val="fr-FR"/>
        </w:rPr>
        <w:t xml:space="preserve"> </w:t>
      </w:r>
      <w:bookmarkStart w:id="233" w:name="_Toc201260211"/>
      <w:r>
        <w:t>Discussion</w:t>
      </w:r>
      <w:bookmarkEnd w:id="233"/>
      <w:r>
        <w:rPr>
          <w:rFonts w:hint="cs"/>
          <w:rtl/>
          <w:lang w:val="en-US" w:bidi="ar-DZ"/>
        </w:rPr>
        <w:t xml:space="preserve">        </w:t>
      </w:r>
    </w:p>
    <w:p w14:paraId="7E30DD65" w14:textId="77777777" w:rsidR="00B611D1" w:rsidRDefault="00B611D1">
      <w:pPr>
        <w:spacing w:line="360" w:lineRule="auto"/>
        <w:jc w:val="both"/>
      </w:pPr>
    </w:p>
    <w:p w14:paraId="33AA5C89" w14:textId="77777777" w:rsidR="00B611D1" w:rsidRDefault="00FB7689">
      <w:pPr>
        <w:spacing w:after="200" w:line="360" w:lineRule="auto"/>
        <w:jc w:val="both"/>
        <w:rPr>
          <w:rFonts w:eastAsia="Calibri"/>
          <w:lang w:val="fr-FR" w:eastAsia="zh-CN" w:bidi="ar"/>
        </w:rPr>
      </w:pPr>
      <w:r>
        <w:rPr>
          <w:lang w:val="fr-FR"/>
        </w:rPr>
        <w:t xml:space="preserve">Les infections nosocomiales représentent un enjeu majeur de santé publique. Elles freinent considérablement les progrès médicaux en raison de leur incidence croissante, de leur gravité, ainsi que de la multirésistance des agents pathogènes impliqués. Par ailleurs, elles génèrent des coûts supplémentaires importants liés à l’hospitalisation, contribuant significativement à la morbidité et à la mortalité des patients hospitalisés </w:t>
      </w:r>
      <w:r>
        <w:rPr>
          <w:rFonts w:eastAsia="Calibri"/>
          <w:b/>
          <w:bCs/>
          <w:lang w:val="fr" w:bidi="ar"/>
        </w:rPr>
        <w:fldChar w:fldCharType="begin"/>
      </w:r>
      <w:r>
        <w:rPr>
          <w:rFonts w:eastAsia="Calibri"/>
          <w:b/>
          <w:bCs/>
          <w:lang w:val="fr" w:bidi="ar"/>
        </w:rPr>
        <w:instrText xml:space="preserve"> ADDIN ZOTERO_ITEM CSL_CITATION {"citationID":"aISR5XRM","properties":{"formattedCitation":"(Kakupa et al., 2016)","plainCitation":"(Kakupa et al., 2016)","noteIndex":0},"citationItems":[{"id":17,"uris":["http://zotero.org/users/16279382/items/X47JWXMM"],"itemData":{"id":17,"type":"article-journal","abstract":"Introduction\nEstimer la prévalence « un jour donné » des infections nosocomiales et déterminer leurs facteurs associés, ensuite estimer la prévalence des micro-organismes responsables des infections nosocomiales de Lubumbashi, République Démocratique du Congo.\n\nMéthodes\nUne étude transversale descriptive a été menée dans les deux hôpitaux de Lubumbashi au sein de cinq services d’hospitalisation (Chirurgie, Gynéco-Obstétrique, Médecine interne, Pédiatrie et Réanimation). L’échantillon était constitué de 171 patients hospitalisés et qui ont été interrogés à l’aide d’un questionnaire standardisé. La fiche médicale nous a permit de connaitre le type d’antibiotique administré au patient 48 heures après d’admission. Notre étude s’est déroulée durant le mois de février 2010 dans le cadre de la première enquête locale de prévalence des infections nosocomiales.\n\nRésultats\nNotre étude a permis de recenser 59 patients atteints d’une infection nosocomiale. La prévalence globale est de 34,5% (dont 17,0% pour une infection nosocomiale acquise et 17,5% pour une infection importée). L’infection nosocomiale a été définie selon l’Organisation Mondiale de la Santé comme toute infection acquise pendant un séjour à l’hôpital et qui n’était ni présente ni en incubation au moment de l’admission du patient. Les facteurs de risque suivants ont été associés aux infections nosocomiales acquises: durée d’hospitalisation (les patients admis en long séjour, séjour de plus de sept jours d’hospitalisation avaient un risque plus élevé que ceux admis en séjour court, séjour inférieur ou égal à sept jours d’hospitalisation (Ratio de prévalence: RP =3,6 [IC a 95% 1,4-8,9]). Parmi les infections nosocomiales, les infections du site opératoire étaient les plus fréquentes (27,1%), suivies des infections pulmonaires (22,0%) et des infections urinaires (17,0%). L’examen microbiologique a permis de mettre en évidence cinq germes responsables d’une infection nosocomiale chez les patients infectés : Escherichia coli (11,9%), Staphylococcus aureus (6,8%), Pseudomonas aeruginosa (5,1%), Shigella spp (5,1%) et Salmonela typhi (1,7%). L’examen microbiologique n’a été réalisé que dans 31,0 % (n=59). La cefotaxime, céphalosporine de 3ème génération était l’antibiotique le plus prescrit (37,9%), suivi de l’amoxicilline (19,6%) et l’ampicilline (16,3%) en monothérapie. La bi et la trithérapie ont été également prescrites. La voie parentérale était la plus utilisée pour administrer un anti-infectieux. La prévalence d’infections nosocomiales différait significativement entre les deux hôpitaux universitaires ; la prévalence d’une infection nosocomiale acquise est de 22,2% aux Cliniques Universitaires de Lubumbashi et 13,1% à l’hôpital Sendwe.\n\nConclusion\nDans notre travail, la prévalence globale des infections nosocomiales était de 34,5%. Les infections du site opératoire étaient les plus fréquentes (27,1%). L’Escherichia coli était le germe le plus fréquent soit 11,9%.","container-title":"The Pan African Medical Journal","DOI":"10.11604/pamj.2016.24.275.7626","ISSN":"1937-8688","journalAbbreviation":"Pan Afr Med J","note":"PMID: 28154630\nPMCID: PMC5267913","page":"275","source":"PubMed Central","title":"Etude de la prévalence des infections nosocomiales et des facteurs associes dans les deux hopitaux universitaires de Lubumbashi, République Démocratique du Congo: cas des Cliniques Universitaires de Lubumbashi et l’Hôpital Janson Sendwe","title-short":"Etude de la prévalence des infections nosocomiales et des facteurs associes dans les deux hopitaux universitaires de Lubumbashi, République Démocratique du Congo","volume":"24","author":[{"family":"Kakupa","given":"Danny Kasongo"},{"family":"Muenze","given":"Prosper Kalenga"},{"family":"Byl","given":"Baudouin"},{"family":"Wilmet","given":"Michèle Dramaix"}],"issued":{"date-parts":[["2016",7,27]]}}}],"schema":"https://github.com/citation-style-language/schema/raw/master/csl-citation.json"} </w:instrText>
      </w:r>
      <w:r>
        <w:rPr>
          <w:rFonts w:eastAsia="Calibri"/>
          <w:b/>
          <w:bCs/>
          <w:lang w:val="fr" w:bidi="ar"/>
        </w:rPr>
        <w:fldChar w:fldCharType="separate"/>
      </w:r>
      <w:r>
        <w:rPr>
          <w:rFonts w:eastAsia="Calibri"/>
          <w:b/>
          <w:bCs/>
          <w:lang w:val="fr" w:bidi="ar"/>
        </w:rPr>
        <w:t xml:space="preserve">(Kakupa </w:t>
      </w:r>
      <w:r>
        <w:rPr>
          <w:rFonts w:eastAsia="Calibri"/>
          <w:b/>
          <w:bCs/>
          <w:i/>
          <w:iCs/>
          <w:lang w:val="fr" w:bidi="ar"/>
        </w:rPr>
        <w:t>et al</w:t>
      </w:r>
      <w:r>
        <w:rPr>
          <w:rFonts w:eastAsia="Calibri"/>
          <w:b/>
          <w:bCs/>
          <w:lang w:val="fr" w:bidi="ar"/>
        </w:rPr>
        <w:t>., 2016)</w:t>
      </w:r>
      <w:r>
        <w:rPr>
          <w:rFonts w:eastAsia="Calibri"/>
          <w:b/>
          <w:bCs/>
          <w:lang w:val="fr" w:bidi="ar"/>
        </w:rPr>
        <w:fldChar w:fldCharType="end"/>
      </w:r>
      <w:r>
        <w:rPr>
          <w:rFonts w:eastAsia="Calibri"/>
          <w:lang w:val="fr-FR" w:bidi="ar"/>
        </w:rPr>
        <w:t xml:space="preserve">. </w:t>
      </w:r>
    </w:p>
    <w:p w14:paraId="29ACBC87" w14:textId="77777777" w:rsidR="00B611D1" w:rsidRDefault="00FB7689">
      <w:pPr>
        <w:spacing w:after="200" w:line="360" w:lineRule="auto"/>
        <w:ind w:left="60"/>
        <w:jc w:val="both"/>
        <w:rPr>
          <w:lang w:val="fr-FR"/>
        </w:rPr>
      </w:pPr>
      <w:r>
        <w:rPr>
          <w:lang w:val="fr-FR"/>
        </w:rPr>
        <w:t xml:space="preserve">En Algérie, comme dans de nombreux autres pays, ces infections suscitent de vives inquiétudes. Leur principal facteur favorisant est souvent le manque d’hygiène et le non-respect des mesures préventives de base. Il devient donc impératif d’instaurer des structures adaptées pour leur étude, leur surveillance et leur prévention </w:t>
      </w:r>
      <w:r>
        <w:rPr>
          <w:rFonts w:eastAsia="Calibri"/>
          <w:b/>
          <w:bCs/>
          <w:color w:val="000000"/>
          <w:kern w:val="2"/>
          <w:lang w:val="fr" w:eastAsia="zh-CN" w:bidi="ar"/>
        </w:rPr>
        <w:fldChar w:fldCharType="begin"/>
      </w:r>
      <w:r>
        <w:rPr>
          <w:rFonts w:eastAsia="Calibri"/>
          <w:b/>
          <w:bCs/>
          <w:color w:val="000000"/>
          <w:kern w:val="2"/>
          <w:lang w:val="fr" w:eastAsia="zh-CN" w:bidi="ar"/>
        </w:rPr>
        <w:instrText xml:space="preserve"> ADDIN ZOTERO_ITEM CSL_CITATION {"citationID":"IFwDFrSD","properties":{"formattedCitation":"(Harzallah et al., 2022)","plainCitation":"(Harzallah et al., 2022)","noteIndex":0},"citationItems":[{"id":453,"uris":["http://zotero.org/users/16279382/items/CAXTS7VR"],"itemData":{"id":453,"type":"article-journal","source":"Google Scholar","title":"Incidence of nosocomial infections in reanimation unit at the hospital of Constantine (Algeria).","URL":"https://www.cabidigitallibrary.org/doi/full/10.5555/20220365274","author":[{"family":"Harzallah","given":"Besma"},{"family":"Grama","given":"Borhane Samir"},{"family":"Benabdelmalek","given":"Abir"},{"family":"Mekhloufi","given":"Ikram"}],"accessed":{"date-parts":[["2025",6,16]]},"issued":{"date-parts":[["2022"]]}}}],"schema":"https://github.com/citation-style-language/schema/raw/master/csl-citation.json"} </w:instrText>
      </w:r>
      <w:r>
        <w:rPr>
          <w:rFonts w:eastAsia="Calibri"/>
          <w:b/>
          <w:bCs/>
          <w:color w:val="000000"/>
          <w:kern w:val="2"/>
          <w:lang w:val="fr" w:eastAsia="zh-CN" w:bidi="ar"/>
        </w:rPr>
        <w:fldChar w:fldCharType="separate"/>
      </w:r>
      <w:r>
        <w:rPr>
          <w:rFonts w:eastAsia="Calibri"/>
          <w:b/>
          <w:bCs/>
          <w:kern w:val="2"/>
          <w:szCs w:val="22"/>
          <w:lang w:val="fr" w:eastAsia="zh-CN" w:bidi="ar"/>
        </w:rPr>
        <w:t xml:space="preserve">(Harzallah </w:t>
      </w:r>
      <w:r>
        <w:rPr>
          <w:rFonts w:eastAsia="Calibri"/>
          <w:b/>
          <w:bCs/>
          <w:i/>
          <w:iCs/>
          <w:kern w:val="2"/>
          <w:szCs w:val="22"/>
          <w:lang w:val="fr" w:eastAsia="zh-CN" w:bidi="ar"/>
        </w:rPr>
        <w:t>et al</w:t>
      </w:r>
      <w:r>
        <w:rPr>
          <w:rFonts w:eastAsia="Calibri"/>
          <w:b/>
          <w:bCs/>
          <w:kern w:val="2"/>
          <w:szCs w:val="22"/>
          <w:lang w:val="fr" w:eastAsia="zh-CN" w:bidi="ar"/>
        </w:rPr>
        <w:t>., 2022)</w:t>
      </w:r>
      <w:r>
        <w:rPr>
          <w:rFonts w:eastAsia="Calibri"/>
          <w:b/>
          <w:bCs/>
          <w:color w:val="000000"/>
          <w:kern w:val="2"/>
          <w:lang w:val="fr" w:eastAsia="zh-CN" w:bidi="ar"/>
        </w:rPr>
        <w:fldChar w:fldCharType="end"/>
      </w:r>
    </w:p>
    <w:p w14:paraId="62C948D4" w14:textId="77777777" w:rsidR="00B611D1" w:rsidRDefault="00FB7689">
      <w:pPr>
        <w:spacing w:line="360" w:lineRule="auto"/>
        <w:jc w:val="both"/>
        <w:rPr>
          <w:lang w:val="fr-FR" w:eastAsia="zh-CN"/>
        </w:rPr>
      </w:pPr>
      <w:r>
        <w:rPr>
          <w:lang w:val="fr-FR"/>
        </w:rPr>
        <w:t xml:space="preserve">Dans le cadre de cette étude, 13 échantillons ont été prélevés sur différentes surfaces du service d’urgence de l’hôpital Soeurs Bedj. L’objectif était d’isoler et d’identifier les agents pathogènes impliqués dans les infections nosocomiales, ainsi que de caractériser leur profil de résistance aux antibiotiques. Parmi ces échantillons, </w:t>
      </w:r>
      <w:r>
        <w:rPr>
          <w:rStyle w:val="lev"/>
          <w:b w:val="0"/>
          <w:bCs w:val="0"/>
          <w:lang w:val="fr-FR"/>
        </w:rPr>
        <w:t>12 ont présenté une turbidité visible</w:t>
      </w:r>
      <w:r>
        <w:rPr>
          <w:lang w:val="fr-FR"/>
        </w:rPr>
        <w:t xml:space="preserve">, indiquant une croissance microbienne positive, tandis qu’un seul échantillon est resté clair, témoignant de l’absence de croissance apparente. Ces résultats suggèrent une </w:t>
      </w:r>
      <w:r>
        <w:rPr>
          <w:rStyle w:val="lev"/>
          <w:b w:val="0"/>
          <w:bCs w:val="0"/>
          <w:lang w:val="fr-FR"/>
        </w:rPr>
        <w:t>forte contamination bactérienne des surfaces hospitalières</w:t>
      </w:r>
      <w:r>
        <w:rPr>
          <w:lang w:val="fr-FR"/>
        </w:rPr>
        <w:t xml:space="preserve"> étudiées.</w:t>
      </w:r>
    </w:p>
    <w:p w14:paraId="5EFBD949" w14:textId="77777777" w:rsidR="00B611D1" w:rsidRDefault="00FB7689">
      <w:pPr>
        <w:pStyle w:val="NormalWeb"/>
        <w:spacing w:line="360" w:lineRule="auto"/>
        <w:jc w:val="both"/>
        <w:rPr>
          <w:rFonts w:asciiTheme="majorBidi" w:hAnsiTheme="majorBidi" w:cstheme="majorBidi"/>
          <w:lang w:val="fr-FR"/>
        </w:rPr>
      </w:pPr>
      <w:r>
        <w:rPr>
          <w:rFonts w:asciiTheme="majorBidi" w:hAnsiTheme="majorBidi" w:cstheme="majorBidi"/>
          <w:lang w:val="fr-FR"/>
        </w:rPr>
        <w:t xml:space="preserve">L’analyse microbiologique des surfaces hospitalières du service d’urgence révèle une </w:t>
      </w:r>
      <w:r>
        <w:rPr>
          <w:rStyle w:val="lev"/>
          <w:rFonts w:asciiTheme="majorBidi" w:hAnsiTheme="majorBidi" w:cstheme="majorBidi"/>
          <w:b w:val="0"/>
          <w:bCs w:val="0"/>
          <w:lang w:val="fr-FR"/>
        </w:rPr>
        <w:t>contamination importante par plusieurs bactéries pathogènes</w:t>
      </w:r>
      <w:r>
        <w:rPr>
          <w:rFonts w:asciiTheme="majorBidi" w:hAnsiTheme="majorBidi" w:cstheme="majorBidi"/>
          <w:lang w:val="fr-FR"/>
        </w:rPr>
        <w:t xml:space="preserve">, notamment </w:t>
      </w:r>
      <w:r>
        <w:rPr>
          <w:rStyle w:val="Accentuation"/>
          <w:rFonts w:asciiTheme="majorBidi" w:hAnsiTheme="majorBidi" w:cstheme="majorBidi"/>
          <w:lang w:val="fr-FR"/>
        </w:rPr>
        <w:t xml:space="preserve">Staphylococcus aureus </w:t>
      </w:r>
      <w:r>
        <w:rPr>
          <w:rStyle w:val="Accentuation"/>
          <w:rFonts w:asciiTheme="majorBidi" w:hAnsiTheme="majorBidi" w:cstheme="majorBidi"/>
          <w:i w:val="0"/>
          <w:iCs w:val="0"/>
          <w:lang w:val="fr-FR"/>
        </w:rPr>
        <w:t>(15,40</w:t>
      </w:r>
      <w:r>
        <w:rPr>
          <w:rFonts w:asciiTheme="majorBidi" w:hAnsiTheme="majorBidi" w:cstheme="majorBidi"/>
          <w:lang w:val="fr-FR"/>
        </w:rPr>
        <w:t xml:space="preserve">%), suivi de </w:t>
      </w:r>
      <w:r>
        <w:rPr>
          <w:rStyle w:val="Accentuation"/>
          <w:rFonts w:asciiTheme="majorBidi" w:hAnsiTheme="majorBidi" w:cstheme="majorBidi"/>
          <w:lang w:val="fr-FR"/>
        </w:rPr>
        <w:t>Staphylococcus hominis</w:t>
      </w:r>
      <w:r>
        <w:rPr>
          <w:rFonts w:asciiTheme="majorBidi" w:hAnsiTheme="majorBidi" w:cstheme="majorBidi"/>
          <w:lang w:val="fr-FR"/>
        </w:rPr>
        <w:t xml:space="preserve">, </w:t>
      </w:r>
      <w:r>
        <w:rPr>
          <w:rStyle w:val="Accentuation"/>
          <w:rFonts w:asciiTheme="majorBidi" w:hAnsiTheme="majorBidi" w:cstheme="majorBidi"/>
          <w:lang w:val="fr-FR"/>
        </w:rPr>
        <w:t>Serratia marcescens</w:t>
      </w:r>
      <w:r>
        <w:rPr>
          <w:rFonts w:asciiTheme="majorBidi" w:hAnsiTheme="majorBidi" w:cstheme="majorBidi"/>
          <w:lang w:val="fr-FR"/>
        </w:rPr>
        <w:t xml:space="preserve">, </w:t>
      </w:r>
      <w:r>
        <w:rPr>
          <w:rStyle w:val="Accentuation"/>
          <w:rFonts w:asciiTheme="majorBidi" w:hAnsiTheme="majorBidi" w:cstheme="majorBidi"/>
          <w:lang w:val="fr-FR"/>
        </w:rPr>
        <w:t>Klebsiella pneumoniae</w:t>
      </w:r>
      <w:r>
        <w:rPr>
          <w:rFonts w:asciiTheme="majorBidi" w:hAnsiTheme="majorBidi" w:cstheme="majorBidi"/>
          <w:lang w:val="fr-FR"/>
        </w:rPr>
        <w:t xml:space="preserve"> et </w:t>
      </w:r>
      <w:r>
        <w:rPr>
          <w:rStyle w:val="Accentuation"/>
          <w:rFonts w:asciiTheme="majorBidi" w:hAnsiTheme="majorBidi" w:cstheme="majorBidi"/>
          <w:lang w:val="fr-FR"/>
        </w:rPr>
        <w:t>Acinetobacter baumannii</w:t>
      </w:r>
      <w:r>
        <w:rPr>
          <w:rFonts w:asciiTheme="majorBidi" w:hAnsiTheme="majorBidi" w:cstheme="majorBidi"/>
          <w:lang w:val="fr-FR"/>
        </w:rPr>
        <w:t xml:space="preserve"> toutes isolées avec une fréquence identique de (7,70%). Ces résultats soulignent la complexité de la </w:t>
      </w:r>
      <w:r>
        <w:rPr>
          <w:rStyle w:val="lev"/>
          <w:rFonts w:asciiTheme="majorBidi" w:hAnsiTheme="majorBidi" w:cstheme="majorBidi"/>
          <w:b w:val="0"/>
          <w:bCs w:val="0"/>
          <w:lang w:val="fr-FR"/>
        </w:rPr>
        <w:t>dynamique microbienne</w:t>
      </w:r>
      <w:r>
        <w:rPr>
          <w:rFonts w:asciiTheme="majorBidi" w:hAnsiTheme="majorBidi" w:cstheme="majorBidi"/>
          <w:lang w:val="fr-FR"/>
        </w:rPr>
        <w:t xml:space="preserve"> dans l’environnement hospitalier et la nécessité d’un </w:t>
      </w:r>
      <w:r>
        <w:rPr>
          <w:rStyle w:val="lev"/>
          <w:rFonts w:asciiTheme="majorBidi" w:hAnsiTheme="majorBidi" w:cstheme="majorBidi"/>
          <w:b w:val="0"/>
          <w:bCs w:val="0"/>
          <w:lang w:val="fr-FR"/>
        </w:rPr>
        <w:t>renforcement strict des mesures d’hygiène et de prévention</w:t>
      </w:r>
      <w:r>
        <w:rPr>
          <w:rFonts w:asciiTheme="majorBidi" w:hAnsiTheme="majorBidi" w:cstheme="majorBidi"/>
          <w:b/>
          <w:bCs/>
          <w:lang w:val="fr-FR"/>
        </w:rPr>
        <w:t>.</w:t>
      </w:r>
    </w:p>
    <w:p w14:paraId="7ECBB16A" w14:textId="77777777" w:rsidR="00B611D1" w:rsidRDefault="00FB7689">
      <w:pPr>
        <w:spacing w:after="200" w:line="360" w:lineRule="auto"/>
        <w:ind w:left="60"/>
        <w:jc w:val="both"/>
        <w:rPr>
          <w:rFonts w:asciiTheme="majorBidi" w:hAnsiTheme="majorBidi" w:cstheme="majorBidi"/>
          <w:lang w:val="fr-FR"/>
        </w:rPr>
      </w:pPr>
      <w:r>
        <w:rPr>
          <w:rFonts w:asciiTheme="majorBidi" w:hAnsiTheme="majorBidi" w:cstheme="majorBidi"/>
          <w:lang w:val="fr-FR"/>
        </w:rPr>
        <w:t xml:space="preserve">Ces résultats concordent avec plusieurs travaux antérieurs menés dans divers contextes hospitaliers. Par exemple, une étude réalisée au service d’urgence de l'hôpital El Hakim Okbi à Guelma (Algérie) a également identifié </w:t>
      </w:r>
      <w:r>
        <w:rPr>
          <w:rStyle w:val="Accentuation"/>
          <w:rFonts w:asciiTheme="majorBidi" w:hAnsiTheme="majorBidi" w:cstheme="majorBidi"/>
          <w:lang w:val="fr-FR"/>
        </w:rPr>
        <w:t xml:space="preserve">Staphylococcus aureus </w:t>
      </w:r>
      <w:r>
        <w:rPr>
          <w:rFonts w:asciiTheme="majorBidi" w:hAnsiTheme="majorBidi" w:cstheme="majorBidi"/>
          <w:lang w:val="fr-FR"/>
        </w:rPr>
        <w:t>comme premier pathogène, mais avec un taux plus élevé de 60 %</w:t>
      </w:r>
      <w:r>
        <w:rPr>
          <w:rFonts w:eastAsia="Calibri"/>
          <w:b/>
          <w:bCs/>
          <w:color w:val="000000"/>
          <w:lang w:val="fr" w:bidi="ar"/>
        </w:rPr>
        <w:t xml:space="preserve"> </w:t>
      </w:r>
      <w:r>
        <w:rPr>
          <w:rFonts w:eastAsia="Calibri"/>
          <w:b/>
          <w:bCs/>
          <w:color w:val="000000"/>
          <w:lang w:val="fr" w:bidi="ar"/>
        </w:rPr>
        <w:fldChar w:fldCharType="begin"/>
      </w:r>
      <w:r>
        <w:rPr>
          <w:rFonts w:eastAsia="Calibri"/>
          <w:b/>
          <w:bCs/>
          <w:color w:val="000000"/>
          <w:lang w:val="fr" w:bidi="ar"/>
        </w:rPr>
        <w:instrText xml:space="preserve"> ADDIN ZOTERO_ITEM CSL_CITATION {"citationID":"wKmf7g4M","properties":{"formattedCitation":"(Mebarki Mohamed Lamine, 2017)","plainCitation":"(Mebarki Mohamed Lamine, 2017)","noteIndex":0},"citationItems":[{"id":422,"uris":["http://zotero.org/users/16279382/items/WXVVZS8V"],"itemData":{"id":422,"type":"article-journal","note":"publisher: SNV. STU","source":"Google Scholar","title":"Isolement et identification des bactéries responsables des infections nosocomiales au niveau de service des urgences de l'hôpital El Hakim Okbi","URL":"https://dspace.univ-guelma.dz/jspui/handle/123456789/6184","author":[{"family":"Mebarki Mohamed Lamine","given":"Diakaridia Keita Kedadra Youcef"}],"accessed":{"date-parts":[["2025",6,13]]},"issued":{"date-parts":[["2017"]]}}}],"schema":"https://github.com/citation-style-language/schema/raw/master/csl-citation.json"}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(Mebarki Mohamed Lamine, 2017)</w:t>
      </w:r>
      <w:r>
        <w:rPr>
          <w:rFonts w:eastAsia="Calibri"/>
          <w:b/>
          <w:bCs/>
          <w:color w:val="000000"/>
          <w:lang w:val="fr" w:bidi="ar"/>
        </w:rPr>
        <w:fldChar w:fldCharType="end"/>
      </w:r>
      <w:r>
        <w:rPr>
          <w:rFonts w:asciiTheme="majorBidi" w:hAnsiTheme="majorBidi" w:cstheme="majorBidi"/>
          <w:lang w:val="fr-FR"/>
        </w:rPr>
        <w:t xml:space="preserve"> . De même, en Asie, des études menées au Pakistan et en Inde ont révélé une prédominance similaire de </w:t>
      </w:r>
      <w:r>
        <w:rPr>
          <w:rStyle w:val="Accentuation"/>
          <w:rFonts w:asciiTheme="majorBidi" w:hAnsiTheme="majorBidi" w:cstheme="majorBidi"/>
          <w:lang w:val="fr-FR"/>
        </w:rPr>
        <w:t xml:space="preserve">Staphylococcus aureus </w:t>
      </w:r>
      <w:r>
        <w:rPr>
          <w:rFonts w:asciiTheme="majorBidi" w:hAnsiTheme="majorBidi" w:cstheme="majorBidi"/>
          <w:lang w:val="fr-FR"/>
        </w:rPr>
        <w:t xml:space="preserve">dans les services des urgences, avec des taux respectifs de 18 % et 25 % </w:t>
      </w:r>
      <w:r>
        <w:rPr>
          <w:rFonts w:eastAsia="Calibri"/>
          <w:b/>
          <w:bCs/>
          <w:color w:val="000000"/>
          <w:lang w:val="fr" w:bidi="ar"/>
        </w:rPr>
        <w:fldChar w:fldCharType="begin"/>
      </w:r>
      <w:r>
        <w:rPr>
          <w:rFonts w:eastAsia="Calibri"/>
          <w:b/>
          <w:bCs/>
          <w:color w:val="000000"/>
          <w:lang w:val="fr" w:bidi="ar"/>
        </w:rPr>
        <w:instrText xml:space="preserve"> ADDIN ZOTERO_ITEM CSL_CITATION {"citationID":"dUNRs4ZK","properties":{"formattedCitation":"(Khan et al., 2018)","plainCitation":"(Khan et al., 2018)","noteIndex":0},"citationItems":[{"id":474,"uris":["http://zotero.org/users/16279382/items/LAR8VE83"],"itemData":{"id":474,"type":"article-journal","container-title":"Pakistan Journal of Pharmaceutical Sciences","issue":"2","source":"Google Scholar","title":"Investigation of Staphylococcus aureus, prevailing in the environment of Khyber Teaching Hospital, Peshawar, Pakistan.","URL":"https://www.researchgate.net/profile/Farmanullah-Khan-3/publication/323840260_Investigation_of_Staphylococcus_aureus_prevailing_in_the_environment_of_Khyber_Teaching_Hospital_Peshawar_Pakistan/links/5ceb013092851c4eabc1147a/Investigation-of-Staphylococcus-aureus-prevailing-in-the-environment-of-Khyber-Teaching-Hospital-Peshawar-Pakistan.pdf","volume":"31","author":[{"family":"Khan","given":"Farmanullah"},{"family":"Ahmad","given":"Bashir"},{"family":"Ahmed","given":"Jawad"},{"family":"Bashir","given":"Shumaila"}],"accessed":{"date-parts":[["2025",6,18]]},"issued":{"date-parts":[["2018"]]}}}],"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(Khan </w:t>
      </w:r>
      <w:r>
        <w:rPr>
          <w:rFonts w:eastAsia="Calibri"/>
          <w:b/>
          <w:bCs/>
          <w:i/>
          <w:iCs/>
          <w:szCs w:val="22"/>
          <w:lang w:val="fr" w:bidi="ar"/>
        </w:rPr>
        <w:t>et al</w:t>
      </w:r>
      <w:r>
        <w:rPr>
          <w:rFonts w:eastAsia="Calibri"/>
          <w:b/>
          <w:bCs/>
          <w:szCs w:val="22"/>
          <w:lang w:val="fr" w:bidi="ar"/>
        </w:rPr>
        <w:t>., 2018</w:t>
      </w:r>
      <w:r>
        <w:rPr>
          <w:rFonts w:eastAsia="Calibri"/>
          <w:b/>
          <w:bCs/>
          <w:color w:val="000000"/>
          <w:lang w:val="fr" w:bidi="ar"/>
        </w:rPr>
        <w:fldChar w:fldCharType="end"/>
      </w:r>
      <w:r>
        <w:rPr>
          <w:rFonts w:eastAsia="Calibri"/>
          <w:b/>
          <w:bCs/>
          <w:color w:val="000000"/>
          <w:lang w:val="fr-FR" w:bidi="ar"/>
        </w:rPr>
        <w:t xml:space="preserve"> </w:t>
      </w:r>
      <w:r>
        <w:rPr>
          <w:rFonts w:asciiTheme="majorBidi" w:hAnsiTheme="majorBidi" w:cstheme="majorBidi"/>
          <w:b/>
          <w:bCs/>
          <w:lang w:val="fr-FR"/>
        </w:rPr>
        <w:t xml:space="preserve">; </w:t>
      </w:r>
      <w:r>
        <w:rPr>
          <w:rFonts w:eastAsia="Calibri"/>
          <w:b/>
          <w:bCs/>
          <w:color w:val="000000"/>
          <w:lang w:val="fr" w:bidi="ar"/>
        </w:rPr>
        <w:fldChar w:fldCharType="begin"/>
      </w:r>
      <w:r>
        <w:rPr>
          <w:rFonts w:eastAsia="Calibri"/>
          <w:b/>
          <w:bCs/>
          <w:color w:val="000000"/>
          <w:lang w:val="fr" w:bidi="ar"/>
        </w:rPr>
        <w:instrText xml:space="preserve"> ADDIN ZOTERO_ITEM CSL_CITATION {"citationID":"FhpD9QII","properties":{"formattedCitation":"(Chaudhary et al., 2019)","plainCitation":"(Chaudhary et al., 2019)","noteIndex":0},"citationItems":[{"id":475,"uris":["http://zotero.org/users/16279382/items/XPZDAUMW"],"itemData":{"id":475,"type":"article-journal","container-title":"Journal of Biomedical and Pharmaceutical Research","issue":"6","page":"1–5","source":"Google Scholar","title":"A Review of Methicillin-Resistant Staphylococcus aureus (MRSA): Characterization, Prevalence, and Antibiotic Reactions on Humans in India","title-short":"A Review of Methicillin-Resistant Staphylococcus aureus (MRSA)","volume":"8","author":[{"family":"Chaudhary","given":"Megha"},{"family":"Kumar","given":"Vinit"},{"family":"Singh","given":"Sonika"}],"issued":{"date-parts":[["2019"]]}}}],"schema":"https://github.com/citation-style-language/schema/raw/master/csl-citation.json"}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Chaudhary </w:t>
      </w:r>
      <w:r>
        <w:rPr>
          <w:rFonts w:eastAsia="Calibri"/>
          <w:b/>
          <w:bCs/>
          <w:i/>
          <w:iCs/>
          <w:szCs w:val="22"/>
          <w:lang w:val="fr" w:bidi="ar"/>
        </w:rPr>
        <w:t>et al</w:t>
      </w:r>
      <w:r>
        <w:rPr>
          <w:rFonts w:eastAsia="Calibri"/>
          <w:b/>
          <w:bCs/>
          <w:szCs w:val="22"/>
          <w:lang w:val="fr" w:bidi="ar"/>
        </w:rPr>
        <w:t>., 2019)</w:t>
      </w:r>
      <w:r>
        <w:rPr>
          <w:rFonts w:eastAsia="Calibri"/>
          <w:b/>
          <w:bCs/>
          <w:color w:val="000000"/>
          <w:lang w:val="fr" w:bidi="ar"/>
        </w:rPr>
        <w:fldChar w:fldCharType="end"/>
      </w:r>
      <w:r>
        <w:rPr>
          <w:rFonts w:asciiTheme="majorBidi" w:hAnsiTheme="majorBidi" w:cstheme="majorBidi"/>
          <w:lang w:val="fr-FR"/>
        </w:rPr>
        <w:t xml:space="preserve">. Cette bactérie est reconnue pour sa forte pathogénicité et sa capacité à échapper à de nombreux antibiotiques, ce qui la rend particulièrement redoutable. Cette présence importante nécessite donc un renforcement des mesures de prévention et de surveillance afin de limiter sa propagation dans ce service </w:t>
      </w:r>
      <w:r>
        <w:rPr>
          <w:rFonts w:eastAsia="Calibri"/>
          <w:b/>
          <w:bCs/>
          <w:color w:val="000000"/>
          <w:lang w:val="fr" w:bidi="ar"/>
        </w:rPr>
        <w:fldChar w:fldCharType="begin"/>
      </w:r>
      <w:r>
        <w:rPr>
          <w:rFonts w:eastAsia="Calibri"/>
          <w:b/>
          <w:bCs/>
          <w:color w:val="000000"/>
          <w:lang w:val="fr" w:bidi="ar"/>
        </w:rPr>
        <w:instrText xml:space="preserve"> ADDIN ZOTERO_ITEM CSL_CITATION {"citationID":"VUxhnC0J","properties":{"formattedCitation":"(Dhalluin, 2018)","plainCitation":"(Dhalluin, 2018)","noteIndex":0},"citationItems":[{"id":481,"uris":["http://zotero.org/users/16279382/items/ALMSESNY"],"itemData":{"id":481,"type":"thesis","genre":"PhD Thesis","source":"Google Scholar","title":"Optimisation de la prise en charge de la dermatite atopique par la gestion de la corticophobie du pharmacien à l'officine","URL":"https://pepite-depot.univ-lille.fr/LIBRE/Th_Pharma/2018/2018LILUE028.pdf","author":[{"family":"Dhalluin","given":"Elodie"}],"accessed":{"date-parts":[["2025",6,19]]},"issued":{"date-parts":[["2018"]]}}}],"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(Dhalluin, 2018</w:t>
      </w:r>
      <w:r>
        <w:rPr>
          <w:rFonts w:eastAsia="Calibri"/>
          <w:b/>
          <w:bCs/>
          <w:color w:val="000000"/>
          <w:lang w:val="fr" w:bidi="ar"/>
        </w:rPr>
        <w:fldChar w:fldCharType="end"/>
      </w:r>
      <w:r>
        <w:rPr>
          <w:rFonts w:asciiTheme="majorBidi" w:hAnsiTheme="majorBidi" w:cstheme="majorBidi"/>
          <w:b/>
          <w:bCs/>
          <w:lang w:val="fr-FR"/>
        </w:rPr>
        <w:t xml:space="preserve"> ; </w:t>
      </w:r>
      <w:r>
        <w:rPr>
          <w:rFonts w:eastAsia="Calibri"/>
          <w:b/>
          <w:bCs/>
          <w:color w:val="000000"/>
          <w:lang w:val="fr" w:bidi="ar"/>
        </w:rPr>
        <w:fldChar w:fldCharType="begin"/>
      </w:r>
      <w:r>
        <w:rPr>
          <w:rFonts w:eastAsia="Calibri"/>
          <w:b/>
          <w:bCs/>
          <w:color w:val="000000"/>
          <w:lang w:val="fr" w:bidi="ar"/>
        </w:rPr>
        <w:instrText xml:space="preserve"> ADDIN ZOTERO_ITEM CSL_CITATION {"citationID":"M843BeKA","properties":{"formattedCitation":"(Rebiahi et al., 2014)","plainCitation":"(Rebiahi et al., 2014)","noteIndex":0},"citationItems":[{"id":424,"uris":["http://zotero.org/users/16279382/items/ZJYB7ZDF"],"itemData":{"id":424,"type":"article-journal","abstract":"Résumé\nIntroduction\nL’objectif de cette étude est d’explorer dans notre unité de néonatologie les facteurs de risques de l’infection nosocomiale générée par Staphylococcus aureus, de déterminer la prévalence et la densité d’incidence de ces microorganismes, et de vérifier si ces souches sont également responsables de la formation de biofilm sur cathéters.\nPatients et méthodes\nDeux cent cinquante-trois nouveau-nés ont été inclus dans cette étude, l’aptitude à former des biofilms a été détectée par la technique de plaque de culture de tissu, et la visualisation de ces biofilms a été faite par microscopie électronique à balayage. Les concentrations minimales inhibitrices (CMI) d’antibiotiques sur des cellules planctoniques ont été déterminées par la technique de dilutions sur microplaque à 96 puits. En parallèle, la sensibilité des cellules en mode sessile a été testée vis-à-vis de sept molécules d’antibiotiques.\nRésultats\nLa densité d’incidence de l’infection nosocomiale causée par S. aureus a été de l’ordre de 9,87 pour 1000 journées d’hospitalisation. Ces souches sont capables de former des biofilms et de résister à des concentrations 100 fois plus importantes que celles utilisées en schéma thérapeutique.\nConclusion\nCette étude a permis également d’identifier certains facteurs de risque de l’infection nosocomiale dans notre unité de néonatologie, à savoir la prématurité, le faible poids de naissance et la durée de séjour d’hospitalisation. Les souches responsables d’infections nosocomiales dans l’unité de néonatologie de L’EHS de Tlemcen peuvent également former des biofilms avec tout ce que cela implique comme risque en matière de résistance. Par conséquent elles peuvent constituer une véritable contrainte thérapeutique.\nSummary\nIntroduction\nThe objective of this study is to explore in our neonatal unit, risk factors of nosocomial infection generated by Staphylococcus aureus, to determine the prevalence and incidence density of these microorganisms and whether these strains are also responsible for biofilm formation on catheters.\nPatients and methods\nTwo hundred and fifty-three newborn babies were included in this study, the ability to form biofilms was detected by tissue culture plate method, and visualization of biofilms was made by Scanning Electron Microscopy “SEM”. MICs of antibiotics on planktonic cells were determined by the dilution technique in 96-well microplate. In parallel, the sensitivity of cells in sessile mode has been tested towards seven antibiotic molecules.\nResults\nThe incidence density of nosocomial infection caused by S. aureus was the order of 9.87 per 1000 patient days. These strains are capable of forming biofilms and resist 100 times greater than those used in regimens concentrations.\nConclusion\nThis study has also identified certain risk factors of nosocomial infection in our neonatal unit, like prematurity, low birth weight and length of hospital stay. Strains responsible for nosocomial infections in the neonatal unit of EHS Tlemcen can also form biofilms with everything that implies risk for resistance, therefore they can be a real therapeutic stress.","container-title":"Journal de Pédiatrie et de Puériculture","DOI":"10.1016/j.jpp.2014.08.008","ISSN":"0987-7983","issue":"5","journalAbbreviation":"Journal de Pédiatrie et de Puériculture","page":"228-235","source":"ScienceDirect","title":"Infections nosocomiales causées par &lt;i&gt;Staphylococcus aureus&lt;/i&gt; producteur de biofilm dans l’unité de néonatologie de l’établissement hospitalier spécialisé mère-enfant de Tlemcen, Algérie","volume":"27","author":[{"family":"Rebiahi","given":"S. -A."},{"family":"Rahmoun","given":"M."},{"family":"Seddiki","given":"S. M. L."},{"family":"Kadi","given":"K."},{"family":"Belhadji","given":"F."},{"family":"Chabni","given":"N."},{"family":"Kunkel","given":"D."}],"issued":{"date-parts":[["2014",10,1]]}}}],"schema":"https://github.com/citation-style-language/schema/raw/master/csl-citation.json"}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Rebiahi </w:t>
      </w:r>
      <w:r>
        <w:rPr>
          <w:rFonts w:eastAsia="Calibri"/>
          <w:b/>
          <w:bCs/>
          <w:i/>
          <w:iCs/>
          <w:szCs w:val="22"/>
          <w:lang w:val="fr" w:bidi="ar"/>
        </w:rPr>
        <w:t>et al</w:t>
      </w:r>
      <w:r>
        <w:rPr>
          <w:rFonts w:eastAsia="Calibri"/>
          <w:b/>
          <w:bCs/>
          <w:szCs w:val="22"/>
          <w:lang w:val="fr" w:bidi="ar"/>
        </w:rPr>
        <w:t>., 2014)</w:t>
      </w:r>
      <w:r>
        <w:rPr>
          <w:rFonts w:eastAsia="Calibri"/>
          <w:b/>
          <w:bCs/>
          <w:color w:val="000000"/>
          <w:lang w:val="fr" w:bidi="ar"/>
        </w:rPr>
        <w:fldChar w:fldCharType="end"/>
      </w:r>
      <w:r>
        <w:rPr>
          <w:rFonts w:asciiTheme="majorBidi" w:hAnsiTheme="majorBidi" w:cstheme="majorBidi"/>
          <w:lang w:val="fr-FR"/>
        </w:rPr>
        <w:t xml:space="preserve">. Par ailleurs, la présence notable de </w:t>
      </w:r>
      <w:r>
        <w:rPr>
          <w:rStyle w:val="Accentuation"/>
          <w:rFonts w:asciiTheme="majorBidi" w:hAnsiTheme="majorBidi" w:cstheme="majorBidi"/>
          <w:lang w:val="fr-FR"/>
        </w:rPr>
        <w:t>Staphylococcus hominis</w:t>
      </w:r>
      <w:r>
        <w:rPr>
          <w:rFonts w:asciiTheme="majorBidi" w:hAnsiTheme="majorBidi" w:cstheme="majorBidi"/>
          <w:lang w:val="fr-FR"/>
        </w:rPr>
        <w:t xml:space="preserve">, un staphylocoque à coagulase négative, bien que moins virulent que </w:t>
      </w:r>
      <w:r>
        <w:rPr>
          <w:rStyle w:val="Accentuation"/>
          <w:rFonts w:asciiTheme="majorBidi" w:hAnsiTheme="majorBidi" w:cstheme="majorBidi"/>
          <w:lang w:val="fr-FR"/>
        </w:rPr>
        <w:t>Staphylococcus aureus</w:t>
      </w:r>
      <w:r>
        <w:rPr>
          <w:rFonts w:asciiTheme="majorBidi" w:hAnsiTheme="majorBidi" w:cstheme="majorBidi"/>
          <w:lang w:val="fr-FR"/>
        </w:rPr>
        <w:t xml:space="preserve">, reste préoccupante. Cette espèce opportuniste est souvent impliquée dans les </w:t>
      </w:r>
      <w:r>
        <w:rPr>
          <w:rStyle w:val="lev"/>
          <w:rFonts w:asciiTheme="majorBidi" w:hAnsiTheme="majorBidi" w:cstheme="majorBidi"/>
          <w:b w:val="0"/>
          <w:bCs w:val="0"/>
          <w:lang w:val="fr-FR"/>
        </w:rPr>
        <w:t>infections nosocomiales</w:t>
      </w:r>
      <w:r>
        <w:rPr>
          <w:rFonts w:asciiTheme="majorBidi" w:hAnsiTheme="majorBidi" w:cstheme="majorBidi"/>
          <w:lang w:val="fr-FR"/>
        </w:rPr>
        <w:t xml:space="preserve">, notamment chez les patients immunodéprimés ou porteurs de dispositifs médicaux invasifs comme les cathéters </w:t>
      </w:r>
      <w:r>
        <w:rPr>
          <w:rFonts w:eastAsia="Calibri"/>
          <w:b/>
          <w:bCs/>
          <w:color w:val="000000"/>
          <w:kern w:val="2"/>
          <w:lang w:val="fr" w:eastAsia="zh-CN" w:bidi="ar"/>
        </w:rPr>
        <w:fldChar w:fldCharType="begin"/>
      </w:r>
      <w:r>
        <w:rPr>
          <w:rFonts w:eastAsia="Calibri"/>
          <w:b/>
          <w:bCs/>
          <w:color w:val="000000"/>
          <w:kern w:val="2"/>
          <w:lang w:val="fr" w:eastAsia="zh-CN" w:bidi="ar"/>
        </w:rPr>
        <w:instrText xml:space="preserve"> ADDIN ZOTERO_ITEM CSL_CITATION {"citationID":"G2XVR4YK","properties":{"formattedCitation":"(Morad Asaad et al., 2016)","plainCitation":"(Morad Asaad et al., 2016)","noteIndex":0},"citationItems":[{"id":426,"uris":["http://zotero.org/users/16279382/items/288UYRXB"],"itemData":{"id":426,"type":"article-journal","abstract":"Background Identification of coagulase-negative staphylococci (CoNS) as nosocomial pathogens or contaminants is significant for microbiologists and clinicians. This study aimed to determine the frequency of isolation and antimicrobial resistance patterns of CoNS isolates from nosocomial bloodstream infections (BSIs) and to identify risk factors associated with true bacteremia caused by these emerging pathogens in a Saudi tertiary care hospital. Methods All CoNS-positive cultures from inpatients were identified using the standard methods during a 10-month period. Antimicrobial susceptibility testing was done using the reference broth microdilution method. Results A total of 208 isolates were identified; of these 75 (32.2%) were considered infection associated, and 133 (67.8%) were considered contamination. S. epidermidis accounted for 34.7% of bacteremia cases, followed by S. hominis (21.3%), S. haemolyticus (16%), and S. saprophyticus (12%). Central venous catheters (p ≤ 0.0001), prior antibiotic therapy (p ≤ 0.0001), the occurrence of more than one positive blood culture (p ≤ 0.0001), and intensive care unit (ICU) admission (p = 0.007) were all independently associated with CoNS bacteremia. Overall, all isolates were highly resistant to penicillin (94.7%), oxacillin (90.7%), and erythromycin (85.3%). The rates of susceptibility to vancomycin, daptomycin, and teicoplanin were 98.7%, 98.7%, and 93.3%, respectively. Conclusions Our results further highlight that accurate identification and susceptibility testing of CoNS isolates from nosocomial BSIs are crucial to minimize excessive antibiotic use and unnecessary catheter removal. In addition, daptomycin may be an efficient alternative therapeutic option for CoNS resistant to oxacillin and other commonly used antibiotics.","container-title":"Infectious Diseases","DOI":"10.3109/23744235.2015.1122833","ISSN":"2374-4235","issue":"5","note":"publisher: Taylor &amp; Francis\n_eprint: https://doi.org/10.3109/23744235.2015.1122833\nPMID: 26666168","page":"356-360","source":"Taylor and Francis+NEJM","title":"Clinical significance of coagulase-negative staphylococci isolates from nosocomial bloodstream infections","volume":"48","author":[{"family":"Morad Asaad","given":"Ahmed"},{"family":"","given":"Ansar Qureshi ,Mohamed"},{"family":"Mujeeb Hasan","given":"Syed","non-dropping-particle":"and"}],"issued":{"date-parts":[["2016",5,3]]}}}],"schema":"https://github.com/citation-style-language/schema/raw/master/csl-citation.json"} </w:instrText>
      </w:r>
      <w:r>
        <w:rPr>
          <w:rFonts w:eastAsia="Calibri"/>
          <w:b/>
          <w:bCs/>
          <w:color w:val="000000"/>
          <w:kern w:val="2"/>
          <w:lang w:val="fr" w:eastAsia="zh-CN" w:bidi="ar"/>
        </w:rPr>
        <w:fldChar w:fldCharType="separate"/>
      </w:r>
      <w:r>
        <w:rPr>
          <w:rFonts w:eastAsia="Calibri"/>
          <w:b/>
          <w:bCs/>
          <w:kern w:val="2"/>
          <w:szCs w:val="22"/>
          <w:lang w:val="fr" w:eastAsia="zh-CN" w:bidi="ar"/>
        </w:rPr>
        <w:t xml:space="preserve">(Morad Asaad </w:t>
      </w:r>
      <w:r>
        <w:rPr>
          <w:rFonts w:eastAsia="Calibri"/>
          <w:b/>
          <w:bCs/>
          <w:i/>
          <w:iCs/>
          <w:kern w:val="2"/>
          <w:szCs w:val="22"/>
          <w:lang w:val="fr" w:eastAsia="zh-CN" w:bidi="ar"/>
        </w:rPr>
        <w:t>et al</w:t>
      </w:r>
      <w:r>
        <w:rPr>
          <w:rFonts w:eastAsia="Calibri"/>
          <w:b/>
          <w:bCs/>
          <w:kern w:val="2"/>
          <w:szCs w:val="22"/>
          <w:lang w:val="fr" w:eastAsia="zh-CN" w:bidi="ar"/>
        </w:rPr>
        <w:t>., 2016)</w:t>
      </w:r>
      <w:r>
        <w:rPr>
          <w:rFonts w:eastAsia="Calibri"/>
          <w:b/>
          <w:bCs/>
          <w:color w:val="000000"/>
          <w:kern w:val="2"/>
          <w:lang w:val="fr" w:eastAsia="zh-CN" w:bidi="ar"/>
        </w:rPr>
        <w:fldChar w:fldCharType="end"/>
      </w:r>
      <w:r>
        <w:rPr>
          <w:rFonts w:asciiTheme="majorBidi" w:hAnsiTheme="majorBidi" w:cstheme="majorBidi"/>
          <w:lang w:val="fr-FR"/>
        </w:rPr>
        <w:t>.</w:t>
      </w:r>
    </w:p>
    <w:p w14:paraId="67621EED" w14:textId="77777777" w:rsidR="00B611D1" w:rsidRDefault="00FB7689">
      <w:pPr>
        <w:spacing w:after="200" w:line="360" w:lineRule="auto"/>
        <w:ind w:left="60"/>
        <w:jc w:val="both"/>
        <w:rPr>
          <w:lang w:val="fr-FR"/>
        </w:rPr>
      </w:pPr>
      <w:r>
        <w:rPr>
          <w:lang w:val="fr-FR"/>
        </w:rPr>
        <w:t xml:space="preserve">La présence de </w:t>
      </w:r>
      <w:r>
        <w:rPr>
          <w:i/>
          <w:iCs/>
          <w:lang w:val="fr-FR"/>
        </w:rPr>
        <w:t>Serratia marcescens</w:t>
      </w:r>
      <w:r>
        <w:rPr>
          <w:lang w:val="fr-FR"/>
        </w:rPr>
        <w:t xml:space="preserve">, une bactérie classée parmi les trois principaux agents pathogènes responsables d’infections nosocomiales, et capable de provoquer une large gamme de symptômes allant des infections urinaires à la pneumonie, voire à la septicémie, souligne la nécessité de renforcer les mesures d’hygiène hospitalière, en particulier dans les services des urgences, à travers une hygiène rigoureuse des mains et des précautions de contact , afin de limiter la propagation de ce pathogène opportuniste </w:t>
      </w:r>
      <w:r>
        <w:rPr>
          <w:rFonts w:eastAsia="Calibri"/>
          <w:b/>
          <w:bCs/>
          <w:color w:val="000000"/>
          <w:kern w:val="2"/>
          <w:lang w:val="fr" w:eastAsia="zh-CN" w:bidi="ar"/>
        </w:rPr>
        <w:fldChar w:fldCharType="begin"/>
      </w:r>
      <w:r>
        <w:rPr>
          <w:rFonts w:eastAsia="Calibri"/>
          <w:b/>
          <w:bCs/>
          <w:color w:val="000000"/>
          <w:kern w:val="2"/>
          <w:lang w:val="fr" w:eastAsia="zh-CN" w:bidi="ar"/>
        </w:rPr>
        <w:instrText xml:space="preserve"> ADDIN ZOTERO_ITEM CSL_CITATION {"citationID":"67kkC1G2","properties":{"formattedCitation":"(Cristina et al., 2019)","plainCitation":"(Cristina et al., 2019)","noteIndex":0},"citationItems":[{"id":427,"uris":["http://zotero.org/users/16279382/items/JGNG2JM6"],"itemData":{"id":427,"type":"article-journal","abstract":"Serratia marcescens belongs to the family Enterobacteriaceae, which is commonly found in water, soil, animals, insects, plants. Although S. marcescens displays relatively low virulence, it causes nosocomial infections and outbreaks in severely immunocompromised or critically ill patients, particularly in settings such as intensive care units (ICUs), especially neonatal units (NICUs). This microorganism gives rise to a wide range of clinical manifestations in newborns: from asymptomatic colonization to keratitis, conjunctivitis, urinary tract infections, pneumonia, surgical wound infections, sepsis, bloodstream infection and meningitis. The most frequent site of infection is the bloodstream, followed by the respiratory apparatus and the gastrointestinal tract. Strains of S. marcescens involved in epidemic events have frequently proved to be multi-resistant. Indeed, this species displays intrinsic resistance to several classes of antibiotics. Often, the specific source of the infection cannot be identified. However, the contaminated hands of healthcare workers are believed to be a major vehicle of its transmission. In neonatal intensive care units, colonized or infected newborns are the main potential source of S. marcescens, particularly in the respiratory apparatus, but also in the gastrointestinal tract. The early identification of colonized or infected patients and the prompt implementation of infection control measures, particularly rigorous hand hygiene and contact precautions, are essential in order to curb the spread of infection.","container-title":"International Journal of Environmental Research and Public Health","DOI":"10.3390/ijerph16040610","ISSN":"1660-4601","issue":"4","language":"en","license":"http://creativecommons.org/licenses/by/3.0/","note":"number: 4\npublisher: Multidisciplinary Digital Publishing Institute","page":"610","source":"www.mdpi.com","title":"Serratia marcescens Infections in Neonatal Intensive Care Units (NICUs)","volume":"16","author":[{"family":"Cristina","given":"Maria Luisa"},{"family":"Sartini","given":"Marina"},{"family":"Spagnolo","given":"Anna Maria"}],"issued":{"date-parts":[["2019",1]]}}}],"schema":"https://github.com/citation-style-language/schema/raw/master/csl-citation.json"} </w:instrText>
      </w:r>
      <w:r>
        <w:rPr>
          <w:rFonts w:eastAsia="Calibri"/>
          <w:b/>
          <w:bCs/>
          <w:color w:val="000000"/>
          <w:kern w:val="2"/>
          <w:lang w:val="fr" w:eastAsia="zh-CN" w:bidi="ar"/>
        </w:rPr>
        <w:fldChar w:fldCharType="separate"/>
      </w:r>
      <w:r>
        <w:rPr>
          <w:rFonts w:eastAsia="Calibri"/>
          <w:b/>
          <w:bCs/>
          <w:kern w:val="2"/>
          <w:szCs w:val="22"/>
          <w:lang w:val="fr" w:eastAsia="zh-CN" w:bidi="ar"/>
        </w:rPr>
        <w:t xml:space="preserve">(Cristina </w:t>
      </w:r>
      <w:r>
        <w:rPr>
          <w:rFonts w:eastAsia="Calibri"/>
          <w:b/>
          <w:bCs/>
          <w:i/>
          <w:iCs/>
          <w:kern w:val="2"/>
          <w:szCs w:val="22"/>
          <w:lang w:val="fr" w:eastAsia="zh-CN" w:bidi="ar"/>
        </w:rPr>
        <w:t>et al</w:t>
      </w:r>
      <w:r>
        <w:rPr>
          <w:rFonts w:eastAsia="Calibri"/>
          <w:b/>
          <w:bCs/>
          <w:kern w:val="2"/>
          <w:szCs w:val="22"/>
          <w:lang w:val="fr" w:eastAsia="zh-CN" w:bidi="ar"/>
        </w:rPr>
        <w:t>., 2019)</w:t>
      </w:r>
      <w:r>
        <w:rPr>
          <w:rFonts w:eastAsia="Calibri"/>
          <w:b/>
          <w:bCs/>
          <w:color w:val="000000"/>
          <w:kern w:val="2"/>
          <w:lang w:val="fr" w:eastAsia="zh-CN" w:bidi="ar"/>
        </w:rPr>
        <w:fldChar w:fldCharType="end"/>
      </w:r>
      <w:r>
        <w:rPr>
          <w:lang w:val="fr-FR"/>
        </w:rPr>
        <w:t>.</w:t>
      </w:r>
    </w:p>
    <w:p w14:paraId="3A4947D5" w14:textId="77777777" w:rsidR="00B611D1" w:rsidRDefault="00FB7689">
      <w:pPr>
        <w:spacing w:line="360" w:lineRule="auto"/>
        <w:jc w:val="both"/>
        <w:rPr>
          <w:rFonts w:asciiTheme="majorBidi" w:hAnsiTheme="majorBidi" w:cstheme="majorBidi"/>
          <w:lang w:val="fr-FR"/>
        </w:rPr>
      </w:pPr>
      <w:r>
        <w:rPr>
          <w:rFonts w:asciiTheme="majorBidi" w:hAnsiTheme="majorBidi" w:cstheme="majorBidi"/>
          <w:lang w:val="fr-FR"/>
        </w:rPr>
        <w:t xml:space="preserve">Bien que les taux de contamination par </w:t>
      </w:r>
      <w:r>
        <w:rPr>
          <w:rFonts w:asciiTheme="majorBidi" w:hAnsiTheme="majorBidi" w:cstheme="majorBidi"/>
          <w:i/>
          <w:iCs/>
          <w:lang w:val="fr-FR"/>
        </w:rPr>
        <w:t>Klebsiella pneumoniae</w:t>
      </w:r>
      <w:r>
        <w:rPr>
          <w:rFonts w:asciiTheme="majorBidi" w:hAnsiTheme="majorBidi" w:cstheme="majorBidi"/>
          <w:lang w:val="fr-FR"/>
        </w:rPr>
        <w:t xml:space="preserve"> et </w:t>
      </w:r>
      <w:r>
        <w:rPr>
          <w:rFonts w:asciiTheme="majorBidi" w:hAnsiTheme="majorBidi" w:cstheme="majorBidi"/>
          <w:i/>
          <w:iCs/>
          <w:lang w:val="fr-FR"/>
        </w:rPr>
        <w:t>Acinetobacter baumannii</w:t>
      </w:r>
      <w:r>
        <w:rPr>
          <w:rFonts w:asciiTheme="majorBidi" w:hAnsiTheme="majorBidi" w:cstheme="majorBidi"/>
          <w:lang w:val="fr-FR"/>
        </w:rPr>
        <w:t xml:space="preserve"> soient relativement faibles, leur présence ne doit pas être négligée. Chaque espèce bactérienne résistante aux antibiotiques représente une menace réelle pour la santé publique, en particulier dans un contexte hospitalier où les patients sont souvent immunodéprimés. Ainsi, la détection de ces souches, même à faible prévalence, souligne l’importance d’une surveillance continue et d’une évaluation régulière de l'efficacité des mesures de prévention et de contrôle des infections </w:t>
      </w:r>
      <w:r>
        <w:rPr>
          <w:rFonts w:eastAsia="Calibri"/>
          <w:b/>
          <w:bCs/>
          <w:color w:val="000000"/>
          <w:lang w:val="fr" w:bidi="ar"/>
        </w:rPr>
        <w:fldChar w:fldCharType="begin"/>
      </w:r>
      <w:r>
        <w:rPr>
          <w:rFonts w:eastAsia="Calibri"/>
          <w:b/>
          <w:bCs/>
          <w:color w:val="000000"/>
          <w:lang w:val="fr" w:bidi="ar"/>
        </w:rPr>
        <w:instrText xml:space="preserve"> ADDIN ZOTERO_ITEM CSL_CITATION {"citationID":"BLezWgg6","properties":{"formattedCitation":"(Guairad &amp; Chetouane, 2023)","plainCitation":"(Guairad &amp; Chetouane, 2023)","noteIndex":0},"citationItems":[{"id":483,"uris":["http://zotero.org/users/16279382/items/HDTPZNFJ"],"itemData":{"id":483,"type":"thesis","genre":"PhD Thesis","publisher":"Université Mouloud Mammeri","source":"Google Scholar","title":"Les infections nosocomiales au niveau du centre hospitalier universitaire de Tizi-Ouzou","URL":"https://dspace.ummto.dz/items/8aa77b05-f2be-4bfe-ae20-bff8e83d7656","author":[{"family":"Guairad","given":"Taous"},{"family":"Chetouane","given":"Ania"}],"accessed":{"date-parts":[["2025",6,19]]},"issued":{"date-parts":[["2023"]]}}}],"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(Guairad &amp; Chetouane, 2023)</w:t>
      </w:r>
      <w:r>
        <w:rPr>
          <w:rFonts w:eastAsia="Calibri"/>
          <w:b/>
          <w:bCs/>
          <w:color w:val="000000"/>
          <w:lang w:val="fr" w:bidi="ar"/>
        </w:rPr>
        <w:fldChar w:fldCharType="end"/>
      </w:r>
      <w:r>
        <w:rPr>
          <w:rFonts w:asciiTheme="majorBidi" w:hAnsiTheme="majorBidi" w:cstheme="majorBidi"/>
          <w:b/>
          <w:bCs/>
          <w:lang w:val="fr-FR"/>
        </w:rPr>
        <w:t>.</w:t>
      </w:r>
    </w:p>
    <w:p w14:paraId="28559923" w14:textId="77777777" w:rsidR="00B611D1" w:rsidRDefault="00B611D1">
      <w:pPr>
        <w:spacing w:line="360" w:lineRule="auto"/>
        <w:jc w:val="both"/>
        <w:rPr>
          <w:lang w:val="fr-FR"/>
        </w:rPr>
      </w:pPr>
    </w:p>
    <w:p w14:paraId="76E0969F" w14:textId="77777777" w:rsidR="00B611D1" w:rsidRDefault="00FB7689">
      <w:pPr>
        <w:spacing w:line="360" w:lineRule="auto"/>
        <w:jc w:val="both"/>
        <w:rPr>
          <w:rFonts w:asciiTheme="majorBidi" w:hAnsiTheme="majorBidi" w:cstheme="majorBidi"/>
          <w:lang w:val="fr-FR"/>
        </w:rPr>
      </w:pPr>
      <w:r>
        <w:rPr>
          <w:lang w:val="fr-FR"/>
        </w:rPr>
        <w:t xml:space="preserve">Les isolats restants, représentant 53,80 % du total, étaient majoritairement des bacilles à Gram positif. Ces souches, qui ne sont généralement pas considérées comme des agents pathogènes nosocomiaux majeurs, n’ont pas été identifiés </w:t>
      </w:r>
      <w:r>
        <w:rPr>
          <w:rFonts w:eastAsia="Calibri" w:cs="Arial"/>
          <w:b/>
          <w:bCs/>
          <w:color w:val="000000"/>
          <w:kern w:val="2"/>
          <w:lang w:val="fr" w:eastAsia="zh-CN" w:bidi="ar"/>
        </w:rPr>
        <w:fldChar w:fldCharType="begin"/>
      </w:r>
      <w:r>
        <w:rPr>
          <w:rFonts w:eastAsia="Calibri" w:cs="Arial"/>
          <w:b/>
          <w:bCs/>
          <w:color w:val="000000"/>
          <w:kern w:val="2"/>
          <w:lang w:val="fr" w:eastAsia="zh-CN" w:bidi="ar"/>
        </w:rPr>
        <w:instrText xml:space="preserve"> ADDIN ZOTERO_ITEM CSL_CITATION {"citationID":"YV9UKOBR","properties":{"formattedCitation":"(Botnarciuc et al., 2018)","plainCitation":"(Botnarciuc et al., 2018)","noteIndex":0},"citationItems":[{"id":487,"uris":["http://zotero.org/users/16279382/items/2PVDU7SH"],"itemData":{"id":487,"type":"article-journal","source":"Google Scholar","title":"Infections associated with hospitalization over one year period.","URL":"https://www.cabidigitallibrary.org/doi/full/10.5555/20193271482","author":[{"family":"Botnarciuc","given":"M."},{"family":"Daba","given":"L."},{"family":"Laiveras","given":"D."},{"family":"Disea","given":"M."},{"family":"Grasa","given":"C. N."}],"accessed":{"date-parts":[["2025",6,21]]},"issued":{"date-parts":[["2018"]]}}}],"schema":"https://github.com/citation-style-language/schema/raw/master/csl-citation.json"} </w:instrText>
      </w:r>
      <w:r>
        <w:rPr>
          <w:rFonts w:eastAsia="Calibri" w:cs="Arial"/>
          <w:b/>
          <w:bCs/>
          <w:color w:val="000000"/>
          <w:kern w:val="2"/>
          <w:lang w:val="fr" w:eastAsia="zh-CN" w:bidi="ar"/>
        </w:rPr>
        <w:fldChar w:fldCharType="separate"/>
      </w:r>
      <w:r>
        <w:rPr>
          <w:rFonts w:eastAsia="Calibri"/>
          <w:b/>
          <w:bCs/>
          <w:kern w:val="2"/>
          <w:szCs w:val="22"/>
          <w:lang w:val="fr" w:eastAsia="zh-CN" w:bidi="ar"/>
        </w:rPr>
        <w:t>(Botnarciuc et al., 2018)</w:t>
      </w:r>
      <w:r>
        <w:rPr>
          <w:rFonts w:eastAsia="Calibri" w:cs="Arial"/>
          <w:b/>
          <w:bCs/>
          <w:color w:val="000000"/>
          <w:kern w:val="2"/>
          <w:lang w:val="fr" w:eastAsia="zh-CN" w:bidi="ar"/>
        </w:rPr>
        <w:fldChar w:fldCharType="end"/>
      </w:r>
      <w:r>
        <w:rPr>
          <w:lang w:val="fr-FR"/>
        </w:rPr>
        <w:t xml:space="preserve">. </w:t>
      </w:r>
    </w:p>
    <w:p w14:paraId="20FF59D5" w14:textId="77777777" w:rsidR="00B611D1" w:rsidRDefault="00B611D1">
      <w:pPr>
        <w:spacing w:line="360" w:lineRule="auto"/>
        <w:jc w:val="both"/>
        <w:rPr>
          <w:lang w:val="fr-FR"/>
        </w:rPr>
      </w:pPr>
    </w:p>
    <w:p w14:paraId="7F2614D2" w14:textId="77777777" w:rsidR="00B611D1" w:rsidRDefault="00FB7689">
      <w:pPr>
        <w:spacing w:line="360" w:lineRule="auto"/>
        <w:jc w:val="both"/>
        <w:rPr>
          <w:rFonts w:asciiTheme="majorBidi" w:hAnsiTheme="majorBidi" w:cstheme="majorBidi"/>
          <w:lang w:val="fr-FR"/>
        </w:rPr>
      </w:pPr>
      <w:r>
        <w:rPr>
          <w:lang w:val="fr-FR"/>
        </w:rPr>
        <w:t xml:space="preserve">L’étude des profils de résistance des bactéries isolées révèle des niveaux préoccupants qui compromettent la maîtrise des infections nosocomiales. Chez </w:t>
      </w:r>
      <w:r>
        <w:rPr>
          <w:rStyle w:val="lev"/>
          <w:b w:val="0"/>
          <w:bCs w:val="0"/>
          <w:i/>
          <w:iCs/>
          <w:lang w:val="fr-FR"/>
        </w:rPr>
        <w:t>Staphylococcus aureus</w:t>
      </w:r>
      <w:r>
        <w:rPr>
          <w:lang w:val="fr-FR"/>
        </w:rPr>
        <w:t xml:space="preserve">, une résistance marquée a été détectée à la pénicilline, à l’Oxacilline et à la Céfoxitine. </w:t>
      </w:r>
      <w:r>
        <w:rPr>
          <w:rFonts w:asciiTheme="majorBidi" w:hAnsiTheme="majorBidi" w:cstheme="majorBidi"/>
          <w:lang w:val="fr-FR"/>
        </w:rPr>
        <w:t xml:space="preserve">La co-résistance à l’Oxacilline et à la Céfoxitine est reconnue comme un marqueur fiable du caractère SARM, traduisant une capacité à résister à l’ensemble des </w:t>
      </w:r>
      <w:r>
        <w:rPr>
          <w:rStyle w:val="lev"/>
          <w:rFonts w:asciiTheme="majorBidi" w:hAnsiTheme="majorBidi" w:cstheme="majorBidi"/>
          <w:b w:val="0"/>
          <w:bCs w:val="0"/>
          <w:lang w:val="fr-FR"/>
        </w:rPr>
        <w:t xml:space="preserve">antibiotiques </w:t>
      </w:r>
      <w:r>
        <w:rPr>
          <w:rStyle w:val="lev"/>
          <w:rFonts w:asciiTheme="majorBidi" w:hAnsiTheme="majorBidi" w:cstheme="majorBidi"/>
          <w:b w:val="0"/>
          <w:bCs w:val="0"/>
        </w:rPr>
        <w:t>β</w:t>
      </w:r>
      <w:r>
        <w:rPr>
          <w:rStyle w:val="lev"/>
          <w:rFonts w:asciiTheme="majorBidi" w:hAnsiTheme="majorBidi" w:cstheme="majorBidi"/>
          <w:b w:val="0"/>
          <w:bCs w:val="0"/>
          <w:lang w:val="fr-FR"/>
        </w:rPr>
        <w:t xml:space="preserve">-lactamines </w:t>
      </w:r>
      <w:r>
        <w:rPr>
          <w:rFonts w:eastAsia="Calibri"/>
          <w:b/>
          <w:bCs/>
          <w:color w:val="000000"/>
          <w:lang w:val="fr" w:bidi="ar"/>
        </w:rPr>
        <w:fldChar w:fldCharType="begin"/>
      </w:r>
      <w:r>
        <w:rPr>
          <w:rFonts w:eastAsia="Calibri"/>
          <w:b/>
          <w:bCs/>
          <w:color w:val="000000"/>
          <w:lang w:val="fr" w:bidi="ar"/>
        </w:rPr>
        <w:instrText xml:space="preserve"> ADDIN ZOTERO_ITEM CSL_CITATION {"citationID":"dvXZdAFN","properties":{"formattedCitation":"(Salem et al., 2016)","plainCitation":"(Salem et al., 2016)","noteIndex":0},"citationItems":[{"id":443,"uris":["http://zotero.org/users/16279382/items/PLPPUI8H"],"itemData":{"id":443,"type":"article-journal","container-title":"The Pan African Medical Journal","page":"276–276","source":"Google Scholar","title":"Antibiotic susceptibility of community-acquired strains ofstaphylococcus aureus in Nouakchott Region (Mauritania)","volume":"24","author":[{"family":"Salem","given":"M. L."},{"family":"Ghaber","given":"Sidi Mohamed"},{"family":"Baba","given":"S. E."},{"family":"Maouloud","given":"M. M."}],"issued":{"date-parts":[["2016"]]}}}],"schema":"https://github.com/citation-style-language/schema/raw/master/csl-citation.json"}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(Salem </w:t>
      </w:r>
      <w:r>
        <w:rPr>
          <w:rFonts w:eastAsia="Calibri"/>
          <w:b/>
          <w:bCs/>
          <w:i/>
          <w:iCs/>
          <w:szCs w:val="22"/>
          <w:lang w:val="fr" w:bidi="ar"/>
        </w:rPr>
        <w:t>et al</w:t>
      </w:r>
      <w:r>
        <w:rPr>
          <w:rFonts w:eastAsia="Calibri"/>
          <w:b/>
          <w:bCs/>
          <w:szCs w:val="22"/>
          <w:lang w:val="fr" w:bidi="ar"/>
        </w:rPr>
        <w:t>., 2016)</w:t>
      </w:r>
      <w:r>
        <w:rPr>
          <w:rFonts w:eastAsia="Calibri"/>
          <w:b/>
          <w:bCs/>
          <w:color w:val="000000"/>
          <w:lang w:val="fr" w:bidi="ar"/>
        </w:rPr>
        <w:fldChar w:fldCharType="end"/>
      </w:r>
      <w:r>
        <w:rPr>
          <w:rFonts w:asciiTheme="majorBidi" w:hAnsiTheme="majorBidi" w:cstheme="majorBidi"/>
          <w:lang w:val="fr-FR"/>
        </w:rPr>
        <w:t>. Cette situation constitue un indicateur alarmant de la circulation de souches résistantes sur les surfaces hospitalières, renforçant l’hypothèse d’un réservoir potentiel de pathogènes dangereux dans l’environnement immédiat des soins. Posant un risque majeur en milieu hospitalier du fait de la difficulté à contrôler la dissémination de ces souches.</w:t>
      </w:r>
    </w:p>
    <w:p w14:paraId="72F9B153" w14:textId="77777777" w:rsidR="00B611D1" w:rsidRDefault="00B611D1">
      <w:pPr>
        <w:spacing w:line="360" w:lineRule="auto"/>
        <w:jc w:val="both"/>
        <w:rPr>
          <w:rFonts w:asciiTheme="majorBidi" w:hAnsiTheme="majorBidi" w:cstheme="majorBidi"/>
          <w:lang w:val="fr-FR"/>
        </w:rPr>
      </w:pPr>
    </w:p>
    <w:p w14:paraId="7014B2DD" w14:textId="77777777" w:rsidR="00B611D1" w:rsidRDefault="00FB7689">
      <w:pPr>
        <w:spacing w:line="360" w:lineRule="auto"/>
        <w:jc w:val="both"/>
        <w:rPr>
          <w:rStyle w:val="lev"/>
          <w:rFonts w:eastAsia="SimSun"/>
          <w:b w:val="0"/>
          <w:bCs w:val="0"/>
          <w:lang w:val="fr-FR" w:eastAsia="zh-CN"/>
        </w:rPr>
      </w:pPr>
      <w:r>
        <w:rPr>
          <w:rStyle w:val="lev"/>
          <w:rFonts w:eastAsia="SimSun"/>
          <w:b w:val="0"/>
          <w:bCs w:val="0"/>
          <w:lang w:val="fr-FR" w:eastAsia="zh-CN"/>
        </w:rPr>
        <w:t xml:space="preserve">La souche </w:t>
      </w:r>
      <w:r>
        <w:rPr>
          <w:rStyle w:val="lev"/>
          <w:rFonts w:eastAsia="SimSun"/>
          <w:i/>
          <w:iCs/>
          <w:lang w:val="fr-FR" w:eastAsia="zh-CN"/>
        </w:rPr>
        <w:t xml:space="preserve">Serratia marcescens </w:t>
      </w:r>
      <w:r>
        <w:rPr>
          <w:rStyle w:val="lev"/>
          <w:rFonts w:eastAsia="SimSun"/>
          <w:b w:val="0"/>
          <w:bCs w:val="0"/>
          <w:lang w:val="fr-FR" w:eastAsia="zh-CN"/>
        </w:rPr>
        <w:t xml:space="preserve">isolée dans notre étude a montré une résistance notable à l’Amoxicilline, à l’Augmentin et à la Céfazoline. Cette résistance intrinsèque est bien documentée dans la littérature et s'explique par la production naturelle de </w:t>
      </w:r>
      <w:r>
        <w:rPr>
          <w:rStyle w:val="lev"/>
          <w:rFonts w:eastAsia="SimSun"/>
          <w:b w:val="0"/>
          <w:bCs w:val="0"/>
          <w:lang w:eastAsia="zh-CN"/>
        </w:rPr>
        <w:t>β</w:t>
      </w:r>
      <w:r>
        <w:rPr>
          <w:rStyle w:val="lev"/>
          <w:rFonts w:eastAsia="SimSun"/>
          <w:b w:val="0"/>
          <w:bCs w:val="0"/>
          <w:lang w:val="fr-FR" w:eastAsia="zh-CN"/>
        </w:rPr>
        <w:t xml:space="preserve">-lactamases chromosomiques de type AmpC, conférant une résistance à plusieurs </w:t>
      </w:r>
      <w:r>
        <w:rPr>
          <w:rStyle w:val="lev"/>
          <w:rFonts w:eastAsia="SimSun"/>
          <w:b w:val="0"/>
          <w:bCs w:val="0"/>
          <w:lang w:eastAsia="zh-CN"/>
        </w:rPr>
        <w:t>β</w:t>
      </w:r>
      <w:r>
        <w:rPr>
          <w:rStyle w:val="lev"/>
          <w:rFonts w:eastAsia="SimSun"/>
          <w:b w:val="0"/>
          <w:bCs w:val="0"/>
          <w:lang w:val="fr-FR" w:eastAsia="zh-CN"/>
        </w:rPr>
        <w:t xml:space="preserve">-lactamines, y compris les pénicillines et certaines céphalosporines </w:t>
      </w:r>
      <w:r>
        <w:rPr>
          <w:rFonts w:eastAsia="Calibri"/>
          <w:b/>
          <w:bCs/>
          <w:color w:val="000000"/>
          <w:lang w:val="fr" w:bidi="ar"/>
        </w:rPr>
        <w:fldChar w:fldCharType="begin"/>
      </w:r>
      <w:r>
        <w:rPr>
          <w:rFonts w:eastAsia="Calibri"/>
          <w:b/>
          <w:bCs/>
          <w:color w:val="000000"/>
          <w:lang w:val="fr" w:bidi="ar"/>
        </w:rPr>
        <w:instrText xml:space="preserve"> ADDIN ZOTERO_ITEM CSL_CITATION {"citationID":"UJBBAovA","properties":{"formattedCitation":"(Cosimato et al., 2024)","plainCitation":"(Cosimato et al., 2024)","noteIndex":0},"citationItems":[{"id":429,"uris":["http://zotero.org/users/16279382/items/J455VC5J"],"itemData":{"id":429,"type":"article-journal","abstract":"The spread of antibiotic resistance represents a serious worldwide public health issue, underscoring the importance of epidemiology research in determining antimicrobial strategies. The purpose of this research was to investigate antibiotic resistance in Serratia marcescens isolates from clinical samples over seven years at the University Hospital “San Giovanni di Dio e Ruggi d’Aragona” in Salerno, Italy. S. marcescens is an important opportunistic pathogen associated with a wide spectrum of clinical diseases, including pneumonia, keratitis, meningitis, and urinary tract and wound infections. Outbreaks of nosocomial infections by S. marcescens strains have been documented in high-risk settings, mainly affecting immunocompromised patients and newborns. The primary objective of this study is to assess the rates of antibiotic resistance over the years to deal with a future emergency which includes the failure of various therapies due to antibiotic resistance. During the investigation, a total of 396 species of S. marcescens were isolated from various clinical samples, mainly from broncho-aspirates and sputum (31.6%) and blood cultures (21.5%). Antibiotics that showed the greatest susceptibility included ceftazidime/avibactam, amikacin, trimethoprim/sulfamethoxazole, and selected members of the cephalosporin class. However, a disconcerting trend of increasing rates of carbapenem resistance was outlined over the observation period. The absence of effective countermeasures, combined with growing antibiotic resistance that negates the effectiveness of multiple antibiotics, highlights the potential for S. marcescens infections to trigger serious clinical complications and increased mortality rates. The surveillance of Serratia marcescens infections constitutes a pivotal element in refining empiric therapy to mitigate the dissemination of antimicrobial resistance.","container-title":"Antibiotics","DOI":"10.3390/antibiotics13040323","ISSN":"2079-6382","issue":"4","language":"en","license":"http://creativecommons.org/licenses/by/3.0/","note":"number: 4\npublisher: Multidisciplinary Digital Publishing Institute","page":"323","source":"www.mdpi.com","title":"Current Epidemiological Status and Antibiotic Resistance Profile of Serratia marcescens","volume":"13","author":[{"family":"Cosimato","given":"Ilaria"},{"family":"Santella","given":"Biagio"},{"family":"Rufolo","given":"Sandra"},{"family":"Sabatini","given":"Paola"},{"family":"Galdiero","given":"Massimiliano"},{"family":"Capunzo","given":"Mario"},{"family":"Boccia","given":"Giovanni"},{"family":"Folliero","given":"Veronica"},{"family":"Franci","given":"Gianluigi"}],"issued":{"date-parts":[["2024",4]]}}}],"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(Cosimato </w:t>
      </w:r>
      <w:r>
        <w:rPr>
          <w:rFonts w:eastAsia="Calibri"/>
          <w:b/>
          <w:bCs/>
          <w:i/>
          <w:iCs/>
          <w:szCs w:val="22"/>
          <w:lang w:val="fr" w:bidi="ar"/>
        </w:rPr>
        <w:t>et al</w:t>
      </w:r>
      <w:r>
        <w:rPr>
          <w:rFonts w:eastAsia="Calibri"/>
          <w:b/>
          <w:bCs/>
          <w:szCs w:val="22"/>
          <w:lang w:val="fr" w:bidi="ar"/>
        </w:rPr>
        <w:t>., 2024)</w:t>
      </w:r>
      <w:r>
        <w:rPr>
          <w:rFonts w:eastAsia="Calibri"/>
          <w:b/>
          <w:bCs/>
          <w:color w:val="000000"/>
          <w:lang w:val="fr" w:bidi="ar"/>
        </w:rPr>
        <w:fldChar w:fldCharType="end"/>
      </w:r>
      <w:r>
        <w:rPr>
          <w:rStyle w:val="lev"/>
          <w:rFonts w:eastAsia="SimSun"/>
          <w:b w:val="0"/>
          <w:bCs w:val="0"/>
          <w:lang w:val="fr-FR" w:eastAsia="zh-CN"/>
        </w:rPr>
        <w:t xml:space="preserve">. </w:t>
      </w:r>
      <w:r>
        <w:rPr>
          <w:lang w:val="fr-FR"/>
        </w:rPr>
        <w:t xml:space="preserve">En revanche, la sensibilité observée à la Cefotaxime, la Cefoxitine et l’Amikacine suggère que ces antibiotiques peuvent rester efficaces contre cette souche. </w:t>
      </w:r>
    </w:p>
    <w:p w14:paraId="651EAFE9" w14:textId="77777777" w:rsidR="00B611D1" w:rsidRDefault="00B611D1">
      <w:pPr>
        <w:spacing w:line="360" w:lineRule="auto"/>
        <w:jc w:val="both"/>
        <w:rPr>
          <w:rFonts w:asciiTheme="majorBidi" w:hAnsiTheme="majorBidi" w:cstheme="majorBidi"/>
          <w:lang w:val="fr-FR"/>
        </w:rPr>
      </w:pPr>
    </w:p>
    <w:p w14:paraId="654F5F93" w14:textId="77777777" w:rsidR="00B611D1" w:rsidRDefault="00FB7689">
      <w:pPr>
        <w:spacing w:after="200" w:line="360" w:lineRule="auto"/>
        <w:ind w:left="60"/>
        <w:jc w:val="both"/>
        <w:rPr>
          <w:lang w:val="fr-FR"/>
        </w:rPr>
      </w:pPr>
      <w:r>
        <w:rPr>
          <w:lang w:val="fr-FR"/>
        </w:rPr>
        <w:t>Les isolats d’</w:t>
      </w:r>
      <w:r>
        <w:rPr>
          <w:rStyle w:val="lev"/>
          <w:i/>
          <w:iCs/>
          <w:lang w:val="fr-FR"/>
        </w:rPr>
        <w:t>Acinetobacter baumannii</w:t>
      </w:r>
      <w:r>
        <w:rPr>
          <w:lang w:val="fr-FR"/>
        </w:rPr>
        <w:t xml:space="preserve"> manifestent une résistance élevée à plusieurs </w:t>
      </w:r>
      <w:r>
        <w:t>β</w:t>
      </w:r>
      <w:r>
        <w:rPr>
          <w:lang w:val="fr-FR"/>
        </w:rPr>
        <w:t xml:space="preserve">-lactamines, notamment la Pipéracilline, la Ceftazidime, Ticarcilline et la </w:t>
      </w:r>
      <w:r>
        <w:rPr>
          <w:color w:val="000000" w:themeColor="text1"/>
          <w:lang w:val="fr-FR"/>
        </w:rPr>
        <w:t>Timentin</w:t>
      </w:r>
      <w:r>
        <w:rPr>
          <w:lang w:val="fr-FR"/>
        </w:rPr>
        <w:t xml:space="preserve">. Cette résistance est souvent associée à des épidémies nosocomiales, particulièrement dans les unités de soins intensifs, où la gestion des infections devient complexe </w:t>
      </w:r>
      <w:r>
        <w:rPr>
          <w:rFonts w:eastAsia="Calibri"/>
          <w:b/>
          <w:bCs/>
          <w:color w:val="000000"/>
          <w:kern w:val="2"/>
          <w:lang w:val="fr" w:eastAsia="zh-CN" w:bidi="ar"/>
        </w:rPr>
        <w:fldChar w:fldCharType="begin"/>
      </w:r>
      <w:r>
        <w:rPr>
          <w:rFonts w:eastAsia="Calibri"/>
          <w:b/>
          <w:bCs/>
          <w:color w:val="000000"/>
          <w:kern w:val="2"/>
          <w:lang w:val="fr" w:eastAsia="zh-CN" w:bidi="ar"/>
        </w:rPr>
        <w:instrText xml:space="preserve"> ADDIN ZOTERO_ITEM CSL_CITATION {"citationID":"4Ygc0W4A","properties":{"formattedCitation":"(Benamrouche et al., 2020)","plainCitation":"(Benamrouche et al., 2020)","noteIndex":0},"citationItems":[{"id":431,"uris":["http://zotero.org/users/16279382/items/F4ACZZTG"],"itemData":{"id":431,"type":"article-journal","container-title":"The Journal of Infection in Developing Countries","issue":"12","page":"1395–1401","source":"Google Scholar","title":"Phenotypic and genotypic characterization of multidrug-resistant Acinetobacter baumannii isolated in Algerian hospitals","volume":"14","author":[{"family":"Benamrouche","given":"Nabila"},{"family":"Lafer","given":"Ourida"},{"family":"Benmahdi","given":"Lahcen"},{"family":"Benslimani","given":"Akila"},{"family":"Amhis","given":"Wahiba"},{"family":"Ammari","given":"Houria"},{"family":"Assaous","given":"Farida"},{"family":"Azzam","given":"Amina"},{"family":"Rahal","given":"Kheira"},{"family":"Maamar","given":"Hassiba Tali"}],"issued":{"date-parts":[["2020"]]}}}],"schema":"https://github.com/citation-style-language/schema/raw/master/csl-citation.json"} </w:instrText>
      </w:r>
      <w:r>
        <w:rPr>
          <w:rFonts w:eastAsia="Calibri"/>
          <w:b/>
          <w:bCs/>
          <w:color w:val="000000"/>
          <w:kern w:val="2"/>
          <w:lang w:val="fr" w:eastAsia="zh-CN" w:bidi="ar"/>
        </w:rPr>
        <w:fldChar w:fldCharType="separate"/>
      </w:r>
      <w:r>
        <w:rPr>
          <w:rFonts w:eastAsia="Calibri"/>
          <w:b/>
          <w:bCs/>
          <w:kern w:val="2"/>
          <w:szCs w:val="22"/>
          <w:lang w:val="fr" w:eastAsia="zh-CN" w:bidi="ar"/>
        </w:rPr>
        <w:t xml:space="preserve">(Benamrouche </w:t>
      </w:r>
      <w:r>
        <w:rPr>
          <w:rFonts w:eastAsia="Calibri"/>
          <w:b/>
          <w:bCs/>
          <w:i/>
          <w:iCs/>
          <w:kern w:val="2"/>
          <w:szCs w:val="22"/>
          <w:lang w:val="fr" w:eastAsia="zh-CN" w:bidi="ar"/>
        </w:rPr>
        <w:t>et al</w:t>
      </w:r>
      <w:r>
        <w:rPr>
          <w:rFonts w:eastAsia="Calibri"/>
          <w:b/>
          <w:bCs/>
          <w:kern w:val="2"/>
          <w:szCs w:val="22"/>
          <w:lang w:val="fr" w:eastAsia="zh-CN" w:bidi="ar"/>
        </w:rPr>
        <w:t>., 2020)</w:t>
      </w:r>
      <w:r>
        <w:rPr>
          <w:rFonts w:eastAsia="Calibri"/>
          <w:b/>
          <w:bCs/>
          <w:color w:val="000000"/>
          <w:kern w:val="2"/>
          <w:lang w:val="fr" w:eastAsia="zh-CN" w:bidi="ar"/>
        </w:rPr>
        <w:fldChar w:fldCharType="end"/>
      </w:r>
      <w:r>
        <w:rPr>
          <w:lang w:val="fr-FR"/>
        </w:rPr>
        <w:t>.</w:t>
      </w:r>
    </w:p>
    <w:p w14:paraId="311273C1" w14:textId="77777777" w:rsidR="00B611D1" w:rsidRDefault="00FB7689">
      <w:pPr>
        <w:spacing w:after="200" w:line="360" w:lineRule="auto"/>
        <w:jc w:val="both"/>
        <w:rPr>
          <w:lang w:val="fr-FR"/>
        </w:rPr>
      </w:pPr>
      <w:r>
        <w:rPr>
          <w:lang w:val="fr-FR"/>
        </w:rPr>
        <w:t xml:space="preserve">Enfin, les souches de </w:t>
      </w:r>
      <w:r>
        <w:rPr>
          <w:i/>
          <w:iCs/>
          <w:lang w:val="fr-FR"/>
        </w:rPr>
        <w:t xml:space="preserve">Klebsiella pneumoniae </w:t>
      </w:r>
      <w:r>
        <w:rPr>
          <w:lang w:val="fr-FR"/>
        </w:rPr>
        <w:t xml:space="preserve">isolées présentent un profil de résistance préoccupant, notamment envers plusieurs antibiotiques de la famille des </w:t>
      </w:r>
      <w:r>
        <w:t>β</w:t>
      </w:r>
      <w:r>
        <w:rPr>
          <w:lang w:val="fr-FR"/>
        </w:rPr>
        <w:t xml:space="preserve">-lactamines, tels que </w:t>
      </w:r>
      <w:r>
        <w:rPr>
          <w:rFonts w:eastAsia="TimesNewRomanPS-BoldMT"/>
          <w:color w:val="000000"/>
          <w:lang w:val="fr-FR" w:eastAsia="zh-CN"/>
        </w:rPr>
        <w:t>l’</w:t>
      </w:r>
      <w:r>
        <w:rPr>
          <w:lang w:val="fr-FR"/>
        </w:rPr>
        <w:t xml:space="preserve">Augmentin, la Céphalexine, la Céfazoline, la Céfoxitine et la Cefotaxime. La production de </w:t>
      </w:r>
      <w:r>
        <w:t>β</w:t>
      </w:r>
      <w:r>
        <w:rPr>
          <w:lang w:val="fr-FR"/>
        </w:rPr>
        <w:t xml:space="preserve">-lactamases à spectre étendu (BLSE) a été confirmée par un test de synergie entre AUG et CTX, illustré par l’apparition d’un « bouchon de champagne » </w:t>
      </w:r>
      <w:r>
        <w:rPr>
          <w:b/>
          <w:bCs/>
          <w:lang w:val="fr-FR"/>
        </w:rPr>
        <w:t>(Figure 13)</w:t>
      </w:r>
      <w:r>
        <w:rPr>
          <w:lang w:val="fr-FR"/>
        </w:rPr>
        <w:t xml:space="preserve">, caractéristique des souches BLSE </w:t>
      </w:r>
      <w:r>
        <w:rPr>
          <w:rFonts w:eastAsia="Calibri"/>
          <w:b/>
          <w:bCs/>
          <w:kern w:val="2"/>
          <w:lang w:val="fr" w:eastAsia="zh-CN" w:bidi="ar"/>
        </w:rPr>
        <w:fldChar w:fldCharType="begin"/>
      </w:r>
      <w:r>
        <w:rPr>
          <w:rFonts w:eastAsia="Calibri"/>
          <w:b/>
          <w:bCs/>
          <w:kern w:val="2"/>
          <w:lang w:val="fr" w:eastAsia="zh-CN" w:bidi="ar"/>
        </w:rPr>
        <w:instrText xml:space="preserve"> ADDIN ZOTERO_ITEM CSL_CITATION {"citationID":"cuzxQmPJ","properties":{"formattedCitation":"(El bouamri et al., 2014)","plainCitation":"(El bouamri et al., 2014)","noteIndex":0},"citationItems":[{"id":180,"uris":["http://zotero.org/users/16279382/items/UFF4MGKN"],"itemData":{"id":180,"type":"article-journal","abstract":"Résumé\nIntroduction\nLes infections urinaires (IU) sont un motif très fréquent de consultation et de prescription médicale en pratique courante. L’usage excessif et/ou inapproprié des antibiotiques dans le traitement des infections urinaires est à l’origine de l’émergence et de la dissémination des bactéries uropathogènes multirésistantes.\nBut\nÉvaluer la fréquence d’isolement et la résistance aux antibiotiques des souches d’Escherichia coli uropathogènes isolées au niveau de la région de Marrakech.\nMatériel et méthodes\nNous avons mené une étude rétrospective sur une durée de trois années (du 1er janvier 2010 au 31 décembre 2012). Elle a concerné l’ensemble des souches non redondantes d’E.</w:instrText>
      </w:r>
      <w:r>
        <w:rPr>
          <w:rFonts w:eastAsia="Calibri"/>
          <w:b/>
          <w:bCs/>
          <w:kern w:val="2"/>
          <w:lang w:val="fr" w:eastAsia="zh-CN" w:bidi="ar"/>
        </w:rPr>
        <w:instrText> </w:instrText>
      </w:r>
      <w:r>
        <w:rPr>
          <w:rFonts w:eastAsia="Calibri"/>
          <w:b/>
          <w:bCs/>
          <w:kern w:val="2"/>
          <w:lang w:val="fr" w:eastAsia="zh-CN" w:bidi="ar"/>
        </w:rPr>
        <w:instrText xml:space="preserve">coli uropathogènes isolées au laboratoire de microbiologie de l’hôpital Avicenne de Marrakech, Maroc. Les échantillons urinaires proviennent de patients hospitalisés et de patients en ambulatoire.\nRésultats\nAu cours de cette étude, 1472 entérobactéries uropathogènes ont été isolées dont 924 souches non répétitives d’E. coli, soit une fréquence d’isolement globale de 63 %. L’antibiorésistance des souches d’E. coli isolées a mis en évidence des taux de résistance à l’amoxicilline (65 %), au sulfaméthoxazole-triméthropime (55 %), à l’association amoxicilline-acide clavulanique (43 %), à la ciprofloxacine (22 %), à la gentamicine (14 %), aux nitrofuranes (11 %), à l’amikacine (8 %) et à la fosfomycine (7 %). Le nombre de souches d’E. coli résistantes aux céphalosporines de troisième génération « C3G » par production de β-lactamases à spectre élargi « BLSE » a été de 67, soit une fréquence moyenne de 4,5 % de l’ensemble des entérobactéries uropathogènes isolées. Les résistances associées aux antibiotiques dans le cas des E. coli productrices de BLSE étaient de 82 % pour la ciprofloxacine, 76 % pour le sulfaméthozole-triméthropime, 66 % pour la gentamicine et 56 % pour l’amikacine. Aucune résistance à l’imipénème n’a été enregistrée pour les souches d’E. coli isolées, soit une sensibilité à l’imipénème de 100 %.\nConclusion\nLa résistance aux antibiotiques des souches d’E. coli uropathogènes limite considérablement les options thérapeutiques et constitue donc un réel problème de santé publique. L’actualisation régulière des statistiques de sensibilité aux antibiotiques des souches d’E. coli permet une meilleure adaptation de l’antibiothérapie probabiliste aux données épidémiologiques locales.\nNiveau de preuve\n5.\nSummary\nUrinary tract infections (UTI) are a very common reason for consultation and prescription in current practice. Excessive or inappropriate use of antibiotics in treating urinary tract infections is responsible for the emergence and spread of multiresistant uropathogenic bacteria.\nAim of the study\nTo evaluate the isolation frequency and antibiotic resistance of uropathogenic Escherichia coli strains isolated at the Marrakech region.\nMaterial and methods\nWe conducted a retrospective study over a period of three years (from 1st January 2010 to 31 December 2012). It included all non-redundant uropathogenic E. coli strains isolated in the microbiology laboratory of the Avicenne hospital of Marrakech, Morocco.\nResults\nDuring this study, 1472 uropathogenic enterobacteriaceae were isolated including 924 non-repetitive E. coli strains, an overall isolation frequency of 63%. Antibiotic resistance of isolated E. coli strains showed resistance rates to amoxicillin (65%), sulfamethoxazole-triméthropime (55%), amoxicillin-clavulanic acid (43%), ciprofloxacin (22%), gentamicin (14%), nitrofurans (11%), amikacin (8%) and fosfomycin (7%). The number of E. coli strains resistant to C3G by ESBL production was 67, an average frequency of 4.5% of all isolated uropathogenic enterobacteria. The associated antibiotic resistance in the case of ESBL-producing E. coli were 82% for ciprofloxacin, 76% for sulfamethozole trimethoprim, 66% for gentamicin and 56% for amikacin. No resistance to imipenem was recorded for the isolated E. coli strains, which represents an imipenem sensitivity of 100%.\nConclusion\nAntibiotic resistance of uropathogenic E. coli strains limits treatment options and therefore constitutes a real public health problem. The regular updating of antibiotic susceptibility statistics of E. coli strains allows a better adaptation of the probabilistic antibiotic therapy to local epidemiological data.\nLevel of evidence\n5.","container-title":"Progrès en Urologie","DOI":"10.1016/j.purol.2014.09.035","ISSN":"1166-7087","issue":"16","journalAbbreviation":"Progrès en Urologie","page":"1058-1062","source":"ScienceDirect","title":"Profil actuel de résistance aux antibiotiques des souches d’&lt;i&gt;Escherichia coli&lt;/i&gt; uropathogènes et conséquences thérapeutiques","volume":"24","author":[{"family":"El bouamri","given":"M. C."},{"family":"Arsalane","given":"L."},{"family":"Kamouni","given":"Y."},{"family":"Yahyaoui","given":"H."},{"family":"Bennouar","given":"N."},{"family":"Berraha","given":"M."},{"family":"Zouhair","given":"S."}],"issued":{"date-parts":[["2014",12,1]]}}}],"schema":"https://github.com/citation-style-language/schema/raw/master/csl-citation.json"} </w:instrText>
      </w:r>
      <w:r>
        <w:rPr>
          <w:rFonts w:eastAsia="Calibri"/>
          <w:b/>
          <w:bCs/>
          <w:kern w:val="2"/>
          <w:lang w:val="fr" w:eastAsia="zh-CN" w:bidi="ar"/>
        </w:rPr>
        <w:fldChar w:fldCharType="separate"/>
      </w:r>
      <w:r>
        <w:rPr>
          <w:rFonts w:eastAsia="Calibri"/>
          <w:b/>
          <w:bCs/>
          <w:kern w:val="2"/>
          <w:lang w:val="fr" w:eastAsia="zh-CN" w:bidi="ar"/>
        </w:rPr>
        <w:t xml:space="preserve">(El bouamri </w:t>
      </w:r>
      <w:r>
        <w:rPr>
          <w:rFonts w:eastAsia="Calibri"/>
          <w:b/>
          <w:bCs/>
          <w:i/>
          <w:iCs/>
          <w:kern w:val="2"/>
          <w:lang w:val="fr" w:eastAsia="zh-CN" w:bidi="ar"/>
        </w:rPr>
        <w:t>et al</w:t>
      </w:r>
      <w:r>
        <w:rPr>
          <w:rFonts w:eastAsia="Calibri"/>
          <w:b/>
          <w:bCs/>
          <w:kern w:val="2"/>
          <w:lang w:val="fr" w:eastAsia="zh-CN" w:bidi="ar"/>
        </w:rPr>
        <w:t>., 2014)</w:t>
      </w:r>
      <w:r>
        <w:rPr>
          <w:rFonts w:eastAsia="Calibri"/>
          <w:b/>
          <w:bCs/>
          <w:kern w:val="2"/>
          <w:lang w:val="fr" w:eastAsia="zh-CN" w:bidi="ar"/>
        </w:rPr>
        <w:fldChar w:fldCharType="end"/>
      </w:r>
      <w:r>
        <w:rPr>
          <w:lang w:val="fr-FR"/>
        </w:rPr>
        <w:t xml:space="preserve">. </w:t>
      </w:r>
      <w:r>
        <w:rPr>
          <w:rFonts w:asciiTheme="majorBidi" w:hAnsiTheme="majorBidi" w:cstheme="majorBidi"/>
          <w:lang w:val="fr-FR"/>
        </w:rPr>
        <w:t xml:space="preserve">Malgré cette résistance, les souches demeurent sensibles à l’amikacine, ce qui représente une alternative thérapeutique potentielle. À l’échelle mondiale, la prévalence des souches productrices de BLSE connaît une augmentation inquiétante, avec des taux rapportés en Algérie atteignant jusqu’à 37,5 %, notamment dans les services de réanimation </w:t>
      </w:r>
      <w:r>
        <w:rPr>
          <w:rFonts w:eastAsia="Calibri"/>
          <w:b/>
          <w:bCs/>
          <w:color w:val="000000"/>
          <w:lang w:val="fr" w:bidi="ar"/>
        </w:rPr>
        <w:fldChar w:fldCharType="begin"/>
      </w:r>
      <w:r>
        <w:rPr>
          <w:rFonts w:eastAsia="Calibri"/>
          <w:b/>
          <w:bCs/>
          <w:color w:val="000000"/>
          <w:lang w:val="fr" w:bidi="ar"/>
        </w:rPr>
        <w:instrText xml:space="preserve"> ADDIN ZOTERO_ITEM CSL_CITATION {"citationID":"nwiCT5Ks","properties":{"formattedCitation":"(Benbrahim et al., 2021)","plainCitation":"(Benbrahim et al., 2021)","noteIndex":0},"citationItems":[{"id":433,"uris":["http://zotero.org/users/16279382/items/QE2V356V"],"itemData":{"id":433,"type":"article-journal","container-title":"African Journal of Clinical and Experimental Microbiology","issue":"1","page":"28–37","source":"Google Scholar","title":"Klebsiella pneumoniae producing extended spectrum β-lactamase in Regional Military University Hospital of Oran, Algeria: antibiotic resistance, biofilm formation, and detection of blaCTX-M and blaTEM genes","title-short":"Klebsiella pneumoniae producing extended spectrum β-lactamase in Regional Military University Hospital of Oran, Algeria","volume":"22","author":[{"family":"Benbrahim","given":"C."},{"family":"Barka","given":"M. S."},{"family":"Benmahdi","given":"L."},{"family":"Zatout","given":"A."},{"family":"Khadir","given":"A."}],"issued":{"date-parts":[["2021"]]}}}],"schema":"https://github.com/citation-style-language/schema/raw/master/csl-citation.json"}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(Benbrahim </w:t>
      </w:r>
      <w:r>
        <w:rPr>
          <w:rFonts w:eastAsia="Calibri"/>
          <w:b/>
          <w:bCs/>
          <w:i/>
          <w:iCs/>
          <w:szCs w:val="22"/>
          <w:lang w:val="fr" w:bidi="ar"/>
        </w:rPr>
        <w:t>et al</w:t>
      </w:r>
      <w:r>
        <w:rPr>
          <w:rFonts w:eastAsia="Calibri"/>
          <w:b/>
          <w:bCs/>
          <w:szCs w:val="22"/>
          <w:lang w:val="fr" w:bidi="ar"/>
        </w:rPr>
        <w:t>., 2021</w:t>
      </w:r>
      <w:r>
        <w:rPr>
          <w:rFonts w:eastAsia="Calibri"/>
          <w:b/>
          <w:bCs/>
          <w:color w:val="000000"/>
          <w:lang w:val="fr" w:bidi="ar"/>
        </w:rPr>
        <w:fldChar w:fldCharType="end"/>
      </w:r>
      <w:r>
        <w:rPr>
          <w:rFonts w:asciiTheme="majorBidi" w:hAnsiTheme="majorBidi" w:cstheme="majorBidi"/>
          <w:b/>
          <w:bCs/>
          <w:lang w:val="fr-FR"/>
        </w:rPr>
        <w:t xml:space="preserve"> ; </w:t>
      </w:r>
      <w:r>
        <w:rPr>
          <w:rFonts w:eastAsia="Calibri"/>
          <w:b/>
          <w:bCs/>
          <w:color w:val="000000"/>
          <w:lang w:val="fr" w:bidi="ar"/>
        </w:rPr>
        <w:fldChar w:fldCharType="begin"/>
      </w:r>
      <w:r>
        <w:rPr>
          <w:rFonts w:eastAsia="Calibri"/>
          <w:b/>
          <w:bCs/>
          <w:color w:val="000000"/>
          <w:lang w:val="fr" w:bidi="ar"/>
        </w:rPr>
        <w:instrText xml:space="preserve"> ADDIN ZOTERO_ITEM CSL_CITATION {"citationID":"FX2xmRc9","properties":{"formattedCitation":"(Bariz et al., 2019)","plainCitation":"(Bariz et al., 2019)","noteIndex":0},"citationItems":[{"id":435,"uris":["http://zotero.org/users/16279382/items/9ITLS4NQ"],"itemData":{"id":435,"type":"article-journal","abstract":"The emergence and spread of multidrug-resistant bacteria is a major public health concern. This study sought to investigate the phenotypic and genotypic characteristics of clinical isolates of ESBL-producing Klebsiella pneumoniae, at University Hospital of Tizi-Ouzou.  Antibiotic susceptibility testing of the strains was carried out by the disc diffusion method, the ESBL production was screening by the Double Disc Synergy Test and  confirmed by the Phenotypic Confirmatory Disc Diffusion Test. Genomic DNA was extracted using the  Qiagen DNeasy Blood &amp;amp; Tissue Kit  mini kit (Qiagen) according to the manufacturers instructions.PCR targeting the genes  blaCTX-M, blaTEM, blaSHV, blaVEB, blaGES, blaPER, blaBEL, blaVIM, blaIMP, blaKPC, blaNDM and blaOXA48 was performed. A CTX-M PCR-based grouping method was carried out using primers specific to the groups 1, 2 and 9. Conjugative transfer of plasmids was carried out using sodium azide-resistant recipient strain Escherichia coli K12. The phylogenetic relationship was determined by ERIC-PCR. All strains of K. pneumoniae tested shared ESBL producers genes belonging to the CTX-M group 1. These strains showed a high level of resistance to íŸ-lactams, aminoglycosides, fluoroquinolones and trimethoprim/ sulfamethoxazole. Resistance to fosfomycin was also detected in one strain of K. pneumoniae. Only one carbapenem-resistant strain was isolated. Phylogenetic analysis showed 49 different genetic profiles of K. pneumoniae strains, showing the absence of clonality. This study revealed a high prevalence of ESBL belonging to the CTX-M group 1 in K. pneumoniae tested. The emergence of resistance to carbapenem and fosfomycin, could seriously limits the therapeutic choices options.","container-title":"Cellular and Molecular Biology","DOI":"10.14715/cmb/2019.65.8.3","ISSN":"1165-158X","issue":"8","journalAbbreviation":"Cell Mol Biol (Noisy-le-grand)","language":"en","license":"Copyright (c) 2021 Cellular and Molecular Biology","note":"number: 8","page":"11-17","source":"www.cellmolbiol.org","title":"Multidrug resistance of the extended-spectrum beta-lactamase-producing Klebsiella pneumoniae isolated in Tizi-Ouzou (Algeria)","volume":"65","author":[{"family":"Bariz","given":"Karim"},{"family":"Mendonça","given":"Ricardo De"},{"family":"Denis","given":"Olivier"},{"family":"Nonhoff","given":"Claire"},{"family":"Azzam","given":"Amina"},{"family":"Houali","given":"Karim"}],"issued":{"date-parts":[["2019",12,31]]}}}],"schema":"https://github.com/citation-style-language/schema/raw/master/csl-citation.json"} </w:instrText>
      </w:r>
      <w:r>
        <w:rPr>
          <w:rFonts w:eastAsia="Calibri"/>
          <w:b/>
          <w:bCs/>
          <w:color w:val="000000"/>
          <w:lang w:val="fr" w:bidi="ar"/>
        </w:rPr>
        <w:fldChar w:fldCharType="separate"/>
      </w:r>
      <w:r>
        <w:rPr>
          <w:rFonts w:eastAsia="Calibri"/>
          <w:b/>
          <w:bCs/>
          <w:szCs w:val="22"/>
          <w:lang w:val="fr" w:bidi="ar"/>
        </w:rPr>
        <w:t xml:space="preserve">Bariz </w:t>
      </w:r>
      <w:r>
        <w:rPr>
          <w:rFonts w:eastAsia="Calibri"/>
          <w:b/>
          <w:bCs/>
          <w:i/>
          <w:iCs/>
          <w:szCs w:val="22"/>
          <w:lang w:val="fr" w:bidi="ar"/>
        </w:rPr>
        <w:t>et al</w:t>
      </w:r>
      <w:r>
        <w:rPr>
          <w:rFonts w:eastAsia="Calibri"/>
          <w:b/>
          <w:bCs/>
          <w:szCs w:val="22"/>
          <w:lang w:val="fr" w:bidi="ar"/>
        </w:rPr>
        <w:t>., 2019</w:t>
      </w:r>
      <w:r>
        <w:rPr>
          <w:rFonts w:eastAsia="Calibri"/>
          <w:szCs w:val="22"/>
          <w:lang w:val="fr" w:bidi="ar"/>
        </w:rPr>
        <w:t>)</w:t>
      </w:r>
      <w:r>
        <w:rPr>
          <w:rFonts w:eastAsia="Calibri"/>
          <w:b/>
          <w:bCs/>
          <w:color w:val="000000"/>
          <w:lang w:val="fr" w:bidi="ar"/>
        </w:rPr>
        <w:fldChar w:fldCharType="end"/>
      </w:r>
      <w:r>
        <w:rPr>
          <w:rFonts w:asciiTheme="majorBidi" w:hAnsiTheme="majorBidi" w:cstheme="majorBidi"/>
          <w:lang w:val="fr-FR"/>
        </w:rPr>
        <w:t>. Ce constat souligne l’urgence de renforcer les mesures de prévention, de surveillance et de contrôle des infections dans les établissements hospitaliers.</w:t>
      </w:r>
    </w:p>
    <w:p w14:paraId="2BEF756D" w14:textId="77777777" w:rsidR="00B611D1" w:rsidRDefault="00B611D1">
      <w:pPr>
        <w:pStyle w:val="Corpsdetexte"/>
        <w:rPr>
          <w:sz w:val="20"/>
          <w:lang w:val="fr-FR" w:eastAsia="zh-CN"/>
        </w:rPr>
      </w:pPr>
    </w:p>
    <w:p w14:paraId="1C78A6EC" w14:textId="77777777" w:rsidR="00B611D1" w:rsidRDefault="00B611D1">
      <w:pPr>
        <w:pStyle w:val="Corpsdetexte"/>
        <w:rPr>
          <w:sz w:val="20"/>
          <w:lang w:val="fr-FR"/>
        </w:rPr>
      </w:pPr>
    </w:p>
    <w:p w14:paraId="5BA87AC8" w14:textId="77777777" w:rsidR="00B611D1" w:rsidRDefault="00B611D1">
      <w:pPr>
        <w:pStyle w:val="Corpsdetexte"/>
        <w:rPr>
          <w:sz w:val="20"/>
          <w:lang w:val="fr-FR"/>
        </w:rPr>
      </w:pPr>
    </w:p>
    <w:p w14:paraId="697B3CB2" w14:textId="77777777" w:rsidR="00B611D1" w:rsidRDefault="00B611D1">
      <w:pPr>
        <w:pStyle w:val="Titre2"/>
        <w:ind w:left="316"/>
        <w:rPr>
          <w:lang w:val="fr-FR" w:eastAsia="zh-CN"/>
        </w:rPr>
      </w:pPr>
      <w:bookmarkStart w:id="234" w:name="_bookmark49"/>
      <w:bookmarkEnd w:id="234"/>
    </w:p>
    <w:p w14:paraId="37D4640A" w14:textId="77777777" w:rsidR="00B611D1" w:rsidRDefault="00B611D1">
      <w:pPr>
        <w:pStyle w:val="Titre2"/>
        <w:ind w:left="316"/>
        <w:rPr>
          <w:lang w:val="fr-FR" w:eastAsia="zh-CN"/>
        </w:rPr>
      </w:pPr>
    </w:p>
    <w:p w14:paraId="6A0E9245" w14:textId="77777777" w:rsidR="00B611D1" w:rsidRDefault="00B611D1">
      <w:pPr>
        <w:pStyle w:val="Titre2"/>
        <w:ind w:left="316"/>
        <w:rPr>
          <w:lang w:val="fr-FR" w:eastAsia="zh-CN"/>
        </w:rPr>
      </w:pPr>
    </w:p>
    <w:p w14:paraId="4C0E5B93" w14:textId="77777777" w:rsidR="00B611D1" w:rsidRDefault="00B611D1">
      <w:pPr>
        <w:pStyle w:val="Titre2"/>
        <w:ind w:left="316"/>
        <w:rPr>
          <w:lang w:val="fr-FR" w:eastAsia="zh-CN"/>
        </w:rPr>
      </w:pPr>
    </w:p>
    <w:p w14:paraId="5DDBEF91" w14:textId="77777777" w:rsidR="00B611D1" w:rsidRDefault="00B611D1">
      <w:pPr>
        <w:pStyle w:val="Titre2"/>
        <w:ind w:left="316"/>
        <w:rPr>
          <w:lang w:val="fr-FR" w:eastAsia="zh-CN"/>
        </w:rPr>
      </w:pPr>
    </w:p>
    <w:p w14:paraId="59826D5C" w14:textId="77777777" w:rsidR="00B611D1" w:rsidRDefault="00B611D1">
      <w:pPr>
        <w:pStyle w:val="Titre2"/>
        <w:ind w:left="316"/>
        <w:rPr>
          <w:lang w:val="fr-FR" w:eastAsia="zh-CN"/>
        </w:rPr>
      </w:pPr>
    </w:p>
    <w:p w14:paraId="7BAA3A89" w14:textId="77777777" w:rsidR="00B611D1" w:rsidRDefault="00B611D1">
      <w:pPr>
        <w:pStyle w:val="Titre2"/>
        <w:ind w:left="316"/>
        <w:rPr>
          <w:lang w:val="fr-FR" w:eastAsia="zh-CN"/>
        </w:rPr>
      </w:pPr>
    </w:p>
    <w:p w14:paraId="4C948AFC" w14:textId="77777777" w:rsidR="00B611D1" w:rsidRDefault="00B611D1">
      <w:pPr>
        <w:pStyle w:val="Titre2"/>
        <w:ind w:left="316"/>
        <w:rPr>
          <w:lang w:val="fr-FR" w:eastAsia="zh-CN"/>
        </w:rPr>
      </w:pPr>
    </w:p>
    <w:p w14:paraId="79A4D111" w14:textId="77777777" w:rsidR="00B611D1" w:rsidRDefault="00B611D1">
      <w:pPr>
        <w:pStyle w:val="Titre2"/>
        <w:ind w:left="316"/>
        <w:rPr>
          <w:lang w:val="fr-FR" w:eastAsia="zh-CN"/>
        </w:rPr>
      </w:pPr>
    </w:p>
    <w:p w14:paraId="42F56C1E" w14:textId="77777777" w:rsidR="00B611D1" w:rsidRDefault="00B611D1">
      <w:pPr>
        <w:pStyle w:val="Titre2"/>
        <w:ind w:left="316"/>
        <w:rPr>
          <w:lang w:val="fr-FR" w:eastAsia="zh-CN"/>
        </w:rPr>
      </w:pPr>
    </w:p>
    <w:p w14:paraId="5C4186F3" w14:textId="77777777" w:rsidR="00B611D1" w:rsidRDefault="00B611D1">
      <w:pPr>
        <w:pStyle w:val="Titre2"/>
        <w:ind w:left="316"/>
        <w:rPr>
          <w:lang w:val="fr-FR" w:eastAsia="zh-CN"/>
        </w:rPr>
      </w:pPr>
    </w:p>
    <w:p w14:paraId="58E30020" w14:textId="77777777" w:rsidR="00B611D1" w:rsidRDefault="00B611D1">
      <w:pPr>
        <w:pStyle w:val="Titre2"/>
        <w:ind w:left="316"/>
        <w:rPr>
          <w:lang w:val="fr-FR" w:eastAsia="zh-CN"/>
        </w:rPr>
      </w:pPr>
    </w:p>
    <w:p w14:paraId="1788C264" w14:textId="77777777" w:rsidR="00B611D1" w:rsidRDefault="00B611D1">
      <w:pPr>
        <w:pStyle w:val="Titre2"/>
        <w:ind w:left="316"/>
        <w:rPr>
          <w:lang w:val="fr-FR" w:eastAsia="zh-CN"/>
        </w:rPr>
      </w:pPr>
    </w:p>
    <w:p w14:paraId="749625FB" w14:textId="77777777" w:rsidR="00B611D1" w:rsidRDefault="00B611D1">
      <w:pPr>
        <w:pStyle w:val="Titre2"/>
        <w:ind w:left="316"/>
        <w:rPr>
          <w:lang w:val="fr-FR" w:eastAsia="zh-CN"/>
        </w:rPr>
      </w:pPr>
    </w:p>
    <w:p w14:paraId="3F3BFC1B" w14:textId="77777777" w:rsidR="00B611D1" w:rsidRDefault="00B611D1">
      <w:pPr>
        <w:pStyle w:val="Titre2"/>
        <w:ind w:left="316"/>
        <w:rPr>
          <w:lang w:val="fr-FR" w:eastAsia="zh-CN"/>
        </w:rPr>
      </w:pPr>
    </w:p>
    <w:p w14:paraId="7B435D44" w14:textId="77777777" w:rsidR="00B611D1" w:rsidRDefault="00B611D1">
      <w:pPr>
        <w:pStyle w:val="Titre1"/>
        <w:ind w:left="0"/>
        <w:rPr>
          <w:sz w:val="28"/>
          <w:szCs w:val="28"/>
          <w:lang w:val="fr-FR"/>
        </w:rPr>
        <w:sectPr w:rsidR="00B611D1">
          <w:headerReference w:type="default" r:id="rId66"/>
          <w:footerReference w:type="default" r:id="rId67"/>
          <w:pgSz w:w="11910" w:h="17340"/>
          <w:pgMar w:top="1180" w:right="720" w:bottom="1220" w:left="1080" w:header="725" w:footer="1037" w:gutter="0"/>
          <w:pgNumType w:start="30"/>
          <w:cols w:space="720"/>
          <w:docGrid w:linePitch="326"/>
        </w:sectPr>
      </w:pPr>
      <w:bookmarkStart w:id="235" w:name="_Toc201260212"/>
    </w:p>
    <w:p w14:paraId="625DE227" w14:textId="77777777" w:rsidR="00B611D1" w:rsidRDefault="00FB7689">
      <w:pPr>
        <w:pStyle w:val="Titre1"/>
        <w:ind w:left="0"/>
        <w:rPr>
          <w:sz w:val="28"/>
          <w:szCs w:val="28"/>
          <w:lang w:val="fr-FR" w:eastAsia="zh-CN"/>
        </w:rPr>
      </w:pPr>
      <w:r>
        <w:rPr>
          <w:sz w:val="28"/>
          <w:szCs w:val="28"/>
          <w:lang w:val="fr-FR"/>
        </w:rPr>
        <w:t>Conclusion</w:t>
      </w:r>
      <w:bookmarkEnd w:id="235"/>
    </w:p>
    <w:p w14:paraId="46B9D419" w14:textId="77777777" w:rsidR="00B611D1" w:rsidRDefault="00FB7689">
      <w:pPr>
        <w:pStyle w:val="NormalWeb"/>
        <w:spacing w:line="360" w:lineRule="auto"/>
        <w:jc w:val="both"/>
        <w:rPr>
          <w:lang w:val="fr-FR"/>
        </w:rPr>
      </w:pPr>
      <w:r>
        <w:rPr>
          <w:lang w:val="fr-FR"/>
        </w:rPr>
        <w:t>Les infections nosocomiales représentent un enjeu de santé publique majeur à l’échelle mondiale. Parmi les vecteurs potentiels de leur dissémination figurent les surfaces inertes au sein des structures hospitalières, en particulier dans les services d’urgences, où la fréquentation élevée favorise les contacts croisés. Ces surfaces peuvent servir de réservoirs à des bactéries pathogènes capables de persister dans l’environnement hospitalier pendant des périodes prolongées. Ce phénomène, combiné à la résistance croissante aux antibiotiques, complique considérablement la prévention et la prise en charge de ces infections.</w:t>
      </w:r>
    </w:p>
    <w:p w14:paraId="620AAC6E" w14:textId="77777777" w:rsidR="00B611D1" w:rsidRDefault="00FB7689">
      <w:pPr>
        <w:pStyle w:val="NormalWeb"/>
        <w:spacing w:line="360" w:lineRule="auto"/>
        <w:jc w:val="both"/>
        <w:rPr>
          <w:lang w:val="fr-FR"/>
        </w:rPr>
      </w:pPr>
      <w:r>
        <w:rPr>
          <w:lang w:val="fr-FR"/>
        </w:rPr>
        <w:t>Dans ce contexte, la présente étude a été conduite au sein du service des urgences de l’hôpital Les Sœurs Bedj (wilaya de Chlef), dans le but d’isoler et d’identifier les souches bactériennes présentes sur les surfaces hospitalières, et d’évaluer leur profil de résistance aux antibiotiques. 13 prélèvements ont été réalisés sur différentes surfaces fréquemment en contact avec le personnel soignant ou les patients.</w:t>
      </w:r>
    </w:p>
    <w:p w14:paraId="4E85E0A3" w14:textId="77777777" w:rsidR="00B611D1" w:rsidRDefault="00FB7689">
      <w:pPr>
        <w:pStyle w:val="NormalWeb"/>
        <w:spacing w:line="360" w:lineRule="auto"/>
        <w:jc w:val="both"/>
        <w:rPr>
          <w:lang w:val="fr-FR" w:eastAsia="zh-CN"/>
        </w:rPr>
      </w:pPr>
      <w:r>
        <w:rPr>
          <w:lang w:val="fr-FR"/>
        </w:rPr>
        <w:t xml:space="preserve">L’analyse microbiologique a permis d’identifier plusieurs espèces bactériennes, dont </w:t>
      </w:r>
      <w:r>
        <w:rPr>
          <w:rStyle w:val="Accentuation"/>
          <w:lang w:val="fr-FR"/>
        </w:rPr>
        <w:t>Staphylococcus aureus</w:t>
      </w:r>
      <w:r>
        <w:rPr>
          <w:lang w:val="fr-FR"/>
        </w:rPr>
        <w:t xml:space="preserve"> (15,40%), </w:t>
      </w:r>
      <w:r>
        <w:rPr>
          <w:rStyle w:val="Accentuation"/>
          <w:lang w:val="fr-FR"/>
        </w:rPr>
        <w:t>Staphylococcus hominis</w:t>
      </w:r>
      <w:r>
        <w:rPr>
          <w:lang w:val="fr-FR"/>
        </w:rPr>
        <w:t xml:space="preserve">, </w:t>
      </w:r>
      <w:r>
        <w:rPr>
          <w:rStyle w:val="Accentuation"/>
          <w:lang w:val="fr-FR"/>
        </w:rPr>
        <w:t>Klebsiella pneumoniae</w:t>
      </w:r>
      <w:r>
        <w:rPr>
          <w:lang w:val="fr-FR"/>
        </w:rPr>
        <w:t xml:space="preserve">, </w:t>
      </w:r>
      <w:r>
        <w:rPr>
          <w:rStyle w:val="Accentuation"/>
          <w:lang w:val="fr-FR"/>
        </w:rPr>
        <w:t>Serratia marcescens</w:t>
      </w:r>
      <w:r>
        <w:rPr>
          <w:lang w:val="fr-FR"/>
        </w:rPr>
        <w:t xml:space="preserve"> et </w:t>
      </w:r>
      <w:r>
        <w:rPr>
          <w:rStyle w:val="Accentuation"/>
          <w:lang w:val="fr-FR"/>
        </w:rPr>
        <w:t>Acinetobacter baumannii</w:t>
      </w:r>
      <w:r>
        <w:rPr>
          <w:lang w:val="fr-FR"/>
        </w:rPr>
        <w:t xml:space="preserve"> (7,70% chacune). Les isolats restants (53,80%), principalement des bacilles à Gram positif peu impliqués dans les infections nosocomiales, n’ont pas été identifiés.</w:t>
      </w:r>
    </w:p>
    <w:p w14:paraId="01079D8B" w14:textId="77777777" w:rsidR="00B611D1" w:rsidRDefault="00FB7689">
      <w:pPr>
        <w:pStyle w:val="NormalWeb"/>
        <w:spacing w:line="360" w:lineRule="auto"/>
        <w:jc w:val="both"/>
        <w:rPr>
          <w:lang w:val="fr-FR" w:eastAsia="zh-CN"/>
        </w:rPr>
      </w:pPr>
      <w:r>
        <w:rPr>
          <w:lang w:val="fr-FR"/>
        </w:rPr>
        <w:t xml:space="preserve">La prédominance de </w:t>
      </w:r>
      <w:r>
        <w:rPr>
          <w:rStyle w:val="Accentuation"/>
          <w:lang w:val="fr-FR"/>
        </w:rPr>
        <w:t>Staphylococcus aureus</w:t>
      </w:r>
      <w:r>
        <w:rPr>
          <w:lang w:val="fr-FR"/>
        </w:rPr>
        <w:t xml:space="preserve"> parmi les isolats souligne la nécessité de consolider les stratégies de prévention des infections nosocomiales, notamment par le renforcement des protocoles de biosécurité et des procédures de désinfection, en raison de sa virulence, de sa capacité de survie sur les surfaces hospitalières et de son potentiel de résistance aux antibiotiques. Bien que les autres espèces aient été isolées à des fréquences plus faibles, leur présence reste préoccupante en raison de leur potentiel pathogène et de leur résistance aux antibiotiques. </w:t>
      </w:r>
    </w:p>
    <w:p w14:paraId="1C33862F" w14:textId="77777777" w:rsidR="00B611D1" w:rsidRDefault="00FB7689">
      <w:pPr>
        <w:pStyle w:val="NormalWeb"/>
        <w:spacing w:line="360" w:lineRule="auto"/>
        <w:jc w:val="both"/>
        <w:rPr>
          <w:lang w:val="fr-FR"/>
        </w:rPr>
      </w:pPr>
      <w:r>
        <w:rPr>
          <w:lang w:val="fr-FR"/>
        </w:rPr>
        <w:t xml:space="preserve">L’étude des profils de résistance a révélé que les souches de </w:t>
      </w:r>
      <w:r>
        <w:rPr>
          <w:rStyle w:val="Accentuation"/>
          <w:lang w:val="fr-FR"/>
        </w:rPr>
        <w:t>Staphylococcus aureus</w:t>
      </w:r>
      <w:r>
        <w:rPr>
          <w:lang w:val="fr-FR"/>
        </w:rPr>
        <w:t xml:space="preserve"> étaient résistantes à la Pénicilline, à l’Oxacilline, à la Céfoxitine et à la Pipéracilline-Tazobactam. La résistance simultanée à l’Oxacilline et à la Céfoxitine constitue un indicateur fiable de la présence de souches SARM, soulignant leur potentiel épidémiologique. </w:t>
      </w:r>
      <w:r>
        <w:rPr>
          <w:rStyle w:val="Accentuation"/>
          <w:lang w:val="fr-FR"/>
        </w:rPr>
        <w:t>Serratia marcescens</w:t>
      </w:r>
      <w:r>
        <w:rPr>
          <w:lang w:val="fr-FR"/>
        </w:rPr>
        <w:t xml:space="preserve"> a montré une résistance à l’Amoxicilline, à l’Augmentin et à la Céfazoline. Cette résistance</w:t>
      </w:r>
      <w:r>
        <w:rPr>
          <w:rFonts w:hint="eastAsia"/>
          <w:lang w:val="fr-FR" w:eastAsia="zh-CN"/>
        </w:rPr>
        <w:t xml:space="preserve"> </w:t>
      </w:r>
      <w:r>
        <w:rPr>
          <w:lang w:val="fr-FR"/>
        </w:rPr>
        <w:t xml:space="preserve">s’explique par la production naturelle de </w:t>
      </w:r>
      <w:r>
        <w:t>β</w:t>
      </w:r>
      <w:r>
        <w:rPr>
          <w:lang w:val="fr-FR"/>
        </w:rPr>
        <w:t xml:space="preserve">-lactamases de type AmpC, conférant à cette espèce une résistance intrinsèque à de nombreuses </w:t>
      </w:r>
      <w:r>
        <w:t>β</w:t>
      </w:r>
      <w:r>
        <w:rPr>
          <w:lang w:val="fr-FR"/>
        </w:rPr>
        <w:t xml:space="preserve">-lactamines de première génération. </w:t>
      </w:r>
      <w:r>
        <w:rPr>
          <w:rStyle w:val="Accentuation"/>
          <w:lang w:val="fr-FR"/>
        </w:rPr>
        <w:t>Acinetobacter baumannii</w:t>
      </w:r>
      <w:r>
        <w:rPr>
          <w:lang w:val="fr-FR"/>
        </w:rPr>
        <w:t xml:space="preserve"> a présenté une résistance marquée à plusieurs </w:t>
      </w:r>
      <w:r>
        <w:t>β</w:t>
      </w:r>
      <w:r>
        <w:rPr>
          <w:lang w:val="fr-FR"/>
        </w:rPr>
        <w:t xml:space="preserve">-lactamines, notamment la Pipéracilline, la Ceftazidime, la Ticarcilline et la </w:t>
      </w:r>
      <w:r>
        <w:rPr>
          <w:color w:val="000000" w:themeColor="text1"/>
          <w:lang w:val="fr-FR"/>
        </w:rPr>
        <w:t>Timentin</w:t>
      </w:r>
      <w:r>
        <w:rPr>
          <w:lang w:val="fr-FR"/>
        </w:rPr>
        <w:t xml:space="preserve">. Ce pathogène opportuniste, fréquemment associé aux épidémies nosocomiales, est connu pour son haut niveau de multirésistance, en particulier dans les unités de soins intensifs. Les souches de </w:t>
      </w:r>
      <w:r>
        <w:rPr>
          <w:rStyle w:val="Accentuation"/>
          <w:lang w:val="fr-FR"/>
        </w:rPr>
        <w:t>Klebsiella pneumoniae</w:t>
      </w:r>
      <w:r>
        <w:rPr>
          <w:lang w:val="fr-FR"/>
        </w:rPr>
        <w:t xml:space="preserve"> isolées ont montré un profil de résistance préoccupant, notamment à plusieurs </w:t>
      </w:r>
      <w:r>
        <w:t>β</w:t>
      </w:r>
      <w:r>
        <w:rPr>
          <w:lang w:val="fr-FR"/>
        </w:rPr>
        <w:t xml:space="preserve">-lactamines telles que l’Augmentin, la Céphalexine, la Céfazoline, la Céfoxitine et la Cefotaxime. L’observation d’un effet synergique entre l’Augmentin et la Cefotaxime lors de l’antibiogramme suggère la production de </w:t>
      </w:r>
      <w:r>
        <w:t>β</w:t>
      </w:r>
      <w:r>
        <w:rPr>
          <w:lang w:val="fr-FR"/>
        </w:rPr>
        <w:t>-lactamases à spectre étendu (BLSE), confirmant la présence de souches hautement résistantes.</w:t>
      </w:r>
    </w:p>
    <w:p w14:paraId="7FAF84C0" w14:textId="77777777" w:rsidR="00B611D1" w:rsidRDefault="00FB7689">
      <w:pPr>
        <w:pStyle w:val="NormalWeb"/>
        <w:spacing w:line="360" w:lineRule="auto"/>
        <w:jc w:val="both"/>
        <w:rPr>
          <w:lang w:val="fr-FR"/>
        </w:rPr>
      </w:pPr>
      <w:r>
        <w:rPr>
          <w:lang w:val="fr-FR"/>
        </w:rPr>
        <w:t>En conclusion, malgré le nombre limité de prélèvements, cette étude met en lumière la diversité microbienne présente sur les surfaces hospitalières d’un service d’urgence, ainsi que la présence de souches résistantes à des antibiotiques d’usage courant. Ces résultats soulignent l’importance d’une surveillance microbiologique régulière, couplée à une évaluation continue de l’efficacité des mesures de prévention et de contrôle des infections. Une telle démarche est essentielle pour limiter la propagation de pathogènes opportunistes et préserver l'efficacité thérapeutique des antibiotiques actuellement disponibles.</w:t>
      </w:r>
    </w:p>
    <w:p w14:paraId="0B84B0A1" w14:textId="77777777" w:rsidR="00B611D1" w:rsidRDefault="00B611D1">
      <w:pPr>
        <w:spacing w:line="360" w:lineRule="auto"/>
        <w:jc w:val="both"/>
        <w:rPr>
          <w:lang w:val="fr-FR" w:eastAsia="zh-CN"/>
        </w:rPr>
      </w:pPr>
    </w:p>
    <w:p w14:paraId="7C78B786" w14:textId="77777777" w:rsidR="00B611D1" w:rsidRDefault="00B611D1">
      <w:pPr>
        <w:pStyle w:val="Corpsdetexte"/>
        <w:rPr>
          <w:sz w:val="20"/>
          <w:lang w:val="fr-FR" w:eastAsia="zh-CN"/>
        </w:rPr>
      </w:pPr>
    </w:p>
    <w:p w14:paraId="3E2581DF" w14:textId="77777777" w:rsidR="00B611D1" w:rsidRDefault="00B611D1">
      <w:pPr>
        <w:pStyle w:val="Corpsdetexte"/>
        <w:rPr>
          <w:sz w:val="20"/>
          <w:lang w:val="fr-FR" w:eastAsia="zh-CN"/>
        </w:rPr>
      </w:pPr>
    </w:p>
    <w:p w14:paraId="3FF41AF5" w14:textId="77777777" w:rsidR="00B611D1" w:rsidRDefault="00B611D1">
      <w:pPr>
        <w:pStyle w:val="Corpsdetexte"/>
        <w:rPr>
          <w:sz w:val="20"/>
          <w:lang w:val="fr-FR" w:eastAsia="zh-CN"/>
        </w:rPr>
      </w:pPr>
    </w:p>
    <w:p w14:paraId="12BB05C5" w14:textId="77777777" w:rsidR="00B611D1" w:rsidRDefault="00B611D1">
      <w:pPr>
        <w:pStyle w:val="Corpsdetexte"/>
        <w:rPr>
          <w:sz w:val="20"/>
          <w:lang w:val="fr-FR" w:eastAsia="zh-CN"/>
        </w:rPr>
      </w:pPr>
    </w:p>
    <w:p w14:paraId="2BD90519" w14:textId="77777777" w:rsidR="00B611D1" w:rsidRDefault="00B611D1">
      <w:pPr>
        <w:pStyle w:val="Corpsdetexte"/>
        <w:rPr>
          <w:sz w:val="20"/>
          <w:lang w:val="fr-FR" w:eastAsia="zh-CN"/>
        </w:rPr>
      </w:pPr>
    </w:p>
    <w:p w14:paraId="3FA56234" w14:textId="77777777" w:rsidR="00B611D1" w:rsidRDefault="00B611D1">
      <w:pPr>
        <w:pStyle w:val="Corpsdetexte"/>
        <w:rPr>
          <w:sz w:val="20"/>
          <w:lang w:val="fr-FR" w:eastAsia="zh-CN"/>
        </w:rPr>
      </w:pPr>
    </w:p>
    <w:p w14:paraId="46B541BA" w14:textId="77777777" w:rsidR="00B611D1" w:rsidRDefault="00B611D1">
      <w:pPr>
        <w:pStyle w:val="Corpsdetexte"/>
        <w:rPr>
          <w:sz w:val="20"/>
          <w:lang w:val="fr-FR" w:eastAsia="zh-CN"/>
        </w:rPr>
      </w:pPr>
    </w:p>
    <w:p w14:paraId="32A7586F" w14:textId="77777777" w:rsidR="00B611D1" w:rsidRDefault="00B611D1">
      <w:pPr>
        <w:pStyle w:val="Corpsdetexte"/>
        <w:rPr>
          <w:sz w:val="20"/>
          <w:lang w:val="fr-FR" w:eastAsia="zh-CN"/>
        </w:rPr>
      </w:pPr>
    </w:p>
    <w:p w14:paraId="58F86853" w14:textId="77777777" w:rsidR="00B611D1" w:rsidRDefault="00B611D1">
      <w:pPr>
        <w:pStyle w:val="Corpsdetexte"/>
        <w:rPr>
          <w:sz w:val="20"/>
          <w:lang w:val="fr-FR" w:eastAsia="zh-CN"/>
        </w:rPr>
      </w:pPr>
    </w:p>
    <w:p w14:paraId="4CC7155D" w14:textId="77777777" w:rsidR="00B611D1" w:rsidRDefault="00B611D1">
      <w:pPr>
        <w:pStyle w:val="Corpsdetexte"/>
        <w:rPr>
          <w:sz w:val="20"/>
          <w:lang w:val="fr-FR" w:eastAsia="zh-CN"/>
        </w:rPr>
      </w:pPr>
    </w:p>
    <w:p w14:paraId="0C8B6921" w14:textId="77777777" w:rsidR="00B611D1" w:rsidRDefault="00B611D1">
      <w:pPr>
        <w:pStyle w:val="Corpsdetexte"/>
        <w:rPr>
          <w:sz w:val="20"/>
          <w:lang w:val="fr-FR" w:eastAsia="zh-CN"/>
        </w:rPr>
      </w:pPr>
    </w:p>
    <w:p w14:paraId="5B4CD062" w14:textId="77777777" w:rsidR="00B611D1" w:rsidRDefault="00B611D1">
      <w:pPr>
        <w:pStyle w:val="Corpsdetexte"/>
        <w:rPr>
          <w:sz w:val="20"/>
          <w:lang w:val="fr-FR" w:eastAsia="zh-CN"/>
        </w:rPr>
      </w:pPr>
    </w:p>
    <w:p w14:paraId="2CE31EB0" w14:textId="77777777" w:rsidR="00B611D1" w:rsidRDefault="00B611D1">
      <w:pPr>
        <w:pStyle w:val="Corpsdetexte"/>
        <w:rPr>
          <w:sz w:val="20"/>
          <w:lang w:val="fr-FR" w:eastAsia="zh-CN"/>
        </w:rPr>
      </w:pPr>
    </w:p>
    <w:p w14:paraId="201D0CAC" w14:textId="77777777" w:rsidR="00B611D1" w:rsidRDefault="00B611D1">
      <w:pPr>
        <w:pStyle w:val="Corpsdetexte"/>
        <w:rPr>
          <w:sz w:val="20"/>
          <w:lang w:val="fr-FR" w:eastAsia="zh-CN"/>
        </w:rPr>
      </w:pPr>
    </w:p>
    <w:p w14:paraId="157BE7F2" w14:textId="77777777" w:rsidR="00B611D1" w:rsidRDefault="00B611D1">
      <w:pPr>
        <w:pStyle w:val="Corpsdetexte"/>
        <w:rPr>
          <w:sz w:val="20"/>
          <w:lang w:val="fr-FR" w:eastAsia="zh-CN"/>
        </w:rPr>
      </w:pPr>
    </w:p>
    <w:p w14:paraId="4D7DF100" w14:textId="77777777" w:rsidR="00B611D1" w:rsidRDefault="00B611D1">
      <w:pPr>
        <w:pStyle w:val="Corpsdetexte"/>
        <w:rPr>
          <w:sz w:val="20"/>
          <w:lang w:val="fr-FR" w:eastAsia="zh-CN"/>
        </w:rPr>
      </w:pPr>
    </w:p>
    <w:p w14:paraId="73936EC7" w14:textId="77777777" w:rsidR="00B611D1" w:rsidRDefault="00B611D1">
      <w:pPr>
        <w:pStyle w:val="Corpsdetexte"/>
        <w:rPr>
          <w:sz w:val="20"/>
          <w:lang w:val="fr-FR" w:eastAsia="zh-CN"/>
        </w:rPr>
      </w:pPr>
    </w:p>
    <w:p w14:paraId="7A0DCA11" w14:textId="77777777" w:rsidR="00B611D1" w:rsidRDefault="00B611D1">
      <w:pPr>
        <w:pStyle w:val="Corpsdetexte"/>
        <w:rPr>
          <w:sz w:val="20"/>
          <w:lang w:val="fr-FR" w:eastAsia="zh-CN"/>
        </w:rPr>
      </w:pPr>
    </w:p>
    <w:p w14:paraId="7E0DDF17" w14:textId="77777777" w:rsidR="00B611D1" w:rsidRDefault="00B611D1">
      <w:pPr>
        <w:pStyle w:val="Corpsdetexte"/>
        <w:rPr>
          <w:sz w:val="20"/>
          <w:lang w:val="fr-FR" w:eastAsia="zh-CN"/>
        </w:rPr>
      </w:pPr>
    </w:p>
    <w:p w14:paraId="75346B5D" w14:textId="77777777" w:rsidR="00B611D1" w:rsidRDefault="00B611D1">
      <w:pPr>
        <w:pStyle w:val="Corpsdetexte"/>
        <w:rPr>
          <w:sz w:val="20"/>
          <w:lang w:val="fr-FR" w:eastAsia="zh-CN"/>
        </w:rPr>
      </w:pPr>
    </w:p>
    <w:p w14:paraId="7707D248" w14:textId="77777777" w:rsidR="00B611D1" w:rsidRDefault="00B611D1">
      <w:pPr>
        <w:pStyle w:val="Corpsdetexte"/>
        <w:rPr>
          <w:sz w:val="20"/>
          <w:lang w:val="fr-FR" w:eastAsia="zh-CN"/>
        </w:rPr>
      </w:pPr>
    </w:p>
    <w:p w14:paraId="021B0BF8" w14:textId="77777777" w:rsidR="00B611D1" w:rsidRDefault="00B611D1">
      <w:pPr>
        <w:pStyle w:val="Corpsdetexte"/>
        <w:rPr>
          <w:sz w:val="20"/>
          <w:lang w:val="fr-FR" w:eastAsia="zh-CN"/>
        </w:rPr>
      </w:pPr>
    </w:p>
    <w:p w14:paraId="62A6EDA7" w14:textId="77777777" w:rsidR="00B611D1" w:rsidRDefault="00B611D1">
      <w:pPr>
        <w:pStyle w:val="Corpsdetexte"/>
        <w:rPr>
          <w:sz w:val="20"/>
          <w:lang w:val="fr-FR" w:eastAsia="zh-CN"/>
        </w:rPr>
      </w:pPr>
    </w:p>
    <w:p w14:paraId="38F8013A" w14:textId="77777777" w:rsidR="00B611D1" w:rsidRDefault="00B611D1">
      <w:pPr>
        <w:pStyle w:val="Corpsdetexte"/>
        <w:rPr>
          <w:sz w:val="20"/>
          <w:lang w:val="fr-FR" w:eastAsia="zh-CN"/>
        </w:rPr>
      </w:pPr>
    </w:p>
    <w:p w14:paraId="1D53EB95" w14:textId="77777777" w:rsidR="00B611D1" w:rsidRDefault="00B611D1">
      <w:pPr>
        <w:pStyle w:val="Corpsdetexte"/>
        <w:rPr>
          <w:sz w:val="20"/>
          <w:lang w:val="fr-FR" w:eastAsia="zh-CN"/>
        </w:rPr>
      </w:pPr>
    </w:p>
    <w:p w14:paraId="378180FB" w14:textId="77777777" w:rsidR="00B611D1" w:rsidRDefault="00B611D1">
      <w:pPr>
        <w:pStyle w:val="Corpsdetexte"/>
        <w:rPr>
          <w:sz w:val="20"/>
          <w:lang w:val="fr-FR" w:eastAsia="zh-CN"/>
        </w:rPr>
      </w:pPr>
    </w:p>
    <w:p w14:paraId="7E3DEC74" w14:textId="77777777" w:rsidR="00B611D1" w:rsidRDefault="00B611D1">
      <w:pPr>
        <w:pStyle w:val="Corpsdetexte"/>
        <w:rPr>
          <w:sz w:val="20"/>
          <w:lang w:val="fr-FR" w:eastAsia="zh-CN"/>
        </w:rPr>
      </w:pPr>
    </w:p>
    <w:p w14:paraId="28A52517" w14:textId="77777777" w:rsidR="00B611D1" w:rsidRDefault="00B611D1">
      <w:pPr>
        <w:pStyle w:val="Corpsdetexte"/>
        <w:rPr>
          <w:sz w:val="20"/>
          <w:lang w:val="fr-FR" w:eastAsia="zh-CN"/>
        </w:rPr>
      </w:pPr>
    </w:p>
    <w:p w14:paraId="628C9C13" w14:textId="77777777" w:rsidR="00B611D1" w:rsidRDefault="00B611D1">
      <w:pPr>
        <w:pStyle w:val="Corpsdetexte"/>
        <w:rPr>
          <w:sz w:val="20"/>
          <w:lang w:val="fr-FR" w:eastAsia="zh-CN"/>
        </w:rPr>
      </w:pPr>
    </w:p>
    <w:p w14:paraId="474C71FF" w14:textId="77777777" w:rsidR="00B611D1" w:rsidRDefault="00B611D1">
      <w:pPr>
        <w:pStyle w:val="Corpsdetexte"/>
        <w:rPr>
          <w:sz w:val="20"/>
          <w:lang w:val="fr-FR" w:eastAsia="zh-CN"/>
        </w:rPr>
      </w:pPr>
    </w:p>
    <w:p w14:paraId="5ABE2F75" w14:textId="77777777" w:rsidR="00B611D1" w:rsidRDefault="00B611D1">
      <w:pPr>
        <w:pStyle w:val="Corpsdetexte"/>
        <w:rPr>
          <w:sz w:val="20"/>
          <w:lang w:val="fr-FR" w:eastAsia="zh-CN"/>
        </w:rPr>
      </w:pPr>
    </w:p>
    <w:p w14:paraId="4D2F83F4" w14:textId="77777777" w:rsidR="00B611D1" w:rsidRDefault="00B611D1">
      <w:pPr>
        <w:pStyle w:val="Corpsdetexte"/>
        <w:rPr>
          <w:sz w:val="20"/>
          <w:lang w:val="fr-FR" w:eastAsia="zh-CN"/>
        </w:rPr>
      </w:pPr>
    </w:p>
    <w:p w14:paraId="32E6096C" w14:textId="77777777" w:rsidR="00B611D1" w:rsidRDefault="00B611D1">
      <w:pPr>
        <w:pStyle w:val="Corpsdetexte"/>
        <w:rPr>
          <w:sz w:val="20"/>
          <w:lang w:val="fr-FR" w:eastAsia="zh-CN"/>
        </w:rPr>
      </w:pPr>
    </w:p>
    <w:p w14:paraId="3E044FA6" w14:textId="77777777" w:rsidR="00B611D1" w:rsidRDefault="00B611D1">
      <w:pPr>
        <w:pStyle w:val="Corpsdetexte"/>
        <w:rPr>
          <w:sz w:val="20"/>
          <w:lang w:val="fr-FR" w:eastAsia="zh-CN"/>
        </w:rPr>
      </w:pPr>
    </w:p>
    <w:p w14:paraId="46705DDC" w14:textId="77777777" w:rsidR="00B611D1" w:rsidRDefault="00B611D1">
      <w:pPr>
        <w:pStyle w:val="Corpsdetexte"/>
        <w:rPr>
          <w:sz w:val="20"/>
          <w:lang w:val="fr-FR" w:eastAsia="zh-CN"/>
        </w:rPr>
      </w:pPr>
    </w:p>
    <w:p w14:paraId="5FCD907E" w14:textId="77777777" w:rsidR="00B611D1" w:rsidRDefault="00B611D1">
      <w:pPr>
        <w:pStyle w:val="Titre1"/>
        <w:ind w:left="0"/>
        <w:rPr>
          <w:sz w:val="28"/>
          <w:szCs w:val="28"/>
          <w:lang w:val="fr-FR"/>
        </w:rPr>
        <w:sectPr w:rsidR="00B611D1">
          <w:headerReference w:type="default" r:id="rId68"/>
          <w:pgSz w:w="11910" w:h="17340"/>
          <w:pgMar w:top="1180" w:right="720" w:bottom="1220" w:left="1080" w:header="725" w:footer="1037" w:gutter="0"/>
          <w:cols w:space="720"/>
          <w:docGrid w:linePitch="326"/>
        </w:sectPr>
      </w:pPr>
      <w:bookmarkStart w:id="236" w:name="_bookmark50"/>
      <w:bookmarkStart w:id="237" w:name="_Toc201260213"/>
      <w:bookmarkEnd w:id="236"/>
    </w:p>
    <w:p w14:paraId="6C2D2E3A" w14:textId="77777777" w:rsidR="00B611D1" w:rsidRDefault="00FB7689">
      <w:pPr>
        <w:pStyle w:val="Titre1"/>
        <w:ind w:left="0"/>
        <w:rPr>
          <w:sz w:val="28"/>
          <w:szCs w:val="28"/>
          <w:lang w:val="fr-FR"/>
        </w:rPr>
      </w:pPr>
      <w:r>
        <w:rPr>
          <w:sz w:val="28"/>
          <w:szCs w:val="28"/>
          <w:lang w:val="fr-FR"/>
        </w:rPr>
        <w:t>Références</w:t>
      </w:r>
      <w:r>
        <w:rPr>
          <w:spacing w:val="-6"/>
          <w:sz w:val="28"/>
          <w:szCs w:val="28"/>
          <w:lang w:val="fr-FR"/>
        </w:rPr>
        <w:t xml:space="preserve"> </w:t>
      </w:r>
      <w:r>
        <w:rPr>
          <w:sz w:val="28"/>
          <w:szCs w:val="28"/>
          <w:lang w:val="fr-FR"/>
        </w:rPr>
        <w:t>Bibliographiques</w:t>
      </w:r>
      <w:bookmarkEnd w:id="237"/>
    </w:p>
    <w:p w14:paraId="1C535BF6" w14:textId="77777777" w:rsidR="00B611D1" w:rsidRDefault="00B611D1">
      <w:pPr>
        <w:pStyle w:val="Titre2"/>
        <w:ind w:left="108"/>
        <w:rPr>
          <w:lang w:val="fr-FR"/>
        </w:rPr>
      </w:pPr>
    </w:p>
    <w:p w14:paraId="44FBADA1" w14:textId="77777777" w:rsidR="00B611D1" w:rsidRDefault="00FB7689">
      <w:pPr>
        <w:pStyle w:val="msobibliography0"/>
        <w:spacing w:line="360" w:lineRule="auto"/>
        <w:jc w:val="both"/>
        <w:rPr>
          <w:rFonts w:ascii="Times New Roman" w:hAnsi="Times New Roman" w:hint="default"/>
          <w:sz w:val="24"/>
          <w:szCs w:val="24"/>
        </w:rPr>
      </w:pPr>
      <w:r>
        <w:rPr>
          <w:rFonts w:ascii="Times New Roman" w:hAnsi="Times New Roman" w:hint="default"/>
          <w:sz w:val="24"/>
          <w:szCs w:val="24"/>
          <w:lang w:val="fr"/>
        </w:rPr>
        <w:t xml:space="preserve">Abdi, S. N., Ghotaslou ,Reza, Ganbarov ,Khudaverdi, Mobed ,Ahmad, Tanomand ,Asghar, Yousefi ,Mehdi, Asgharzadeh ,Mohammad, &amp; and Kafil, H. S. (2020). </w:t>
      </w:r>
      <w:r>
        <w:rPr>
          <w:rFonts w:ascii="Times New Roman" w:hAnsi="Times New Roman" w:hint="default"/>
          <w:sz w:val="24"/>
          <w:szCs w:val="24"/>
        </w:rPr>
        <w:t>Acinetobacter baumannii Efflux Pumps and Antibiotic Resistance. Infection and Drug Resistance, 13, 423</w:t>
      </w:r>
      <w:r>
        <w:rPr>
          <w:rFonts w:ascii="Times New Roman" w:hAnsi="Times New Roman" w:hint="default"/>
          <w:sz w:val="24"/>
          <w:szCs w:val="24"/>
        </w:rPr>
        <w:noBreakHyphen/>
        <w:t xml:space="preserve">434. </w:t>
      </w:r>
      <w:hyperlink r:id="rId69" w:history="1">
        <w:r>
          <w:rPr>
            <w:rStyle w:val="Lienhypertexte"/>
            <w:rFonts w:ascii="Times New Roman" w:hAnsi="Times New Roman" w:hint="default"/>
            <w:sz w:val="24"/>
            <w:szCs w:val="24"/>
          </w:rPr>
          <w:t>https://doi.org/10.2147/IDR.S228089</w:t>
        </w:r>
      </w:hyperlink>
    </w:p>
    <w:p w14:paraId="0640DB59" w14:textId="77777777" w:rsidR="00B611D1" w:rsidRDefault="00FB7689">
      <w:pPr>
        <w:pStyle w:val="msobibliography0"/>
        <w:spacing w:line="360" w:lineRule="auto"/>
        <w:jc w:val="both"/>
        <w:rPr>
          <w:rFonts w:ascii="Times New Roman" w:hAnsi="Times New Roman" w:hint="default"/>
          <w:sz w:val="24"/>
          <w:szCs w:val="24"/>
          <w:lang w:val="fr"/>
        </w:rPr>
      </w:pPr>
      <w:r>
        <w:rPr>
          <w:rFonts w:ascii="Times New Roman" w:hAnsi="Times New Roman" w:hint="default"/>
          <w:sz w:val="24"/>
          <w:szCs w:val="24"/>
        </w:rPr>
        <w:t xml:space="preserve">Abissi, A. A., DEGBEY, C. C., &amp; ADETOLA, O. (2020). </w:t>
      </w:r>
      <w:r>
        <w:rPr>
          <w:rFonts w:ascii="Times New Roman" w:hAnsi="Times New Roman" w:hint="default"/>
          <w:sz w:val="24"/>
          <w:szCs w:val="24"/>
          <w:lang w:val="fr"/>
        </w:rPr>
        <w:t>Evaluation de l’observance des précautions standards en matière d’hygiène par le personnel de l’Agence Nationale pour la Transfusion Sanguine Ouémé/Plateau. EPAC/CAP/UAC.</w:t>
      </w:r>
    </w:p>
    <w:p w14:paraId="012BA15B" w14:textId="77777777" w:rsidR="00B611D1" w:rsidRDefault="00FB7689">
      <w:pPr>
        <w:pStyle w:val="msobibliography0"/>
        <w:spacing w:line="360" w:lineRule="auto"/>
        <w:jc w:val="both"/>
        <w:rPr>
          <w:rFonts w:ascii="Times New Roman" w:hAnsi="Times New Roman" w:hint="default"/>
          <w:sz w:val="24"/>
          <w:szCs w:val="24"/>
        </w:rPr>
      </w:pPr>
      <w:r>
        <w:rPr>
          <w:rFonts w:ascii="Times New Roman" w:hAnsi="Times New Roman" w:hint="default"/>
          <w:sz w:val="24"/>
          <w:szCs w:val="24"/>
          <w:lang w:val="fr"/>
        </w:rPr>
        <w:t xml:space="preserve">Albrecht, A. (2015). Les infections nosocomiales d’origine bactérienne, ce que doit savoir le pharmacien d’officine [PhD Thesis, Université de Lorraine]. </w:t>
      </w:r>
      <w:hyperlink r:id="rId70" w:history="1">
        <w:r>
          <w:rPr>
            <w:rStyle w:val="Lienhypertexte"/>
            <w:rFonts w:ascii="Times New Roman" w:hAnsi="Times New Roman" w:hint="default"/>
            <w:sz w:val="24"/>
            <w:szCs w:val="24"/>
          </w:rPr>
          <w:t>https://hal.univ-lorraine.fr/hal-01731940</w:t>
        </w:r>
      </w:hyperlink>
    </w:p>
    <w:p w14:paraId="01D9C022" w14:textId="77777777" w:rsidR="00B611D1" w:rsidRDefault="00FB7689">
      <w:pPr>
        <w:pStyle w:val="msobibliography0"/>
        <w:spacing w:line="360" w:lineRule="auto"/>
        <w:jc w:val="both"/>
        <w:rPr>
          <w:rFonts w:ascii="Times New Roman" w:hAnsi="Times New Roman" w:hint="default"/>
          <w:sz w:val="24"/>
          <w:szCs w:val="24"/>
        </w:rPr>
      </w:pPr>
      <w:r>
        <w:rPr>
          <w:rFonts w:ascii="Times New Roman" w:hAnsi="Times New Roman" w:hint="default"/>
          <w:sz w:val="24"/>
          <w:szCs w:val="24"/>
        </w:rPr>
        <w:t xml:space="preserve">Alhumaid, S., Al Mutair, A., Al Alawi, Z., Alsuliman, M., Ahmed, G. Y., Rabaan, A. A., Al-Tawfiq, J. A., &amp; Al-Omari, A. (2021). Knowledge of infection prevention and control among healthcare workers and factors influencing compliance : A systematic review. Antimicrobial Resistance &amp; Infection Control, 10(1), 86. </w:t>
      </w:r>
      <w:hyperlink r:id="rId71" w:history="1">
        <w:r>
          <w:rPr>
            <w:rStyle w:val="Lienhypertexte"/>
            <w:rFonts w:ascii="Times New Roman" w:hAnsi="Times New Roman" w:hint="default"/>
            <w:sz w:val="24"/>
            <w:szCs w:val="24"/>
          </w:rPr>
          <w:t>https://doi.org/10.1186/s13756-021-00957-0</w:t>
        </w:r>
      </w:hyperlink>
    </w:p>
    <w:p w14:paraId="19AC81F1" w14:textId="77777777" w:rsidR="00B611D1" w:rsidRDefault="00FB7689">
      <w:pPr>
        <w:pStyle w:val="msobibliography0"/>
        <w:spacing w:line="360" w:lineRule="auto"/>
        <w:jc w:val="both"/>
        <w:rPr>
          <w:rFonts w:ascii="Times New Roman" w:hAnsi="Times New Roman" w:hint="default"/>
          <w:sz w:val="24"/>
          <w:szCs w:val="24"/>
        </w:rPr>
      </w:pPr>
      <w:r>
        <w:rPr>
          <w:rFonts w:ascii="Times New Roman" w:hAnsi="Times New Roman" w:hint="default"/>
          <w:sz w:val="24"/>
          <w:szCs w:val="24"/>
        </w:rPr>
        <w:t xml:space="preserve">Almatroudi, A. (2025). Biofilm Resilience : Molecular Mechanisms Driving Antibiotic Resistance in Clinical Contexts. Biology, 14(2), 165. </w:t>
      </w:r>
      <w:hyperlink r:id="rId72" w:history="1">
        <w:r>
          <w:rPr>
            <w:rStyle w:val="Lienhypertexte"/>
            <w:rFonts w:ascii="Times New Roman" w:hAnsi="Times New Roman" w:hint="default"/>
            <w:sz w:val="24"/>
            <w:szCs w:val="24"/>
          </w:rPr>
          <w:t>https://doi.org/10.3390/biology14020165</w:t>
        </w:r>
      </w:hyperlink>
    </w:p>
    <w:p w14:paraId="0A01B243" w14:textId="77777777" w:rsidR="00B611D1" w:rsidRDefault="00FB7689">
      <w:pPr>
        <w:pStyle w:val="msobibliography0"/>
        <w:spacing w:line="360" w:lineRule="auto"/>
        <w:jc w:val="both"/>
        <w:rPr>
          <w:rFonts w:ascii="Times New Roman" w:hAnsi="Times New Roman" w:hint="default"/>
          <w:sz w:val="24"/>
          <w:szCs w:val="24"/>
        </w:rPr>
      </w:pPr>
      <w:r>
        <w:rPr>
          <w:rFonts w:ascii="Times New Roman" w:hAnsi="Times New Roman" w:hint="default"/>
          <w:sz w:val="24"/>
          <w:szCs w:val="24"/>
        </w:rPr>
        <w:t xml:space="preserve">Ayoub Moubareck, C., &amp; Hammoudi Halat, D. (2020). Insights into Acinetobacter baumannii : A Review of Microbiological, Virulence, and Resistance Traits in a Threatening Nosocomial Pathogen. Antibiotics, 9(3), Article 3. </w:t>
      </w:r>
      <w:hyperlink r:id="rId73" w:history="1">
        <w:r>
          <w:rPr>
            <w:rStyle w:val="Lienhypertexte"/>
            <w:rFonts w:ascii="Times New Roman" w:hAnsi="Times New Roman" w:hint="default"/>
            <w:sz w:val="24"/>
            <w:szCs w:val="24"/>
          </w:rPr>
          <w:t>https://doi.org/10.3390/antibiotics9030119</w:t>
        </w:r>
      </w:hyperlink>
    </w:p>
    <w:p w14:paraId="7E2065E7"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Bariz, K., Mendonça, R. D., Denis, O., Nonhoff, C., Azzam, A., &amp; Houali, K. (2019). Multidrug resistance of the extended-spectrum beta-lactamase-producing Klebsiella pneumoniae isolated in Tizi-Ouzou (Algeria). Cellular and Molecular Biology, 65(8), Article 8. </w:t>
      </w:r>
      <w:hyperlink r:id="rId74" w:history="1">
        <w:r>
          <w:rPr>
            <w:rStyle w:val="Lienhypertexte"/>
            <w:rFonts w:eastAsia="Calibri"/>
            <w:kern w:val="2"/>
            <w:lang w:val="en-US" w:eastAsia="zh-CN" w:bidi="ar"/>
          </w:rPr>
          <w:t>https://doi.org/10.14715/cmb/2019.65.8.3</w:t>
        </w:r>
      </w:hyperlink>
    </w:p>
    <w:p w14:paraId="3BF241E5"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Belay, M. M., Ambelu, A., Mekonen, S., Karbana, G., &amp; Yemane, B. (2024). Investigating Microbial Contamination of Indoor Air, Environmental Surfaces, and Medical Equipment in a Southwestern Ethiopia Hospital. Environmental Health Insights, 18, 11786302241266052. </w:t>
      </w:r>
      <w:hyperlink r:id="rId75" w:history="1">
        <w:r>
          <w:rPr>
            <w:rStyle w:val="Lienhypertexte"/>
            <w:rFonts w:eastAsia="Calibri"/>
            <w:kern w:val="2"/>
            <w:lang w:val="en-US" w:eastAsia="zh-CN" w:bidi="ar"/>
          </w:rPr>
          <w:t>https://doi.org/10.1177/11786302241266052</w:t>
        </w:r>
      </w:hyperlink>
    </w:p>
    <w:p w14:paraId="57D6D0D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Belete, M. A., Gedefie, A., Alemayehu, E., Debash, H., Mohammed, O., Gebretsadik, D., Ebrahim, H., &amp; Tilahun, M. (2023). The prevalence of vancomycin-resistant Staphylococcus aureus in Ethiopia : A systematic review and meta-analysis. Antimicrobial Resistance &amp; Infection Control, 12(1), 86. </w:t>
      </w:r>
      <w:hyperlink r:id="rId76" w:history="1">
        <w:r>
          <w:rPr>
            <w:rStyle w:val="Lienhypertexte"/>
            <w:rFonts w:eastAsia="Calibri"/>
            <w:kern w:val="2"/>
            <w:lang w:val="en-US" w:eastAsia="zh-CN" w:bidi="ar"/>
          </w:rPr>
          <w:t>https://doi.org/10.1186/s13756-023-01291-3</w:t>
        </w:r>
      </w:hyperlink>
    </w:p>
    <w:p w14:paraId="6717DD51"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Benamrouche, N., Lafer, O., Benmahdi, L., Benslimani, A., Amhis, W., Ammari, H., Assaous, F., Azzam, A., Rahal, K., &amp; Maamar, H. T. (2020). Phenotypic and genotypic characterization of multidrug-resistant Acinetobacter baumannii isolated in Algerian hospitals. The Journal of Infection in Developing Countries, 14(12), 1395</w:t>
      </w:r>
      <w:r>
        <w:rPr>
          <w:rFonts w:eastAsia="Calibri"/>
          <w:kern w:val="2"/>
          <w:lang w:val="en-US" w:eastAsia="zh-CN" w:bidi="ar"/>
        </w:rPr>
        <w:noBreakHyphen/>
        <w:t>1401.</w:t>
      </w:r>
    </w:p>
    <w:p w14:paraId="19925242"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Benbrahim, C., Barka, M. S., Benmahdi, L., Zatout, A., &amp; Khadir, A. (2021). Klebsiella pneumoniae producing extended spectrum </w:t>
      </w:r>
      <w:r>
        <w:rPr>
          <w:rFonts w:eastAsia="Calibri"/>
          <w:kern w:val="2"/>
          <w:lang w:val="fr" w:eastAsia="zh-CN" w:bidi="ar"/>
        </w:rPr>
        <w:t>β</w:t>
      </w:r>
      <w:r>
        <w:rPr>
          <w:rFonts w:eastAsia="Calibri"/>
          <w:kern w:val="2"/>
          <w:lang w:val="en-US" w:eastAsia="zh-CN" w:bidi="ar"/>
        </w:rPr>
        <w:t>-lactamase in Regional Military University Hospital of Oran, Algeria : Antibiotic resistance, biofilm formation, and detection of blaCTX-M and blaTEM genes. African Journal of Clinical and Experimental Microbiology, 22(1), 28</w:t>
      </w:r>
      <w:r>
        <w:rPr>
          <w:rFonts w:eastAsia="Calibri"/>
          <w:kern w:val="2"/>
          <w:lang w:val="en-US" w:eastAsia="zh-CN" w:bidi="ar"/>
        </w:rPr>
        <w:noBreakHyphen/>
        <w:t>37.</w:t>
      </w:r>
    </w:p>
    <w:p w14:paraId="1D6A5BA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Bercault, N., Boulain, T., Kuteifan, K., Wolf, M., Runge, I., &amp; Fleury, J.-C. (2004). Obesity-related excess mortality rate in an adult intensive care unit : A risk-adjusted matched cohort study*. Critical Care Medicine, 32(4), 998. </w:t>
      </w:r>
      <w:hyperlink r:id="rId77" w:history="1">
        <w:r>
          <w:rPr>
            <w:rStyle w:val="Lienhypertexte"/>
            <w:rFonts w:eastAsia="Calibri"/>
            <w:kern w:val="2"/>
            <w:lang w:val="en-US" w:eastAsia="zh-CN" w:bidi="ar"/>
          </w:rPr>
          <w:t>https://doi.org/10.1097/01.CCM.0000119422.93413.08</w:t>
        </w:r>
      </w:hyperlink>
    </w:p>
    <w:p w14:paraId="144C1AC6"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Blair, J. M., Webber, M. A., Baylay, A. J., Ogbolu, D. O., &amp; Piddock, L. J. (2015). Molecular mechanisms of antibiotic resistance. Nature reviews microbiology, 13(1), 42</w:t>
      </w:r>
      <w:r>
        <w:rPr>
          <w:rFonts w:eastAsia="Calibri"/>
          <w:kern w:val="2"/>
          <w:lang w:val="en-US" w:eastAsia="zh-CN" w:bidi="ar"/>
        </w:rPr>
        <w:noBreakHyphen/>
        <w:t>51.</w:t>
      </w:r>
    </w:p>
    <w:p w14:paraId="46ABDB5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Botnarciuc, M., Daba, L., Laiveras, D., Disea, M., &amp; Grasa, C. N. (2018). Infections associated with hospitalization over one year period. </w:t>
      </w:r>
      <w:r>
        <w:rPr>
          <w:rFonts w:eastAsia="Calibri"/>
          <w:color w:val="0000FF"/>
          <w:kern w:val="2"/>
          <w:u w:val="single"/>
          <w:lang w:val="en-US" w:eastAsia="zh-CN" w:bidi="ar"/>
        </w:rPr>
        <w:t>https://www.cabidigitallibrary.org/doi/full/10.5555/20193271482</w:t>
      </w:r>
    </w:p>
    <w:p w14:paraId="4A0BA341"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Calvo, M., Stefani, S., &amp; Migliorisi, G. (2024). Bacterial Infections in Intensive Care Units : Epidemiological and Microbiological Aspects. Antibiotics, 13(3), Article 3. </w:t>
      </w:r>
      <w:hyperlink r:id="rId78" w:history="1">
        <w:r>
          <w:rPr>
            <w:rStyle w:val="Lienhypertexte"/>
            <w:rFonts w:eastAsia="Calibri"/>
            <w:kern w:val="2"/>
            <w:lang w:val="en-US" w:eastAsia="zh-CN" w:bidi="ar"/>
          </w:rPr>
          <w:t>https://doi.org/10.3390/antibiotics13030238</w:t>
        </w:r>
      </w:hyperlink>
    </w:p>
    <w:p w14:paraId="3B82C2FD"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Carniello, V., Peterson, B. W., van der Mei, H. C., &amp; Busscher, H. J. (2018). Physico-chemistry from initial bacterial adhesion to surface-programmed biofilm growth. Advances in Colloid and Interface Science, 261, 1</w:t>
      </w:r>
      <w:r>
        <w:rPr>
          <w:rFonts w:eastAsia="Calibri"/>
          <w:kern w:val="2"/>
          <w:lang w:val="en-US" w:eastAsia="zh-CN" w:bidi="ar"/>
        </w:rPr>
        <w:noBreakHyphen/>
        <w:t xml:space="preserve">14. </w:t>
      </w:r>
      <w:hyperlink r:id="rId79" w:history="1">
        <w:r>
          <w:rPr>
            <w:rStyle w:val="Lienhypertexte"/>
            <w:rFonts w:eastAsia="Calibri"/>
            <w:kern w:val="2"/>
            <w:lang w:val="en-US" w:eastAsia="zh-CN" w:bidi="ar"/>
          </w:rPr>
          <w:t>https://doi.org/10.1016/j.cis.2018.10.005</w:t>
        </w:r>
      </w:hyperlink>
    </w:p>
    <w:p w14:paraId="227F3D9A"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Cassini, A., Högberg, L. D., Plachouras, D., Quattrocchi, A., Hoxha, A., Simonsen, G. S., Colomb-Cotinat, M., Kretzschmar, M. E., Devleesschauwer, B., Cecchini, M., Ouakrim, D. A., Oliveira, T. C., Struelens, M. J., Suetens, C., Monnet, D. L., Strauss, R., Mertens, K., Struyf, T., Catry, B., … Hopkins, S. (2019). Attributable deaths and disability-adjusted life-years caused by infections with antibiotic-resistant bacteria in the EU and the European Economic Area in 2015 : A population-level modelling analysis. The Lancet Infectious Diseases, 19(1), 56</w:t>
      </w:r>
      <w:r>
        <w:rPr>
          <w:rFonts w:eastAsia="Calibri"/>
          <w:kern w:val="2"/>
          <w:lang w:val="en-US" w:eastAsia="zh-CN" w:bidi="ar"/>
        </w:rPr>
        <w:noBreakHyphen/>
        <w:t xml:space="preserve">66. </w:t>
      </w:r>
      <w:hyperlink r:id="rId80" w:history="1">
        <w:r>
          <w:rPr>
            <w:rStyle w:val="Lienhypertexte"/>
            <w:rFonts w:eastAsia="Calibri"/>
            <w:kern w:val="2"/>
            <w:lang w:val="en-US" w:eastAsia="zh-CN" w:bidi="ar"/>
          </w:rPr>
          <w:t>https://doi.org/10.1016/S1473-3099(18)30605-4</w:t>
        </w:r>
      </w:hyperlink>
    </w:p>
    <w:p w14:paraId="066B00A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Centeleghe, I., Norville, P., Hughes, L., &amp; Maillard, J.-Y. (2023). Klebsiella pneumoniae survives on surfaces as a dry biofilm. American Journal of Infection Control, 51(10), 1157</w:t>
      </w:r>
      <w:r>
        <w:rPr>
          <w:rFonts w:eastAsia="Calibri"/>
          <w:kern w:val="2"/>
          <w:lang w:val="en-US" w:eastAsia="zh-CN" w:bidi="ar"/>
        </w:rPr>
        <w:noBreakHyphen/>
        <w:t xml:space="preserve">1162. </w:t>
      </w:r>
      <w:hyperlink r:id="rId81" w:history="1">
        <w:r>
          <w:rPr>
            <w:rStyle w:val="Lienhypertexte"/>
            <w:rFonts w:eastAsia="Calibri"/>
            <w:kern w:val="2"/>
            <w:lang w:val="en-US" w:eastAsia="zh-CN" w:bidi="ar"/>
          </w:rPr>
          <w:t>https://doi.org/10.1016/j.ajic.2023.02.009</w:t>
        </w:r>
      </w:hyperlink>
    </w:p>
    <w:p w14:paraId="5205F4D7"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Chabni, N., Regagba, D., Meguenni, K., Ghomari, S. M., &amp; Smahi, M. C. (2015). Facteurs de risque de l’infection nosocomiale au niveau du service de néonatologie polyvalente de l’établissement hospitalier spécialisé mère-enfant de Tlemcen à l’Ouest algérien, « étude cas-témoins ». Journal de Pédiatrie et de Puériculture, 28(2), 71</w:t>
      </w:r>
      <w:r>
        <w:rPr>
          <w:rFonts w:eastAsia="Calibri"/>
          <w:kern w:val="2"/>
          <w:lang w:val="fr" w:eastAsia="zh-CN" w:bidi="ar"/>
        </w:rPr>
        <w:noBreakHyphen/>
        <w:t xml:space="preserve">79. </w:t>
      </w:r>
      <w:hyperlink r:id="rId82" w:history="1">
        <w:r>
          <w:rPr>
            <w:rStyle w:val="Lienhypertexte"/>
            <w:rFonts w:eastAsia="Calibri"/>
            <w:kern w:val="2"/>
            <w:lang w:val="fr" w:eastAsia="zh-CN" w:bidi="ar"/>
          </w:rPr>
          <w:t>https://doi.org/10.1016/j.jpp.2015.02.006</w:t>
        </w:r>
      </w:hyperlink>
    </w:p>
    <w:p w14:paraId="498ECFF2"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Chaib, Y., ELanssari, A., Aouane, M., Hamama, S., Oujar, N., Chakhtoura, K., Chibani, A., Nehir, M., &amp; Soulaymani, A. (2016). Les facteurs liés aux patients hospitalisés favorisant l’infection nosocomiale [The factors related to the patients hospitalized favoured nosocomial infections]. International Journal of Innovation and Applied Studies, 14(2), 472.</w:t>
      </w:r>
    </w:p>
    <w:p w14:paraId="06CC49B7"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Chakraverty, R., &amp; Kundu, A. K. (2024). Introduction to Nosocomial Infection. In R. Chakraverty &amp; A. K. Kundu (Éds.), Hospital-Acquired Infections in Intensive Care Unit and their Management : The Indian Perspective (p. 1</w:t>
      </w:r>
      <w:r>
        <w:rPr>
          <w:rFonts w:eastAsia="Calibri"/>
          <w:kern w:val="2"/>
          <w:lang w:val="en-US" w:eastAsia="zh-CN" w:bidi="ar"/>
        </w:rPr>
        <w:noBreakHyphen/>
        <w:t xml:space="preserve">12). </w:t>
      </w:r>
      <w:r>
        <w:rPr>
          <w:rFonts w:eastAsia="Calibri"/>
          <w:kern w:val="2"/>
          <w:lang w:val="fr" w:eastAsia="zh-CN" w:bidi="ar"/>
        </w:rPr>
        <w:t xml:space="preserve">Springer Nature. </w:t>
      </w:r>
      <w:hyperlink r:id="rId83" w:history="1">
        <w:r>
          <w:rPr>
            <w:rStyle w:val="Lienhypertexte"/>
            <w:rFonts w:eastAsia="Calibri"/>
            <w:kern w:val="2"/>
            <w:lang w:val="fr" w:eastAsia="zh-CN" w:bidi="ar"/>
          </w:rPr>
          <w:t>https://doi.org/10.1007/978-981-96-0018-2_1</w:t>
        </w:r>
      </w:hyperlink>
    </w:p>
    <w:p w14:paraId="663499F1"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ChapElAin, L. (2023). L’antibiorésistance, une menace de premier plan. Actualités Pharmaceutiques, 62(627), 23</w:t>
      </w:r>
      <w:r>
        <w:rPr>
          <w:rFonts w:eastAsia="Calibri"/>
          <w:kern w:val="2"/>
          <w:lang w:val="fr" w:eastAsia="zh-CN" w:bidi="ar"/>
        </w:rPr>
        <w:noBreakHyphen/>
        <w:t xml:space="preserve">26. </w:t>
      </w:r>
      <w:hyperlink r:id="rId84" w:history="1">
        <w:r>
          <w:rPr>
            <w:rStyle w:val="Lienhypertexte"/>
            <w:rFonts w:eastAsia="Calibri"/>
            <w:kern w:val="2"/>
            <w:lang w:val="fr" w:eastAsia="zh-CN" w:bidi="ar"/>
          </w:rPr>
          <w:t>https://doi.org/10.1016/j.actpha.2023.03.043</w:t>
        </w:r>
      </w:hyperlink>
    </w:p>
    <w:p w14:paraId="0B028FB1"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sidRPr="00525786">
        <w:rPr>
          <w:rFonts w:eastAsia="Calibri"/>
          <w:kern w:val="2"/>
          <w:lang w:val="en-US" w:eastAsia="zh-CN" w:bidi="ar"/>
        </w:rPr>
        <w:t xml:space="preserve">Chaudhary, M., Kumar, V., &amp; Singh, S. (2019). </w:t>
      </w:r>
      <w:r>
        <w:rPr>
          <w:rFonts w:eastAsia="Calibri"/>
          <w:kern w:val="2"/>
          <w:lang w:val="en-US" w:eastAsia="zh-CN" w:bidi="ar"/>
        </w:rPr>
        <w:t>A Review of Methicillin-Resistant Staphylococcus aureus (MRSA) : Characterization, Prevalence, and Antibiotic Reactions on Humans in India. Journal of Biomedical and Pharmaceutical Research, 8(6), 1</w:t>
      </w:r>
      <w:r>
        <w:rPr>
          <w:rFonts w:eastAsia="Calibri"/>
          <w:kern w:val="2"/>
          <w:lang w:val="en-US" w:eastAsia="zh-CN" w:bidi="ar"/>
        </w:rPr>
        <w:noBreakHyphen/>
        <w:t>5.</w:t>
      </w:r>
    </w:p>
    <w:p w14:paraId="7C4F244E"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Chavan, D., Khatoon, H., Anokhe, A., &amp; Kalia, V. (2022). Oxidase test : A biochemical method in bacterial identification. AgriCos e-Newsletter, 3, 31</w:t>
      </w:r>
      <w:r>
        <w:rPr>
          <w:rFonts w:eastAsia="Calibri"/>
          <w:kern w:val="2"/>
          <w:lang w:val="en-US" w:eastAsia="zh-CN" w:bidi="ar"/>
        </w:rPr>
        <w:noBreakHyphen/>
        <w:t>33.</w:t>
      </w:r>
    </w:p>
    <w:p w14:paraId="0330CE95"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Cho, J.-H., Rathnasingh, C., Song, H., Chung, B.-W., Lee, H. J., &amp; Seung, D. (2012). Fermentation and evaluation of Klebsiella pneumoniae and K. oxytoca on the production of 2,3-butanediol. Bioprocess and Biosystems Engineering, 35(7), 1081</w:t>
      </w:r>
      <w:r>
        <w:rPr>
          <w:rFonts w:eastAsia="Calibri"/>
          <w:kern w:val="2"/>
          <w:lang w:val="en-US" w:eastAsia="zh-CN" w:bidi="ar"/>
        </w:rPr>
        <w:noBreakHyphen/>
        <w:t xml:space="preserve">1088. </w:t>
      </w:r>
      <w:hyperlink r:id="rId85" w:history="1">
        <w:r>
          <w:rPr>
            <w:rStyle w:val="Lienhypertexte"/>
            <w:rFonts w:eastAsia="Calibri"/>
            <w:kern w:val="2"/>
            <w:lang w:val="en-US" w:eastAsia="zh-CN" w:bidi="ar"/>
          </w:rPr>
          <w:t>https://doi.org/10.1007/s00449-012-0691-7</w:t>
        </w:r>
      </w:hyperlink>
    </w:p>
    <w:p w14:paraId="0271E28E"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Chouchene, I., Bouafia, N., Cheikh, A. B., Toumi, B., Mahjoub, M., Bannour, W., Helali, R., Njah, M., &amp; Bouchoucha, S. (2015). </w:t>
      </w:r>
      <w:r>
        <w:rPr>
          <w:rFonts w:eastAsia="Calibri"/>
          <w:kern w:val="2"/>
          <w:lang w:val="fr" w:eastAsia="zh-CN" w:bidi="ar"/>
        </w:rPr>
        <w:t>Incidence des infections associées aux dispositifs médicaux dans un service de réanimation tunisien. Santé Publique, 27(1), 69</w:t>
      </w:r>
      <w:r>
        <w:rPr>
          <w:rFonts w:eastAsia="Calibri"/>
          <w:kern w:val="2"/>
          <w:lang w:val="fr" w:eastAsia="zh-CN" w:bidi="ar"/>
        </w:rPr>
        <w:noBreakHyphen/>
        <w:t xml:space="preserve">78. </w:t>
      </w:r>
      <w:hyperlink r:id="rId86" w:history="1">
        <w:r>
          <w:rPr>
            <w:rStyle w:val="Lienhypertexte"/>
            <w:rFonts w:eastAsia="Calibri"/>
            <w:kern w:val="2"/>
            <w:lang w:val="fr" w:eastAsia="zh-CN" w:bidi="ar"/>
          </w:rPr>
          <w:t>https://doi.org/10.3917/spub.151.0069</w:t>
        </w:r>
      </w:hyperlink>
    </w:p>
    <w:p w14:paraId="660D0C72"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Cillóniz, C., Garcia-Vidal, C., Ceccato, A., &amp; Torres, A. (2018). </w:t>
      </w:r>
      <w:r>
        <w:rPr>
          <w:rFonts w:eastAsia="Calibri"/>
          <w:kern w:val="2"/>
          <w:lang w:val="en-US" w:eastAsia="zh-CN" w:bidi="ar"/>
        </w:rPr>
        <w:t>Antimicrobial Resistance Among Streptococcus pneumoniae. In I. W. Fong, D. Shlaes, &amp; K. Drlica (Éds.), Antimicrobial Resistance in the 21st Century (p. 13</w:t>
      </w:r>
      <w:r>
        <w:rPr>
          <w:rFonts w:eastAsia="Calibri"/>
          <w:kern w:val="2"/>
          <w:lang w:val="en-US" w:eastAsia="zh-CN" w:bidi="ar"/>
        </w:rPr>
        <w:noBreakHyphen/>
        <w:t xml:space="preserve">38). Springer International Publishing. </w:t>
      </w:r>
      <w:hyperlink r:id="rId87" w:history="1">
        <w:r>
          <w:rPr>
            <w:rStyle w:val="Lienhypertexte"/>
            <w:rFonts w:eastAsia="Calibri"/>
            <w:kern w:val="2"/>
            <w:lang w:val="en-US" w:eastAsia="zh-CN" w:bidi="ar"/>
          </w:rPr>
          <w:t>https://doi.org/10.1007/978-3-319-78538-7_2</w:t>
        </w:r>
      </w:hyperlink>
    </w:p>
    <w:p w14:paraId="1DA35E5C"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Claussen, M., &amp; Schmidt, S. (2023). Draft Genome of an AmpC-</w:t>
      </w:r>
      <w:r>
        <w:rPr>
          <w:rFonts w:eastAsia="Calibri"/>
          <w:kern w:val="2"/>
          <w:lang w:val="fr" w:eastAsia="zh-CN" w:bidi="ar"/>
        </w:rPr>
        <w:t>β</w:t>
      </w:r>
      <w:r>
        <w:rPr>
          <w:rFonts w:eastAsia="Calibri"/>
          <w:kern w:val="2"/>
          <w:lang w:val="en-US" w:eastAsia="zh-CN" w:bidi="ar"/>
        </w:rPr>
        <w:t>-Lactamase Producing Serratia marcescens Isolate from Fresh farm Tomatoes in South Africa. 51(3), 309</w:t>
      </w:r>
      <w:r>
        <w:rPr>
          <w:rFonts w:eastAsia="Calibri"/>
          <w:kern w:val="2"/>
          <w:lang w:val="en-US" w:eastAsia="zh-CN" w:bidi="ar"/>
        </w:rPr>
        <w:noBreakHyphen/>
        <w:t xml:space="preserve">313. </w:t>
      </w:r>
      <w:hyperlink r:id="rId88" w:history="1">
        <w:r>
          <w:rPr>
            <w:rStyle w:val="Lienhypertexte"/>
            <w:rFonts w:eastAsia="Calibri"/>
            <w:kern w:val="2"/>
            <w:lang w:val="en-US" w:eastAsia="zh-CN" w:bidi="ar"/>
          </w:rPr>
          <w:t>https://doi.org/10.48022/mbl.2307.07004</w:t>
        </w:r>
      </w:hyperlink>
    </w:p>
    <w:p w14:paraId="1F679F4E" w14:textId="77777777" w:rsidR="00B611D1" w:rsidRDefault="00FB7689">
      <w:pPr>
        <w:pStyle w:val="NormalWeb"/>
        <w:spacing w:before="0" w:beforeAutospacing="0" w:after="200" w:afterAutospacing="0" w:line="360" w:lineRule="auto"/>
        <w:jc w:val="both"/>
        <w:rPr>
          <w:lang w:val="en-US"/>
        </w:rPr>
      </w:pPr>
      <w:r>
        <w:rPr>
          <w:rFonts w:eastAsia="Calibri"/>
          <w:kern w:val="2"/>
          <w:lang w:val="en-US" w:eastAsia="zh-CN" w:bidi="ar"/>
        </w:rPr>
        <w:t>Collaborators, A. R. (2022). Global burden of bacterial antimicrobial resistance in 2019 : A systematic analysis. Lancet, 399(10325), 629</w:t>
      </w:r>
      <w:r>
        <w:rPr>
          <w:rFonts w:eastAsia="Calibri"/>
          <w:kern w:val="2"/>
          <w:lang w:val="en-US" w:eastAsia="zh-CN" w:bidi="ar"/>
        </w:rPr>
        <w:noBreakHyphen/>
        <w:t>655.</w:t>
      </w:r>
    </w:p>
    <w:p w14:paraId="6557296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Cong, Y., Yang, S., &amp; Rao, X. (2020). Vancomycin resistant Staphylococcus aureus infections : A review of case updating and clinical features. Journal of Advanced Research, 21, 169</w:t>
      </w:r>
      <w:r>
        <w:rPr>
          <w:rFonts w:eastAsia="Calibri"/>
          <w:kern w:val="2"/>
          <w:lang w:val="en-US" w:eastAsia="zh-CN" w:bidi="ar"/>
        </w:rPr>
        <w:noBreakHyphen/>
        <w:t xml:space="preserve">176. </w:t>
      </w:r>
      <w:hyperlink r:id="rId89" w:history="1">
        <w:r>
          <w:rPr>
            <w:rStyle w:val="Lienhypertexte"/>
            <w:rFonts w:eastAsia="Calibri"/>
            <w:kern w:val="2"/>
            <w:lang w:val="en-US" w:eastAsia="zh-CN" w:bidi="ar"/>
          </w:rPr>
          <w:t>https://doi.org/10.1016/j.jare.2019.10.005</w:t>
        </w:r>
      </w:hyperlink>
    </w:p>
    <w:p w14:paraId="5BDD66B5"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Cosimato, I., Santella, B., Rufolo, S., Sabatini, P., Galdiero, M., Capunzo, M., Boccia, G., Folliero, V., &amp; Franci, G. (2024). Current Epidemiological Status and Antibiotic Resistance Profile of Serratia marcescens. </w:t>
      </w:r>
      <w:r>
        <w:rPr>
          <w:rFonts w:eastAsia="Calibri"/>
          <w:kern w:val="2"/>
          <w:lang w:val="fr" w:eastAsia="zh-CN" w:bidi="ar"/>
        </w:rPr>
        <w:t xml:space="preserve">Antibiotics, 13(4), Article 4. </w:t>
      </w:r>
      <w:hyperlink r:id="rId90" w:history="1">
        <w:r>
          <w:rPr>
            <w:rStyle w:val="Lienhypertexte"/>
            <w:rFonts w:eastAsia="Calibri"/>
            <w:kern w:val="2"/>
            <w:lang w:val="fr" w:eastAsia="zh-CN" w:bidi="ar"/>
          </w:rPr>
          <w:t>https://doi.org/10.3390/antibiotics13040323</w:t>
        </w:r>
      </w:hyperlink>
    </w:p>
    <w:p w14:paraId="57BA105C"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Cristina, M. L., Sartini, M., &amp; Spagnolo, A. M. (2019). </w:t>
      </w:r>
      <w:r>
        <w:rPr>
          <w:rFonts w:eastAsia="Calibri"/>
          <w:kern w:val="2"/>
          <w:lang w:val="en-US" w:eastAsia="zh-CN" w:bidi="ar"/>
        </w:rPr>
        <w:t xml:space="preserve">Serratia marcescens Infections in Neonatal Intensive Care Units (NICUs). International Journal of Environmental Research and Public Health, 16(4), Article 4. </w:t>
      </w:r>
      <w:hyperlink r:id="rId91" w:history="1">
        <w:r>
          <w:rPr>
            <w:rStyle w:val="Lienhypertexte"/>
            <w:rFonts w:eastAsia="Calibri"/>
            <w:kern w:val="2"/>
            <w:lang w:val="en-US" w:eastAsia="zh-CN" w:bidi="ar"/>
          </w:rPr>
          <w:t>https://doi.org/10.3390/ijerph16040610</w:t>
        </w:r>
      </w:hyperlink>
    </w:p>
    <w:p w14:paraId="181274C3"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Da, L., Somé, D., Yehouenou, C., Somé, C., Zoungrana, J., Ouédraogo, A.-S., Lienhardt, C., &amp; Poda, A. (2023). </w:t>
      </w:r>
      <w:r>
        <w:rPr>
          <w:rFonts w:eastAsia="Calibri"/>
          <w:kern w:val="2"/>
          <w:lang w:val="fr" w:eastAsia="zh-CN" w:bidi="ar"/>
        </w:rPr>
        <w:t>État des lieux de la résistance aux antibiotiques en Afrique subsaharienne. Médecine et Maladies Infectieuses Formation, 2(1), 3</w:t>
      </w:r>
      <w:r>
        <w:rPr>
          <w:rFonts w:eastAsia="Calibri"/>
          <w:kern w:val="2"/>
          <w:lang w:val="fr" w:eastAsia="zh-CN" w:bidi="ar"/>
        </w:rPr>
        <w:noBreakHyphen/>
        <w:t xml:space="preserve">12. </w:t>
      </w:r>
      <w:hyperlink r:id="rId92" w:history="1">
        <w:r>
          <w:rPr>
            <w:rStyle w:val="Lienhypertexte"/>
            <w:rFonts w:eastAsia="Calibri"/>
            <w:kern w:val="2"/>
            <w:lang w:val="fr" w:eastAsia="zh-CN" w:bidi="ar"/>
          </w:rPr>
          <w:t>https://doi.org/10.1016/j.mmifmc.2023.01.003</w:t>
        </w:r>
      </w:hyperlink>
    </w:p>
    <w:p w14:paraId="1716206E"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Dabo, G., Traoré, A. M., Touré, M. K., Allassem-Dingambaye, M., Sy, D., Sogodogo, D., Cissé, T., Ouologuem, S. D., &amp; Soukho-Kaya, A. (2022). Evaluation de la pratique et des risques d’infection nosocomiale lors du sondage urinaire dans les services de médecine du CHU du Point G, à Bamako. </w:t>
      </w:r>
      <w:r>
        <w:rPr>
          <w:rFonts w:eastAsia="Calibri"/>
          <w:kern w:val="2"/>
          <w:lang w:val="en-US" w:eastAsia="zh-CN" w:bidi="ar"/>
        </w:rPr>
        <w:t xml:space="preserve">HEALTH SCIENCES AND DISEASE, 23(2). </w:t>
      </w:r>
      <w:hyperlink r:id="rId93" w:history="1">
        <w:r>
          <w:rPr>
            <w:rStyle w:val="Lienhypertexte"/>
            <w:rFonts w:eastAsia="Calibri"/>
            <w:kern w:val="2"/>
            <w:lang w:val="en-US" w:eastAsia="zh-CN" w:bidi="ar"/>
          </w:rPr>
          <w:t>http://hsd-fmsb.org/index.php/hsd/article/view/3329</w:t>
        </w:r>
      </w:hyperlink>
    </w:p>
    <w:p w14:paraId="46E6C94B"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Dadgostar, P. (2019). Antimicrobial Resistance : Implications and Costs. Infection and Drug Resistance, Volume 12, 3903</w:t>
      </w:r>
      <w:r>
        <w:rPr>
          <w:rFonts w:eastAsia="Calibri"/>
          <w:kern w:val="2"/>
          <w:lang w:val="en-US" w:eastAsia="zh-CN" w:bidi="ar"/>
        </w:rPr>
        <w:noBreakHyphen/>
        <w:t xml:space="preserve">3910. </w:t>
      </w:r>
      <w:hyperlink r:id="rId94" w:history="1">
        <w:r>
          <w:rPr>
            <w:rStyle w:val="Lienhypertexte"/>
            <w:rFonts w:eastAsia="Calibri"/>
            <w:kern w:val="2"/>
            <w:lang w:val="en-US" w:eastAsia="zh-CN" w:bidi="ar"/>
          </w:rPr>
          <w:t>https://doi.org/10.2147/IDR.S234610</w:t>
        </w:r>
      </w:hyperlink>
    </w:p>
    <w:p w14:paraId="1EC517F7"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D’Alessandro, D., &amp; Fara, G. M. (2017). Hospital Environments and Epidemiology of Healthcare-Associated Infections. In S. Capolongo, G. Settimo, &amp; M. Gola (Éds.), Indoor Air Quality in Healthcare Facilities (p. 41</w:t>
      </w:r>
      <w:r>
        <w:rPr>
          <w:rFonts w:eastAsia="Calibri"/>
          <w:kern w:val="2"/>
          <w:lang w:val="en-US" w:eastAsia="zh-CN" w:bidi="ar"/>
        </w:rPr>
        <w:noBreakHyphen/>
        <w:t xml:space="preserve">52). </w:t>
      </w:r>
      <w:r>
        <w:rPr>
          <w:rFonts w:eastAsia="Calibri"/>
          <w:kern w:val="2"/>
          <w:lang w:val="fr" w:eastAsia="zh-CN" w:bidi="ar"/>
        </w:rPr>
        <w:t xml:space="preserve">Springer International Publishing. </w:t>
      </w:r>
      <w:hyperlink r:id="rId95" w:history="1">
        <w:r>
          <w:rPr>
            <w:rStyle w:val="Lienhypertexte"/>
            <w:rFonts w:eastAsia="Calibri"/>
            <w:kern w:val="2"/>
            <w:lang w:val="fr" w:eastAsia="zh-CN" w:bidi="ar"/>
          </w:rPr>
          <w:t>https://doi.org/10.1007/978-3-319-49160-8_4</w:t>
        </w:r>
      </w:hyperlink>
    </w:p>
    <w:p w14:paraId="0A3530C8"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 xml:space="preserve">Dhalluin, E. (2018). Optimisation de la prise en charge de la dermatite atopique par la gestion de la corticophobie du pharmacien à l’officine [PhD Thesis]. </w:t>
      </w:r>
      <w:hyperlink r:id="rId96" w:history="1">
        <w:r>
          <w:rPr>
            <w:rStyle w:val="Lienhypertexte"/>
            <w:rFonts w:eastAsia="Calibri"/>
            <w:kern w:val="2"/>
            <w:lang w:val="fr" w:eastAsia="zh-CN" w:bidi="ar"/>
          </w:rPr>
          <w:t>https://pepite-depot.univ-lille.fr/LIBRE/Th_Pharma/2018/2018LILUE028.pdf</w:t>
        </w:r>
      </w:hyperlink>
    </w:p>
    <w:p w14:paraId="359D1829"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Diassana, A. (2018). Identification des souches D’Escherichia coli dans les selles en rapport avec la malnutrition a dioro [PhD Thesis]. thèse de doctorat, Université des Sciences des Techniques et des ….</w:t>
      </w:r>
    </w:p>
    <w:p w14:paraId="66B4BCE0"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Dubuis, A. (2021). Brûlures graves à la face : Une métamorphose accidentelle « ex-peau-sée » au regard des autres. Corps, 19(1), 449</w:t>
      </w:r>
      <w:r>
        <w:rPr>
          <w:rFonts w:eastAsia="Calibri"/>
          <w:kern w:val="2"/>
          <w:lang w:val="fr" w:eastAsia="zh-CN" w:bidi="ar"/>
        </w:rPr>
        <w:noBreakHyphen/>
        <w:t xml:space="preserve">459. </w:t>
      </w:r>
      <w:hyperlink r:id="rId97" w:history="1">
        <w:r>
          <w:rPr>
            <w:rStyle w:val="Lienhypertexte"/>
            <w:rFonts w:eastAsia="Calibri"/>
            <w:kern w:val="2"/>
            <w:lang w:val="fr" w:eastAsia="zh-CN" w:bidi="ar"/>
          </w:rPr>
          <w:t>https://doi.org/10.3917/corp1.019.0449</w:t>
        </w:r>
      </w:hyperlink>
    </w:p>
    <w:p w14:paraId="3EBED15D"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El ayne Nabila, S., Adil, E., Abedelaziz, C., Nabila, A., Samir, H., &amp; Abdelmajid, S. (2014). ROLE DE L’ENVIRONNEMENT HOSPITALIER DANS LA PREVENTION DES INFECTIONS NOSOCOMIALES : SURVEILLANCE DE LA FLORE DES SURFACES A L’HOPITAL EL IDRISSI DE KENITRA-MAROC. European Scientific Journal, 10(9).</w:t>
      </w:r>
    </w:p>
    <w:p w14:paraId="3972BD85"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El bouamri, M. C., Arsalane, L., Kamouni, Y., Yahyaoui, H., Bennouar, N., Berraha, M., &amp; Zouhair, S. (2014). Profil actuel de résistance aux antibiotiques des souches d’Escherichia coli uropathogènes et conséquences thérapeutiques. Progrès en Urologie, 24(16), 1058</w:t>
      </w:r>
      <w:r>
        <w:rPr>
          <w:rFonts w:eastAsia="Calibri"/>
          <w:kern w:val="2"/>
          <w:lang w:val="fr" w:eastAsia="zh-CN" w:bidi="ar"/>
        </w:rPr>
        <w:noBreakHyphen/>
        <w:t xml:space="preserve">1062. </w:t>
      </w:r>
      <w:hyperlink r:id="rId98" w:history="1">
        <w:r>
          <w:rPr>
            <w:rStyle w:val="Lienhypertexte"/>
            <w:rFonts w:eastAsia="Calibri"/>
            <w:kern w:val="2"/>
            <w:lang w:val="fr" w:eastAsia="zh-CN" w:bidi="ar"/>
          </w:rPr>
          <w:t>https://doi.org/10.1016/j.purol.2014.09.035</w:t>
        </w:r>
      </w:hyperlink>
    </w:p>
    <w:p w14:paraId="01DD5DE7"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El Rhazi, K., Elfakir, S., Berraho, M., Tachfouti, N., Serhier, Z., Kanjaa, C., &amp; Nejjari, C. (2007). Prévalence et facteurs de risque des infections nosocomiales au CHU Hassan II de Fès (Maroc). Eastern Mediterranean Health Journal, 13(1), 56.</w:t>
      </w:r>
    </w:p>
    <w:p w14:paraId="24681E71" w14:textId="77777777" w:rsidR="00B611D1" w:rsidRDefault="00FB7689">
      <w:pPr>
        <w:pStyle w:val="NormalWeb"/>
        <w:spacing w:before="0" w:beforeAutospacing="0" w:after="200" w:afterAutospacing="0" w:line="360" w:lineRule="auto"/>
        <w:jc w:val="both"/>
        <w:rPr>
          <w:lang w:val="fr"/>
        </w:rPr>
      </w:pPr>
      <w:r>
        <w:rPr>
          <w:rFonts w:eastAsia="Calibri"/>
          <w:kern w:val="2"/>
          <w:lang w:val="fr" w:eastAsia="zh-CN" w:bidi="ar"/>
        </w:rPr>
        <w:t>Emaleu, S. B. (2017). Prévention des infections en milieu hospitalier. Editions Publibook.</w:t>
      </w:r>
    </w:p>
    <w:p w14:paraId="49649F62"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Essola, L., Makao, A. I., Methe, L. B., Manga, F., Badehrwa, A., &amp; Zue, A. S. (2023). Sensibilité des Bactéries Responsables d’Infections Nosocomiales en Réanimation à Libreville en 2021. </w:t>
      </w:r>
      <w:r>
        <w:rPr>
          <w:rFonts w:eastAsia="Calibri"/>
          <w:kern w:val="2"/>
          <w:lang w:val="en-US" w:eastAsia="zh-CN" w:bidi="ar"/>
        </w:rPr>
        <w:t xml:space="preserve">HEALTH SCIENCES AND DISEASE, 24(5), Article 5. </w:t>
      </w:r>
      <w:hyperlink r:id="rId99" w:history="1">
        <w:r>
          <w:rPr>
            <w:rStyle w:val="Lienhypertexte"/>
            <w:rFonts w:eastAsia="Calibri"/>
            <w:kern w:val="2"/>
            <w:lang w:val="en-US" w:eastAsia="zh-CN" w:bidi="ar"/>
          </w:rPr>
          <w:t>https://doi.org/10.5281/hsd.v24i5.4411</w:t>
        </w:r>
      </w:hyperlink>
    </w:p>
    <w:p w14:paraId="34434446"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Ezzahra, G. F. (2014). Les infections associées aux soins : Revue de la littérature. </w:t>
      </w:r>
      <w:hyperlink r:id="rId100" w:history="1">
        <w:r>
          <w:rPr>
            <w:rStyle w:val="Lienhypertexte"/>
            <w:rFonts w:eastAsia="Calibri"/>
            <w:kern w:val="2"/>
            <w:lang w:val="en-US" w:eastAsia="zh-CN" w:bidi="ar"/>
          </w:rPr>
          <w:t>https://toubkal.imist.ma/bitstream/handle/123456789/18923/P0872014.pdf?sequence=1</w:t>
        </w:r>
      </w:hyperlink>
    </w:p>
    <w:p w14:paraId="139F0AD2"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Fàbrega, A., Madurga, S., Giralt, E., &amp; Vila, J. (2009). Mechanism of action of and resistance to quinolones. </w:t>
      </w:r>
      <w:r>
        <w:rPr>
          <w:rFonts w:eastAsia="Calibri"/>
          <w:kern w:val="2"/>
          <w:lang w:val="fr" w:eastAsia="zh-CN" w:bidi="ar"/>
        </w:rPr>
        <w:t>Microbial Biotechnology, 2(1), 40</w:t>
      </w:r>
      <w:r>
        <w:rPr>
          <w:rFonts w:eastAsia="Calibri"/>
          <w:kern w:val="2"/>
          <w:lang w:val="fr" w:eastAsia="zh-CN" w:bidi="ar"/>
        </w:rPr>
        <w:noBreakHyphen/>
        <w:t xml:space="preserve">61. </w:t>
      </w:r>
      <w:hyperlink r:id="rId101" w:history="1">
        <w:r>
          <w:rPr>
            <w:rStyle w:val="Lienhypertexte"/>
            <w:rFonts w:eastAsia="Calibri"/>
            <w:kern w:val="2"/>
            <w:lang w:val="fr" w:eastAsia="zh-CN" w:bidi="ar"/>
          </w:rPr>
          <w:t>https://doi.org/10.1111/j.1751-7915.2008.00063.x</w:t>
        </w:r>
      </w:hyperlink>
    </w:p>
    <w:p w14:paraId="576EE883" w14:textId="77777777" w:rsidR="00B611D1" w:rsidRDefault="00FB7689">
      <w:pPr>
        <w:pStyle w:val="NormalWeb"/>
        <w:spacing w:before="0" w:beforeAutospacing="0" w:after="200" w:afterAutospacing="0" w:line="360" w:lineRule="auto"/>
        <w:jc w:val="both"/>
        <w:rPr>
          <w:lang w:val="en-US"/>
        </w:rPr>
      </w:pPr>
      <w:r>
        <w:rPr>
          <w:rFonts w:eastAsia="Calibri"/>
          <w:kern w:val="2"/>
          <w:lang w:val="fr" w:eastAsia="zh-CN" w:bidi="ar"/>
        </w:rPr>
        <w:t xml:space="preserve">Figarella, J., Leyral, G., &amp; Terret, M. (2004). Microbiologie générale et appliquée. </w:t>
      </w:r>
      <w:r>
        <w:rPr>
          <w:rFonts w:eastAsia="Calibri"/>
          <w:kern w:val="2"/>
          <w:lang w:val="en-US" w:eastAsia="zh-CN" w:bidi="ar"/>
        </w:rPr>
        <w:t>Ed. J. Lanore.</w:t>
      </w:r>
    </w:p>
    <w:p w14:paraId="54DADBB4"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Firesbhat, A., Tigabu, A., Tegene, B., &amp; Gelaw, B. (2021). Bacterial profile of high-touch surfaces, leftover drugs and antiseptics together with their antimicrobial susceptibility patterns at University of Gondar Comprehensive Specialized Hospital, Northwest Ethiopia. BMC Microbiology, 21(1), 309. </w:t>
      </w:r>
      <w:hyperlink r:id="rId102" w:history="1">
        <w:r>
          <w:rPr>
            <w:rStyle w:val="Lienhypertexte"/>
            <w:rFonts w:eastAsia="Calibri"/>
            <w:kern w:val="2"/>
            <w:lang w:val="en-US" w:eastAsia="zh-CN" w:bidi="ar"/>
          </w:rPr>
          <w:t>https://doi.org/10.1186/s12866-021-02378-w</w:t>
        </w:r>
      </w:hyperlink>
    </w:p>
    <w:p w14:paraId="6B2B7ABB"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Fopossi, Y. J. W. (2024). </w:t>
      </w:r>
      <w:r>
        <w:rPr>
          <w:rFonts w:eastAsia="Calibri"/>
          <w:kern w:val="2"/>
          <w:lang w:val="fr" w:eastAsia="zh-CN" w:bidi="ar"/>
        </w:rPr>
        <w:t xml:space="preserve">Etude des profils bactériologies des infections associées aux soins dans le service de réanimation du CHU Gabriel Toure [Thesis, USTTB]. </w:t>
      </w:r>
      <w:hyperlink r:id="rId103" w:history="1">
        <w:r>
          <w:rPr>
            <w:rStyle w:val="Lienhypertexte"/>
            <w:rFonts w:eastAsia="Calibri"/>
            <w:kern w:val="2"/>
            <w:lang w:val="fr" w:eastAsia="zh-CN" w:bidi="ar"/>
          </w:rPr>
          <w:t>https://www.bibliosante.ml/handle/123456789/13680</w:t>
        </w:r>
      </w:hyperlink>
    </w:p>
    <w:p w14:paraId="7E1038D0"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FR" w:eastAsia="zh-CN" w:bidi="ar"/>
        </w:rPr>
        <w:t xml:space="preserve">Friedman, N. D., Temkin, E., &amp; Carmeli, Y. (2016). </w:t>
      </w:r>
      <w:r>
        <w:rPr>
          <w:rFonts w:eastAsia="Calibri"/>
          <w:kern w:val="2"/>
          <w:lang w:val="en-US" w:eastAsia="zh-CN" w:bidi="ar"/>
        </w:rPr>
        <w:t>The negative impact of antibiotic resistance. Clinical Microbiology and Infection, 22(5), 416</w:t>
      </w:r>
      <w:r>
        <w:rPr>
          <w:rFonts w:eastAsia="Calibri"/>
          <w:kern w:val="2"/>
          <w:lang w:val="en-US" w:eastAsia="zh-CN" w:bidi="ar"/>
        </w:rPr>
        <w:noBreakHyphen/>
        <w:t xml:space="preserve">422. </w:t>
      </w:r>
      <w:hyperlink r:id="rId104" w:history="1">
        <w:r>
          <w:rPr>
            <w:rStyle w:val="Lienhypertexte"/>
            <w:rFonts w:eastAsia="Calibri"/>
            <w:kern w:val="2"/>
            <w:lang w:val="en-US" w:eastAsia="zh-CN" w:bidi="ar"/>
          </w:rPr>
          <w:t>https://doi.org/10.1016/j.cmi.2015.12.002</w:t>
        </w:r>
      </w:hyperlink>
    </w:p>
    <w:p w14:paraId="4F607E85"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Frigui, S., Bourbiaa, Y., Mokline, A., Naija, H., Messadi, A. A., &amp; Thabet, L. (2021). </w:t>
      </w:r>
      <w:r>
        <w:rPr>
          <w:rFonts w:eastAsia="Calibri"/>
          <w:kern w:val="2"/>
          <w:lang w:val="fr" w:eastAsia="zh-CN" w:bidi="ar"/>
        </w:rPr>
        <w:t>Bactériémies Nosocomiales : Épidémiologie Clinique Et Bactériologique Chez Les Brûlés. Annals of Burns and Fire Disasters, 34(1), 10</w:t>
      </w:r>
      <w:r>
        <w:rPr>
          <w:rFonts w:eastAsia="Calibri"/>
          <w:kern w:val="2"/>
          <w:lang w:val="fr" w:eastAsia="zh-CN" w:bidi="ar"/>
        </w:rPr>
        <w:noBreakHyphen/>
        <w:t>17.</w:t>
      </w:r>
    </w:p>
    <w:p w14:paraId="43E29101"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 xml:space="preserve">Gadiaga, F. (2022). Etude relative aux infections nosocomiales et à la responsabilité des établissements de santé : Les cas de la France et du Mali [PhD Thesis, Normandie Université]. </w:t>
      </w:r>
      <w:hyperlink r:id="rId105" w:history="1">
        <w:r>
          <w:rPr>
            <w:rStyle w:val="Lienhypertexte"/>
            <w:rFonts w:eastAsia="Calibri"/>
            <w:kern w:val="2"/>
            <w:lang w:val="fr" w:eastAsia="zh-CN" w:bidi="ar"/>
          </w:rPr>
          <w:t>https://theses.hal.science/tel-03885826</w:t>
        </w:r>
      </w:hyperlink>
    </w:p>
    <w:p w14:paraId="65E1A149"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 xml:space="preserve">Gauba, A., &amp; Rahman, K. M. (2023). </w:t>
      </w:r>
      <w:r>
        <w:rPr>
          <w:rFonts w:eastAsia="Calibri"/>
          <w:kern w:val="2"/>
          <w:lang w:val="en-US" w:eastAsia="zh-CN" w:bidi="ar"/>
        </w:rPr>
        <w:t xml:space="preserve">Evaluation of Antibiotic Resistance Mechanisms in Gram-Negative Bacteria. </w:t>
      </w:r>
      <w:r>
        <w:rPr>
          <w:rFonts w:eastAsia="Calibri"/>
          <w:kern w:val="2"/>
          <w:lang w:val="fr" w:eastAsia="zh-CN" w:bidi="ar"/>
        </w:rPr>
        <w:t xml:space="preserve">Antibiotics, 12(11), Article 11. </w:t>
      </w:r>
      <w:hyperlink r:id="rId106" w:history="1">
        <w:r>
          <w:rPr>
            <w:rStyle w:val="Lienhypertexte"/>
            <w:rFonts w:eastAsia="Calibri"/>
            <w:kern w:val="2"/>
            <w:lang w:val="fr" w:eastAsia="zh-CN" w:bidi="ar"/>
          </w:rPr>
          <w:t>https://doi.org/10.3390/antibiotics12111590</w:t>
        </w:r>
      </w:hyperlink>
    </w:p>
    <w:p w14:paraId="1BF56A21"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Ghernaout-Benchouk, S. (2013). Prevalence du portage nasal de Staphylococcus Aureus : Son role dans L’infection du site operatoire. </w:t>
      </w:r>
      <w:r>
        <w:rPr>
          <w:rFonts w:eastAsia="Calibri"/>
          <w:kern w:val="2"/>
          <w:lang w:val="en-US" w:eastAsia="zh-CN" w:bidi="ar"/>
        </w:rPr>
        <w:t>Faculty of Medecine of B. Benzerdjeb, Aboubekr Benlkaid University, Tlemcen, Algeria.</w:t>
      </w:r>
    </w:p>
    <w:p w14:paraId="30F52A16"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Gomes, T. A. T., Elias, W. P., Scaletsky, I. C. A., Guth, B. E. C., Rodrigues, J. F., Piazza, R. M. F., Ferreira, L. C. S., &amp; Martinez, M. B. (2016). Diarrheagenic Escherichia coli. Brazilian Journal of Microbiology, 47, 3</w:t>
      </w:r>
      <w:r>
        <w:rPr>
          <w:rFonts w:eastAsia="Calibri"/>
          <w:kern w:val="2"/>
          <w:lang w:val="en-US" w:eastAsia="zh-CN" w:bidi="ar"/>
        </w:rPr>
        <w:noBreakHyphen/>
        <w:t xml:space="preserve">30. </w:t>
      </w:r>
      <w:hyperlink r:id="rId107" w:history="1">
        <w:r>
          <w:rPr>
            <w:rStyle w:val="Lienhypertexte"/>
            <w:rFonts w:eastAsia="Calibri"/>
            <w:kern w:val="2"/>
            <w:lang w:val="en-US" w:eastAsia="zh-CN" w:bidi="ar"/>
          </w:rPr>
          <w:t>https://doi.org/10.1016/j.bjm.2016.10.015</w:t>
        </w:r>
      </w:hyperlink>
    </w:p>
    <w:p w14:paraId="485C6D60" w14:textId="77777777" w:rsidR="00B611D1" w:rsidRDefault="00FB7689">
      <w:pPr>
        <w:pStyle w:val="NormalWeb"/>
        <w:spacing w:before="0" w:beforeAutospacing="0" w:after="200" w:afterAutospacing="0" w:line="360" w:lineRule="auto"/>
        <w:jc w:val="both"/>
        <w:rPr>
          <w:lang w:val="fr"/>
        </w:rPr>
      </w:pPr>
      <w:r>
        <w:rPr>
          <w:rFonts w:eastAsia="Calibri"/>
          <w:kern w:val="2"/>
          <w:lang w:val="fr" w:eastAsia="zh-CN" w:bidi="ar"/>
        </w:rPr>
        <w:t>Grand, F.-X. (2008). Les infections nosocomiales des chevaux : Synthèse bibliographique [PhD Thesis].</w:t>
      </w:r>
    </w:p>
    <w:p w14:paraId="1CDCDE7C"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Guairad, T., &amp; Chetouane, A. (2023). Les infections nosocomiales au niveau du centre hospitalier universitaire de Tizi-Ouzou [PhD Thesis, Université Mouloud Mammeri]. </w:t>
      </w:r>
      <w:hyperlink r:id="rId108" w:history="1">
        <w:r>
          <w:rPr>
            <w:rStyle w:val="Lienhypertexte"/>
            <w:rFonts w:eastAsia="Calibri"/>
            <w:kern w:val="2"/>
            <w:lang w:val="en-US" w:eastAsia="zh-CN" w:bidi="ar"/>
          </w:rPr>
          <w:t>https://dspace.ummto.dz/items/8aa77b05-f2be-4bfe-ae20-bff8e83d7656</w:t>
        </w:r>
      </w:hyperlink>
    </w:p>
    <w:p w14:paraId="604FF005"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Halawa, E. M., Fadel, M., Al-Rabia, M. W., Behairy, A., Nouh, N. A., Abdo, M., Olga, R., Fericean, L., Atwa, A. M., El-Nablaway, M., &amp; Abdeen, A. (2024). Antibiotic action and resistance : Updated review of mechanisms, spread, influencing factors, and alternative approaches for combating resistance. Frontiers in Pharmacology, 14. </w:t>
      </w:r>
      <w:hyperlink r:id="rId109" w:history="1">
        <w:r>
          <w:rPr>
            <w:rStyle w:val="Lienhypertexte"/>
            <w:rFonts w:eastAsia="Calibri"/>
            <w:kern w:val="2"/>
            <w:lang w:val="en-US" w:eastAsia="zh-CN" w:bidi="ar"/>
          </w:rPr>
          <w:t>https://doi.org/10.3389/fphar.2023.1305294</w:t>
        </w:r>
      </w:hyperlink>
    </w:p>
    <w:p w14:paraId="75B7D9C3"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Handzlik, J., Matys, A., &amp; Kieć-Kononowicz, K. (2013). Recent Advances in Multi-Drug Resistance (MDR) Efflux Pump Inhibitors of Gram-Positive Bacteria S. aureus. </w:t>
      </w:r>
      <w:r>
        <w:rPr>
          <w:rFonts w:eastAsia="Calibri"/>
          <w:kern w:val="2"/>
          <w:lang w:val="fr" w:eastAsia="zh-CN" w:bidi="ar"/>
        </w:rPr>
        <w:t xml:space="preserve">Antibiotics, 2(1), Article 1. </w:t>
      </w:r>
      <w:hyperlink r:id="rId110" w:history="1">
        <w:r>
          <w:rPr>
            <w:rStyle w:val="Lienhypertexte"/>
            <w:rFonts w:eastAsia="Calibri"/>
            <w:kern w:val="2"/>
            <w:lang w:val="fr" w:eastAsia="zh-CN" w:bidi="ar"/>
          </w:rPr>
          <w:t>https://doi.org/10.3390/antibiotics2010028</w:t>
        </w:r>
      </w:hyperlink>
    </w:p>
    <w:p w14:paraId="292A07E6" w14:textId="77777777" w:rsidR="00B611D1" w:rsidRDefault="00FB7689">
      <w:pPr>
        <w:pStyle w:val="NormalWeb"/>
        <w:spacing w:before="0" w:beforeAutospacing="0" w:after="200" w:afterAutospacing="0" w:line="360" w:lineRule="auto"/>
        <w:jc w:val="both"/>
        <w:rPr>
          <w:lang w:val="en-US"/>
        </w:rPr>
      </w:pPr>
      <w:r>
        <w:rPr>
          <w:rFonts w:eastAsia="Calibri"/>
          <w:kern w:val="2"/>
          <w:lang w:val="fr" w:eastAsia="zh-CN" w:bidi="ar"/>
        </w:rPr>
        <w:t xml:space="preserve">Harpet, C. (2022). L’antibiorésistance : Un fait social total. </w:t>
      </w:r>
      <w:r>
        <w:rPr>
          <w:rFonts w:eastAsia="Calibri"/>
          <w:kern w:val="2"/>
          <w:lang w:val="en-US" w:eastAsia="zh-CN" w:bidi="ar"/>
        </w:rPr>
        <w:t>168</w:t>
      </w:r>
      <w:r>
        <w:rPr>
          <w:rFonts w:eastAsia="Calibri"/>
          <w:kern w:val="2"/>
          <w:lang w:val="en-US" w:eastAsia="zh-CN" w:bidi="ar"/>
        </w:rPr>
        <w:noBreakHyphen/>
        <w:t>1.</w:t>
      </w:r>
    </w:p>
    <w:p w14:paraId="4C7DD859"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Harzallah, B., Grama, B. S., Benabdelmalek, A., &amp; Mekhloufi, I. (2022). Incidence of nosocomial infections in reanimation unit at the hospital of Constantine (Algeria). </w:t>
      </w:r>
      <w:hyperlink r:id="rId111" w:history="1">
        <w:r>
          <w:rPr>
            <w:rStyle w:val="Lienhypertexte"/>
            <w:rFonts w:eastAsia="Calibri"/>
            <w:kern w:val="2"/>
            <w:lang w:val="en-US" w:eastAsia="zh-CN" w:bidi="ar"/>
          </w:rPr>
          <w:t>https://www.cabidigitallibrary.org/doi/full/10.5555/20220365274</w:t>
        </w:r>
      </w:hyperlink>
    </w:p>
    <w:p w14:paraId="12E1A75A"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Hasanpour, A. H., Sepidarkish, M., Mollalo, A., Ardekani, A., Almukhtar, M., Mechaal, A., Hosseini, S. R., Bayani, M., Javanian, M., &amp; Rostami, A. (2023). The global prevalence of methicillin-resistant Staphylococcus aureus colonization in residents of elderly care centers : A systematic review and meta-analysis. Antimicrobial Resistance &amp; Infection Control, 12(1), 4. </w:t>
      </w:r>
      <w:hyperlink r:id="rId112" w:history="1">
        <w:r>
          <w:rPr>
            <w:rStyle w:val="Lienhypertexte"/>
            <w:rFonts w:eastAsia="Calibri"/>
            <w:kern w:val="2"/>
            <w:lang w:val="en-US" w:eastAsia="zh-CN" w:bidi="ar"/>
          </w:rPr>
          <w:t>https://doi.org/10.1186/s13756-023-01210-6</w:t>
        </w:r>
      </w:hyperlink>
    </w:p>
    <w:p w14:paraId="75DDD313"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Hertzberg, V. S., Wang, Y. A., Elon, L. K., &amp; Lowery-North, D. W. (2018). The Risk of Cross Infection in the Emergency Department : A Simulation Study. Infection Control &amp; Hospital Epidemiology, 39(6), 688</w:t>
      </w:r>
      <w:r>
        <w:rPr>
          <w:rFonts w:eastAsia="Calibri"/>
          <w:kern w:val="2"/>
          <w:lang w:val="en-US" w:eastAsia="zh-CN" w:bidi="ar"/>
        </w:rPr>
        <w:noBreakHyphen/>
        <w:t xml:space="preserve">693. </w:t>
      </w:r>
      <w:hyperlink r:id="rId113" w:history="1">
        <w:r>
          <w:rPr>
            <w:rStyle w:val="Lienhypertexte"/>
            <w:rFonts w:eastAsia="Calibri"/>
            <w:kern w:val="2"/>
            <w:lang w:val="en-US" w:eastAsia="zh-CN" w:bidi="ar"/>
          </w:rPr>
          <w:t>https://doi.org/10.1017/ice.2018.61</w:t>
        </w:r>
      </w:hyperlink>
    </w:p>
    <w:p w14:paraId="59F7869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Huslage, K., Rutala, W. A., Sickbert-Bennett, E., &amp; Weber, D. J. (2010). A Quantitative Approach to Defining “High-Touch” Surfaces in Hospitals. Infection Control &amp; Hospital Epidemiology, 31(8), 850</w:t>
      </w:r>
      <w:r>
        <w:rPr>
          <w:rFonts w:eastAsia="Calibri"/>
          <w:kern w:val="2"/>
          <w:lang w:val="en-US" w:eastAsia="zh-CN" w:bidi="ar"/>
        </w:rPr>
        <w:noBreakHyphen/>
        <w:t xml:space="preserve">853. </w:t>
      </w:r>
      <w:hyperlink r:id="rId114" w:history="1">
        <w:r>
          <w:rPr>
            <w:rStyle w:val="Lienhypertexte"/>
            <w:rFonts w:eastAsia="Calibri"/>
            <w:kern w:val="2"/>
            <w:lang w:val="en-US" w:eastAsia="zh-CN" w:bidi="ar"/>
          </w:rPr>
          <w:t>https://doi.org/10.1086/655016</w:t>
        </w:r>
      </w:hyperlink>
    </w:p>
    <w:p w14:paraId="07F47262"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Hussein Omar, A. (2024). Bacterial Contamination on Electronic Surfaces in ICU. Academic Journal of Nawroz University, 13(1), 658</w:t>
      </w:r>
      <w:r>
        <w:rPr>
          <w:rFonts w:eastAsia="Calibri"/>
          <w:kern w:val="2"/>
          <w:lang w:val="en-US" w:eastAsia="zh-CN" w:bidi="ar"/>
        </w:rPr>
        <w:noBreakHyphen/>
        <w:t xml:space="preserve">664. </w:t>
      </w:r>
      <w:hyperlink r:id="rId115" w:history="1">
        <w:r>
          <w:rPr>
            <w:rStyle w:val="Lienhypertexte"/>
            <w:rFonts w:eastAsia="Calibri"/>
            <w:kern w:val="2"/>
            <w:lang w:val="en-US" w:eastAsia="zh-CN" w:bidi="ar"/>
          </w:rPr>
          <w:t>https://doi.org/10.25007/ajnu.v13n1a1889</w:t>
        </w:r>
      </w:hyperlink>
    </w:p>
    <w:p w14:paraId="47D4CD4D" w14:textId="77777777" w:rsidR="00B611D1" w:rsidRDefault="00FB7689">
      <w:pPr>
        <w:pStyle w:val="NormalWeb"/>
        <w:spacing w:before="0" w:beforeAutospacing="0" w:after="200" w:afterAutospacing="0" w:line="360" w:lineRule="auto"/>
        <w:jc w:val="both"/>
        <w:rPr>
          <w:lang w:val="en-US"/>
        </w:rPr>
      </w:pPr>
      <w:r>
        <w:rPr>
          <w:rFonts w:eastAsia="Calibri"/>
          <w:kern w:val="2"/>
          <w:lang w:val="en-US" w:eastAsia="zh-CN" w:bidi="ar"/>
        </w:rPr>
        <w:t>Iacovelli, V., Gaziev, G., Topazio, L., Bove, P., Vespasiani, G., &amp; Agrò, E. F. (2014). Nosocomial Urinary Tract Infections : A Review. Urologia Journal, 81(4), 222</w:t>
      </w:r>
      <w:r>
        <w:rPr>
          <w:rFonts w:eastAsia="Calibri"/>
          <w:kern w:val="2"/>
          <w:lang w:val="en-US" w:eastAsia="zh-CN" w:bidi="ar"/>
        </w:rPr>
        <w:noBreakHyphen/>
        <w:t>227. https://doi.org/10.5301/uro.5000092</w:t>
      </w:r>
    </w:p>
    <w:p w14:paraId="49D4E98D"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Iqbal, F., Alocious, A., Joy, S. C., Stanly, E. A. R., Rajesh, V., Unnikrishnan, M. K., Steinke, D., &amp; Chandra, P. (2024). Vancomycin-resistant enterococci : A rising challenge to global health. Clinical Epidemiology and Global Health, 28, 101663. </w:t>
      </w:r>
      <w:hyperlink r:id="rId116" w:history="1">
        <w:r>
          <w:rPr>
            <w:rStyle w:val="Lienhypertexte"/>
            <w:rFonts w:eastAsia="Calibri"/>
            <w:kern w:val="2"/>
            <w:lang w:val="en-US" w:eastAsia="zh-CN" w:bidi="ar"/>
          </w:rPr>
          <w:t>https://doi.org/10.1016/j.cegh.2024.101663</w:t>
        </w:r>
      </w:hyperlink>
    </w:p>
    <w:p w14:paraId="08109341"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Iwase, T., Tajima, A., Sugimoto, S., Okuda, K., Hironaka, I., Kamata, Y., Takada, K., &amp; Mizunoe, Y. (2013). A Simple Assay for Measuring Catalase Activity : A Visual Approach. Scientific Reports, 3(1), 3081. </w:t>
      </w:r>
      <w:hyperlink r:id="rId117" w:history="1">
        <w:r>
          <w:rPr>
            <w:rStyle w:val="Lienhypertexte"/>
            <w:rFonts w:eastAsia="Calibri"/>
            <w:kern w:val="2"/>
            <w:lang w:val="en-US" w:eastAsia="zh-CN" w:bidi="ar"/>
          </w:rPr>
          <w:t>https://doi.org/10.1038/srep03081</w:t>
        </w:r>
      </w:hyperlink>
    </w:p>
    <w:p w14:paraId="7EEDCD98"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Jiang, A.-M., Shi, X., Liu, N., Gao, H., Ren, M.-D., Zheng, X.-Q., Fu, X., Liang, X., Ruan, Z.-P., Yao, Y., &amp; Tian, T. (2020). Nosocomial infections due to multidrug-resistant bacteria in cancer patients : A six-year retrospective study of an oncology Center in Western China. BMC Infectious Diseases, 20(1), 452. </w:t>
      </w:r>
      <w:hyperlink r:id="rId118" w:history="1">
        <w:r>
          <w:rPr>
            <w:rStyle w:val="Lienhypertexte"/>
            <w:rFonts w:eastAsia="Calibri"/>
            <w:kern w:val="2"/>
            <w:lang w:val="en-US" w:eastAsia="zh-CN" w:bidi="ar"/>
          </w:rPr>
          <w:t>https://doi.org/10.1186/s12879-020-05181-6</w:t>
        </w:r>
      </w:hyperlink>
    </w:p>
    <w:p w14:paraId="03F54E23" w14:textId="77777777" w:rsidR="00B611D1" w:rsidRDefault="00FB7689">
      <w:pPr>
        <w:pStyle w:val="NormalWeb"/>
        <w:spacing w:before="0" w:beforeAutospacing="0" w:after="200" w:afterAutospacing="0" w:line="360" w:lineRule="auto"/>
        <w:jc w:val="both"/>
        <w:rPr>
          <w:lang w:val="en-US"/>
        </w:rPr>
      </w:pPr>
      <w:r>
        <w:rPr>
          <w:rFonts w:eastAsia="Calibri"/>
          <w:kern w:val="2"/>
          <w:lang w:val="en-US" w:eastAsia="zh-CN" w:bidi="ar"/>
        </w:rPr>
        <w:t>John william, O. (2010). Germs, Genes, and Viruses.</w:t>
      </w:r>
    </w:p>
    <w:p w14:paraId="74C34963"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Joly, F., Ahmed-Lecheheb, D., Thiery-Vuillemin, A., Orillard, E., &amp; Coquan, E. (2019). </w:t>
      </w:r>
      <w:r>
        <w:rPr>
          <w:rFonts w:eastAsia="Calibri"/>
          <w:kern w:val="2"/>
          <w:lang w:val="fr" w:eastAsia="zh-CN" w:bidi="ar"/>
        </w:rPr>
        <w:t>Effets secondaires de la chimiothérapie des cancers testiculaires et suivi de l’après cancer. Bulletin du Cancer, 106(9), 805</w:t>
      </w:r>
      <w:r>
        <w:rPr>
          <w:rFonts w:eastAsia="Calibri"/>
          <w:kern w:val="2"/>
          <w:lang w:val="fr" w:eastAsia="zh-CN" w:bidi="ar"/>
        </w:rPr>
        <w:noBreakHyphen/>
        <w:t xml:space="preserve">811. </w:t>
      </w:r>
      <w:hyperlink r:id="rId119" w:history="1">
        <w:r>
          <w:rPr>
            <w:rStyle w:val="Lienhypertexte"/>
            <w:rFonts w:eastAsia="Calibri"/>
            <w:kern w:val="2"/>
            <w:lang w:val="fr" w:eastAsia="zh-CN" w:bidi="ar"/>
          </w:rPr>
          <w:t>https://doi.org/10.1016/j.bulcan.2019.04.004</w:t>
        </w:r>
      </w:hyperlink>
    </w:p>
    <w:p w14:paraId="02E34F68"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sidRPr="00525786">
        <w:rPr>
          <w:rFonts w:eastAsia="Calibri"/>
          <w:kern w:val="2"/>
          <w:lang w:val="en-US" w:eastAsia="zh-CN" w:bidi="ar"/>
        </w:rPr>
        <w:t xml:space="preserve">Jurado-Martín, I., Sainz-Mejías, M., &amp; McClean, S. (2021). </w:t>
      </w:r>
      <w:r>
        <w:rPr>
          <w:rFonts w:eastAsia="Calibri"/>
          <w:kern w:val="2"/>
          <w:lang w:val="en-US" w:eastAsia="zh-CN" w:bidi="ar"/>
        </w:rPr>
        <w:t xml:space="preserve">Pseudomonas aeruginosa : An Audacious Pathogen with an Adaptable Arsenal of Virulence Factors. International Journal of Molecular Sciences, 22(6), Article 6. </w:t>
      </w:r>
      <w:hyperlink r:id="rId120" w:history="1">
        <w:r>
          <w:rPr>
            <w:rStyle w:val="Lienhypertexte"/>
            <w:rFonts w:eastAsia="Calibri"/>
            <w:kern w:val="2"/>
            <w:lang w:val="en-US" w:eastAsia="zh-CN" w:bidi="ar"/>
          </w:rPr>
          <w:t>https://doi.org/10.3390/ijms22063128</w:t>
        </w:r>
      </w:hyperlink>
    </w:p>
    <w:p w14:paraId="656A06B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Kakupa, D. K., Muenze, P. K., Byl, B., &amp; Wilmet, M. D. (2016). </w:t>
      </w:r>
      <w:r>
        <w:rPr>
          <w:rFonts w:eastAsia="Calibri"/>
          <w:kern w:val="2"/>
          <w:lang w:val="fr" w:eastAsia="zh-CN" w:bidi="ar"/>
        </w:rPr>
        <w:t xml:space="preserve">Etude de la prévalence des infections nosocomiales et des facteurs associes dans les deux hopitaux universitaires de Lubumbashi, République Démocratique du Congo : Cas des Cliniques Universitaires de Lubumbashi et l’Hôpital Janson Sendwe. </w:t>
      </w:r>
      <w:r>
        <w:rPr>
          <w:rFonts w:eastAsia="Calibri"/>
          <w:kern w:val="2"/>
          <w:lang w:val="en-US" w:eastAsia="zh-CN" w:bidi="ar"/>
        </w:rPr>
        <w:t xml:space="preserve">The Pan African Medical Journal, 24, 275. </w:t>
      </w:r>
      <w:hyperlink r:id="rId121" w:history="1">
        <w:r>
          <w:rPr>
            <w:rStyle w:val="Lienhypertexte"/>
            <w:rFonts w:eastAsia="Calibri"/>
            <w:kern w:val="2"/>
            <w:lang w:val="en-US" w:eastAsia="zh-CN" w:bidi="ar"/>
          </w:rPr>
          <w:t>https://doi.org/10.11604/pamj.2016.24.275.7626</w:t>
        </w:r>
      </w:hyperlink>
    </w:p>
    <w:p w14:paraId="2F91AF8C"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Kamel, F. H., &amp; Jarjes, S. F. (2015). Essentials of Bacteriology and Immunology. Erbil Polytechnic University, Iraq. </w:t>
      </w:r>
      <w:hyperlink r:id="rId122" w:history="1">
        <w:r>
          <w:rPr>
            <w:rStyle w:val="Lienhypertexte"/>
            <w:rFonts w:eastAsia="Calibri"/>
            <w:kern w:val="2"/>
            <w:lang w:val="en-US" w:eastAsia="zh-CN" w:bidi="ar"/>
          </w:rPr>
          <w:t>https://www.researchgate.net/profile/Fouad-Kamel/publication/290911856_Essentials_of_Bacteriology_and_Immunology/links/569c961608ae6169e562ccfc/Essentials-of-Bacteriology-and-Immunology.pdf</w:t>
        </w:r>
      </w:hyperlink>
    </w:p>
    <w:p w14:paraId="03085665"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Kapatsa, T., Lubanga ,Adriano Focus, Bwanali ,Akim N, Harawa ,Gracian, Mudenda ,Steward, Chipewa ,Pascal C, Kamayani ,Mapeesho, Makole ,Tumaini John, Ali ,Abdisalam Yusuf, Mohamed ,Abdullahi Abdirasak, Tae Youn ,Kim, Kim ,Lorie, Daniel ,Won D, Kim ,Matthew, Chehab ,Tarek Emir, &amp; and Nyirenda, T. (2025). Behavioral and Socio-Economic Determinants of Antimicrobial Resistance in Sub-Saharan Africa : A Systematic Review. Infection and Drug Resistance, 18, 855</w:t>
      </w:r>
      <w:r>
        <w:rPr>
          <w:rFonts w:eastAsia="Calibri"/>
          <w:kern w:val="2"/>
          <w:lang w:val="en-US" w:eastAsia="zh-CN" w:bidi="ar"/>
        </w:rPr>
        <w:noBreakHyphen/>
        <w:t xml:space="preserve">873. </w:t>
      </w:r>
      <w:hyperlink r:id="rId123" w:history="1">
        <w:r>
          <w:rPr>
            <w:rStyle w:val="Lienhypertexte"/>
            <w:rFonts w:eastAsia="Calibri"/>
            <w:kern w:val="2"/>
            <w:lang w:val="en-US" w:eastAsia="zh-CN" w:bidi="ar"/>
          </w:rPr>
          <w:t>https://doi.org/10.2147/IDR.S503730</w:t>
        </w:r>
      </w:hyperlink>
    </w:p>
    <w:p w14:paraId="71E70D92"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Kapoor, G., Saigal, S., &amp; Elongavan, A. (2017). Action and resistance mechanisms of antibiotics : A guide for clinicians. Journal of Anaesthesiology Clinical Pharmacology, 33(3), 300. </w:t>
      </w:r>
      <w:hyperlink r:id="rId124" w:history="1">
        <w:r>
          <w:rPr>
            <w:rStyle w:val="Lienhypertexte"/>
            <w:rFonts w:eastAsia="Calibri"/>
            <w:kern w:val="2"/>
            <w:lang w:val="en-US" w:eastAsia="zh-CN" w:bidi="ar"/>
          </w:rPr>
          <w:t>https://doi.org/10.4103/joacp.JOACP_349_15</w:t>
        </w:r>
      </w:hyperlink>
    </w:p>
    <w:p w14:paraId="480092AD"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Khan, F., Ahmad, B., Ahmed, J., &amp; Bashir, S. (2018). Investigation of Staphylococcus aureus, prevailing in the environment of Khyber Teaching Hospital, Peshawar, Pakistan. Pakistan Journal of Pharmaceutical Sciences, 31(2). https://www.researchgate.net/profile/Farmanullah-Khan-3/publication/323840260_Investigation_of_Staphylococcus_aureus_prevailing_in_the_environment_of_Khyber_Teaching_Hospital_Peshawar_Pakistan/links/5ceb013092851c4eabc1147a/Investigation-of-Staphylococcus-aureus-prevailing-in-the-environment-of-Khyber-Teaching-Hospital-Peshawar-Pakistan.pdf</w:t>
      </w:r>
    </w:p>
    <w:p w14:paraId="5907D255"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Khanna, A., Khanna, M., &amp; Aggarwal, A. (2013). Serratia Marcescens- A Rare Opportunistic Nosocomial Pathogen and Measures to Limit its Spread in Hospitalized Patients. Journal of Clinical and Diagnostic Research : JCDR, 7(2), 243</w:t>
      </w:r>
      <w:r>
        <w:rPr>
          <w:rFonts w:eastAsia="Calibri"/>
          <w:kern w:val="2"/>
          <w:lang w:val="en-US" w:eastAsia="zh-CN" w:bidi="ar"/>
        </w:rPr>
        <w:noBreakHyphen/>
        <w:t xml:space="preserve">246. </w:t>
      </w:r>
      <w:hyperlink r:id="rId125" w:history="1">
        <w:r>
          <w:rPr>
            <w:rStyle w:val="Lienhypertexte"/>
            <w:rFonts w:eastAsia="Calibri"/>
            <w:kern w:val="2"/>
            <w:lang w:val="en-US" w:eastAsia="zh-CN" w:bidi="ar"/>
          </w:rPr>
          <w:t>https://doi.org/10.7860/JCDR/2013/5010.2737</w:t>
        </w:r>
      </w:hyperlink>
    </w:p>
    <w:p w14:paraId="1C1CFEC4"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Khayar, Y. (2011). Comportement des entérobactéries isolées des urines vis-à-vis de l’amoxicilline–acide clavulanique, l’imipénème et l’ertapénème [thèse]. Rabat: Université Mohammed V de Rabat, 99.</w:t>
      </w:r>
    </w:p>
    <w:p w14:paraId="1F6670A9"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Kiersnowska, Z. M., Lemiech-Mirowska, E., Michałkiewicz, M., Sierocka, A., &amp; Marczak, M. (2022). </w:t>
      </w:r>
      <w:r>
        <w:rPr>
          <w:rFonts w:eastAsia="Calibri"/>
          <w:kern w:val="2"/>
          <w:lang w:val="en-US" w:eastAsia="zh-CN" w:bidi="ar"/>
        </w:rPr>
        <w:t>Detection and analysis of Clostridioides difficile spores in a hospital environment. International Journal of Environmental Research and Public Health, 19(23), 15670.</w:t>
      </w:r>
    </w:p>
    <w:p w14:paraId="37FCB380"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Kramer, A., &amp; Assadian, O. (2014). Survival of Microorganisms on Inanimate Surfaces. In G. Borkow (Éd.), Use of Biocidal Surfaces for Reduction of Healthcare Acquired Infections (p. 7</w:t>
      </w:r>
      <w:r>
        <w:rPr>
          <w:rFonts w:eastAsia="Calibri"/>
          <w:kern w:val="2"/>
          <w:lang w:val="en-US" w:eastAsia="zh-CN" w:bidi="ar"/>
        </w:rPr>
        <w:noBreakHyphen/>
        <w:t xml:space="preserve">26). Springer International Publishing. </w:t>
      </w:r>
      <w:hyperlink r:id="rId126" w:history="1">
        <w:r>
          <w:rPr>
            <w:rStyle w:val="Lienhypertexte"/>
            <w:rFonts w:eastAsia="Calibri"/>
            <w:kern w:val="2"/>
            <w:lang w:val="en-US" w:eastAsia="zh-CN" w:bidi="ar"/>
          </w:rPr>
          <w:t>https://doi.org/10.1007/978-3-319-08057-4_2</w:t>
        </w:r>
      </w:hyperlink>
    </w:p>
    <w:p w14:paraId="747F0080"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Legrand, O. (2017). Hospital Pharmacist’s Role in Managing Multidrug-Resistant Infections : Piperacillin/Tazobactam Prescription Review and Broad-Spectrum Antibiotic Stewardship at Aubagne Hospital. </w:t>
      </w:r>
      <w:hyperlink r:id="rId127" w:history="1">
        <w:r>
          <w:rPr>
            <w:rStyle w:val="Lienhypertexte"/>
            <w:rFonts w:eastAsia="Calibri"/>
            <w:kern w:val="2"/>
            <w:lang w:val="en-US" w:eastAsia="zh-CN" w:bidi="ar"/>
          </w:rPr>
          <w:t>https://policycommons.net/artifacts/15776077/implication-du-pharmacien-hospitalier-dans-la-prise-en-charge-des-infections-a-bacteries-multiresistantes/16666936/</w:t>
        </w:r>
      </w:hyperlink>
    </w:p>
    <w:p w14:paraId="474327E2"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Li, B., &amp; Webster, T. J. (2018). Bacteria antibiotic resistance : New challenges and opportunities for implant-associated orthopedic infections. Journal of Orthopaedic Research, 36(1), 22</w:t>
      </w:r>
      <w:r>
        <w:rPr>
          <w:rFonts w:eastAsia="Calibri"/>
          <w:kern w:val="2"/>
          <w:lang w:val="en-US" w:eastAsia="zh-CN" w:bidi="ar"/>
        </w:rPr>
        <w:noBreakHyphen/>
        <w:t xml:space="preserve">32. </w:t>
      </w:r>
      <w:hyperlink r:id="rId128" w:history="1">
        <w:r>
          <w:rPr>
            <w:rStyle w:val="Lienhypertexte"/>
            <w:rFonts w:eastAsia="Calibri"/>
            <w:kern w:val="2"/>
            <w:lang w:val="en-US" w:eastAsia="zh-CN" w:bidi="ar"/>
          </w:rPr>
          <w:t>https://doi.org/10.1002/jor.23656</w:t>
        </w:r>
      </w:hyperlink>
    </w:p>
    <w:p w14:paraId="765DECD4"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Licitra, G. (2013). Etymologia : Staphylococcus. Emerging Infectious Diseases, 19(9), 1553. </w:t>
      </w:r>
      <w:hyperlink r:id="rId129" w:history="1">
        <w:r>
          <w:rPr>
            <w:rStyle w:val="Lienhypertexte"/>
            <w:rFonts w:eastAsia="Calibri"/>
            <w:kern w:val="2"/>
            <w:lang w:val="en-US" w:eastAsia="zh-CN" w:bidi="ar"/>
          </w:rPr>
          <w:t>https://doi.org/10.3201/eid1909.ET1909</w:t>
        </w:r>
      </w:hyperlink>
    </w:p>
    <w:p w14:paraId="0C537828"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Lin, T. Z., Jayasvasti, I., Tiraphat, S., Pengpid, S., Jayasvasti, M., &amp; Borriharn, P. (2022). The Predictors Influencing the Rational Use of Antibiotics Among Public Sector : A Community-Based Survey in Thailand. Drug, Healthcare and Patient Safety, Volume 14, 27</w:t>
      </w:r>
      <w:r>
        <w:rPr>
          <w:rFonts w:eastAsia="Calibri"/>
          <w:kern w:val="2"/>
          <w:lang w:val="en-US" w:eastAsia="zh-CN" w:bidi="ar"/>
        </w:rPr>
        <w:noBreakHyphen/>
        <w:t xml:space="preserve">36. </w:t>
      </w:r>
      <w:hyperlink r:id="rId130" w:history="1">
        <w:r>
          <w:rPr>
            <w:rStyle w:val="Lienhypertexte"/>
            <w:rFonts w:eastAsia="Calibri"/>
            <w:kern w:val="2"/>
            <w:lang w:val="en-US" w:eastAsia="zh-CN" w:bidi="ar"/>
          </w:rPr>
          <w:t>https://doi.org/10.2147/DHPS.S339808</w:t>
        </w:r>
      </w:hyperlink>
    </w:p>
    <w:p w14:paraId="793542D0"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 xml:space="preserve">Loubna, M. Q. (2010). Épidémiologie des infections nosocomiales en milieu de réanimation (A propos de 147 cas). </w:t>
      </w:r>
      <w:hyperlink r:id="rId131" w:history="1">
        <w:r>
          <w:rPr>
            <w:rStyle w:val="Lienhypertexte"/>
            <w:rFonts w:eastAsia="Calibri"/>
            <w:kern w:val="2"/>
            <w:lang w:val="fr" w:eastAsia="zh-CN" w:bidi="ar"/>
          </w:rPr>
          <w:t>https://www.academia.edu/download/71188347/THESE_QASSIMI.pdf</w:t>
        </w:r>
      </w:hyperlink>
    </w:p>
    <w:p w14:paraId="0B510CD1"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 xml:space="preserve">Lustig, M. (2022). Etude du mécanisme d’efflux des pompes MexAB-OprM et MexXY-OprM chez Pseudomonas aeruginosa, pathogène multirésistant présent dans les poumons de patients mucoviscidose. [PhD Thesis, Université Paris Cité]. </w:t>
      </w:r>
      <w:hyperlink r:id="rId132" w:history="1">
        <w:r>
          <w:rPr>
            <w:rStyle w:val="Lienhypertexte"/>
            <w:rFonts w:eastAsia="Calibri"/>
            <w:kern w:val="2"/>
            <w:lang w:val="fr" w:eastAsia="zh-CN" w:bidi="ar"/>
          </w:rPr>
          <w:t>https://theses.hal.science/tel-04071702/</w:t>
        </w:r>
      </w:hyperlink>
    </w:p>
    <w:p w14:paraId="3F656D17"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Madec, J.-Y. (2022). Généralités sur les antibiotiques et l’antibiorésistance-Notions générales sur l’antibiorésistance. Guide pour un bon usage des antibiotiques chez les animaux de compagnie, 12</w:t>
      </w:r>
      <w:r>
        <w:rPr>
          <w:rFonts w:eastAsia="Calibri"/>
          <w:kern w:val="2"/>
          <w:lang w:val="fr" w:eastAsia="zh-CN" w:bidi="ar"/>
        </w:rPr>
        <w:noBreakHyphen/>
        <w:t>14.</w:t>
      </w:r>
    </w:p>
    <w:p w14:paraId="3116E9EB"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 xml:space="preserve">Matinyi, S., Enoch, M., Akia, D., Byaruhanga, V., Masereka, E., Ekeu, I., &amp; Atuheire, C. (2018). </w:t>
      </w:r>
      <w:r>
        <w:rPr>
          <w:rFonts w:eastAsia="Calibri"/>
          <w:kern w:val="2"/>
          <w:lang w:val="en-US" w:eastAsia="zh-CN" w:bidi="ar"/>
        </w:rPr>
        <w:t xml:space="preserve">Contamination of microbial pathogens and their antimicrobial pattern in operating theatres of peri-urban eastern Uganda : A cross-sectional study. </w:t>
      </w:r>
      <w:r>
        <w:rPr>
          <w:rFonts w:eastAsia="Calibri"/>
          <w:kern w:val="2"/>
          <w:lang w:val="fr" w:eastAsia="zh-CN" w:bidi="ar"/>
        </w:rPr>
        <w:t xml:space="preserve">BMC Infectious Diseases, 18(1), 460. </w:t>
      </w:r>
      <w:hyperlink r:id="rId133" w:history="1">
        <w:r>
          <w:rPr>
            <w:rStyle w:val="Lienhypertexte"/>
            <w:rFonts w:eastAsia="Calibri"/>
            <w:kern w:val="2"/>
            <w:lang w:val="fr" w:eastAsia="zh-CN" w:bidi="ar"/>
          </w:rPr>
          <w:t>https://doi.org/10.1186/s12879-018-3374-4</w:t>
        </w:r>
      </w:hyperlink>
    </w:p>
    <w:p w14:paraId="571898B0"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Matta, R. (2023). Infections nosocomiales et résistance aux antibiotiques chez les bacilles à GRAM négatifs : Étude de cohorte multicentrique dans les hôpitaux libanais [Phdthesis, Université de Bordeaux]. </w:t>
      </w:r>
      <w:hyperlink r:id="rId134" w:history="1">
        <w:r>
          <w:rPr>
            <w:rStyle w:val="Lienhypertexte"/>
            <w:rFonts w:eastAsia="Calibri"/>
            <w:kern w:val="2"/>
            <w:lang w:val="en-US" w:eastAsia="zh-CN" w:bidi="ar"/>
          </w:rPr>
          <w:t>https://theses.hal.science/tel-04498032</w:t>
        </w:r>
      </w:hyperlink>
    </w:p>
    <w:p w14:paraId="65A67A3E"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Mebarki Mohamed Lamine, D. K. K. Y. (2017). </w:t>
      </w:r>
      <w:r>
        <w:rPr>
          <w:rFonts w:eastAsia="Calibri"/>
          <w:kern w:val="2"/>
          <w:lang w:val="fr" w:eastAsia="zh-CN" w:bidi="ar"/>
        </w:rPr>
        <w:t xml:space="preserve">Isolement et identification des bactéries responsables des infections nosocomiales au niveau de service des urgences de l’hôpital El Hakim Okbi. </w:t>
      </w:r>
      <w:hyperlink r:id="rId135" w:history="1">
        <w:r>
          <w:rPr>
            <w:rStyle w:val="Lienhypertexte"/>
            <w:rFonts w:eastAsia="Calibri"/>
            <w:kern w:val="2"/>
            <w:lang w:val="fr" w:eastAsia="zh-CN" w:bidi="ar"/>
          </w:rPr>
          <w:t>https://dspace.univ-guelma.dz/jspui/handle/123456789/6184</w:t>
        </w:r>
      </w:hyperlink>
    </w:p>
    <w:p w14:paraId="3EAC825A"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Meli, H., Cissoko, Y., Konaté, I., Soumaré, M., Fofana, A., Dembélé, J. P., Kaboré, M., Cissé, M. A., Zaré, A., &amp; Dao, S. (2020). Co-infection tuberculose-VIH compliquée d’une sur infection nosocomiale à Klebsiella pneumoniae : À propos de 4 observations dans un Service de Maladies Infectieuses au Mali. </w:t>
      </w:r>
      <w:r>
        <w:rPr>
          <w:rFonts w:eastAsia="Calibri"/>
          <w:kern w:val="2"/>
          <w:lang w:val="en-US" w:eastAsia="zh-CN" w:bidi="ar"/>
        </w:rPr>
        <w:t xml:space="preserve">Pan African Medical Journal, 37(1), Article 1. </w:t>
      </w:r>
      <w:hyperlink r:id="rId136" w:history="1">
        <w:r>
          <w:rPr>
            <w:rStyle w:val="Lienhypertexte"/>
            <w:rFonts w:eastAsia="Calibri"/>
            <w:kern w:val="2"/>
            <w:lang w:val="en-US" w:eastAsia="zh-CN" w:bidi="ar"/>
          </w:rPr>
          <w:t>https://www.ajol.info/index.php/pamj/article/view/213387</w:t>
        </w:r>
      </w:hyperlink>
    </w:p>
    <w:p w14:paraId="7B118AC3"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Merzougui, L., Barhoumi, T., Guizani, T., Barhoumi, H., Hannachi, H., Turki, E., &amp; Majdoub, W. (2018). </w:t>
      </w:r>
      <w:r>
        <w:rPr>
          <w:rFonts w:eastAsia="Calibri"/>
          <w:kern w:val="2"/>
          <w:lang w:val="fr" w:eastAsia="zh-CN" w:bidi="ar"/>
        </w:rPr>
        <w:t xml:space="preserve">Les infections nosocomiales en milieu de réanimation : Incidence annuelle et aspects cliniques au Service de Réanimation Polyvalente, Kairouan, Tunisie, 2014. </w:t>
      </w:r>
      <w:r>
        <w:rPr>
          <w:rFonts w:eastAsia="Calibri"/>
          <w:kern w:val="2"/>
          <w:lang w:val="en-US" w:eastAsia="zh-CN" w:bidi="ar"/>
        </w:rPr>
        <w:t xml:space="preserve">Pan African Medical Journal, 30(1), Article 1. </w:t>
      </w:r>
      <w:hyperlink r:id="rId137" w:history="1">
        <w:r>
          <w:rPr>
            <w:rStyle w:val="Lienhypertexte"/>
            <w:rFonts w:eastAsia="Calibri"/>
            <w:kern w:val="2"/>
            <w:lang w:val="en-US" w:eastAsia="zh-CN" w:bidi="ar"/>
          </w:rPr>
          <w:t>https://www.ajol.info/index.php/pamj/article/view/209254</w:t>
        </w:r>
      </w:hyperlink>
    </w:p>
    <w:p w14:paraId="6B055366"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Michael, C. A., Dominey-Howes, D., &amp; Labbate, M. (2014). The Antimicrobial Resistance Crisis : Causes, Consequences, and Management. Frontiers in Public Health, 2. </w:t>
      </w:r>
      <w:hyperlink r:id="rId138" w:history="1">
        <w:r>
          <w:rPr>
            <w:rStyle w:val="Lienhypertexte"/>
            <w:rFonts w:eastAsia="Calibri"/>
            <w:kern w:val="2"/>
            <w:lang w:val="en-US" w:eastAsia="zh-CN" w:bidi="ar"/>
          </w:rPr>
          <w:t>https://doi.org/10.3389/fpubh.2014.00145</w:t>
        </w:r>
      </w:hyperlink>
    </w:p>
    <w:p w14:paraId="465D53E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Morad Asaad, A., Ansar Qureshi ,Mohamed, &amp; and Mujeeb Hasan, S. (2016). Clinical significance of coagulase-negative staphylococci isolates from nosocomial bloodstream infections. Infectious Diseases, 48(5), 356</w:t>
      </w:r>
      <w:r>
        <w:rPr>
          <w:rFonts w:eastAsia="Calibri"/>
          <w:kern w:val="2"/>
          <w:lang w:val="en-US" w:eastAsia="zh-CN" w:bidi="ar"/>
        </w:rPr>
        <w:noBreakHyphen/>
        <w:t xml:space="preserve">360. </w:t>
      </w:r>
      <w:hyperlink r:id="rId139" w:history="1">
        <w:r>
          <w:rPr>
            <w:rStyle w:val="Lienhypertexte"/>
            <w:rFonts w:eastAsia="Calibri"/>
            <w:kern w:val="2"/>
            <w:lang w:val="en-US" w:eastAsia="zh-CN" w:bidi="ar"/>
          </w:rPr>
          <w:t>https://doi.org/10.3109/23744235.2015.1122833</w:t>
        </w:r>
      </w:hyperlink>
    </w:p>
    <w:p w14:paraId="0569D69D"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Murtaza Sara, S., Thota, R. C., Uddin, M. Y. S., Bani-Yaghoub, M., Sutkin, G., &amp; Abourraja, M. N. (2024). Patient flow modeling and simulation to study HAI incidence in an Emergency Department. Smart Health, 32, 100467. </w:t>
      </w:r>
      <w:hyperlink r:id="rId140" w:history="1">
        <w:r>
          <w:rPr>
            <w:rStyle w:val="Lienhypertexte"/>
            <w:rFonts w:eastAsia="Calibri"/>
            <w:kern w:val="2"/>
            <w:lang w:val="en-US" w:eastAsia="zh-CN" w:bidi="ar"/>
          </w:rPr>
          <w:t>https://doi.org/10.1016/j.smhl.2024.100467</w:t>
        </w:r>
      </w:hyperlink>
    </w:p>
    <w:p w14:paraId="485AEFE5"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Mutsonziwa, G. A., Mojab, M., Katuwal, M., &amp; Glew, P. (2024). Influences of healthcare workers’ behaviours towards infection prevention and control practices in the clinical setting : A systematic review. Nursing Open, 11(3), e2132. </w:t>
      </w:r>
      <w:hyperlink r:id="rId141" w:history="1">
        <w:r>
          <w:rPr>
            <w:rStyle w:val="Lienhypertexte"/>
            <w:rFonts w:eastAsia="Calibri"/>
            <w:kern w:val="2"/>
            <w:lang w:val="en-US" w:eastAsia="zh-CN" w:bidi="ar"/>
          </w:rPr>
          <w:t>https://doi.org/10.1002/nop2.2132</w:t>
        </w:r>
      </w:hyperlink>
    </w:p>
    <w:p w14:paraId="63B1FA22"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Nelson, R. E., Hyun, D., Jezek, A., &amp; Samore, M. H. (2022). Mortality, Length of Stay, and Healthcare Costs Associated With Multidrug-Resistant Bacterial Infections Among Elderly Hospitalized Patients in the United States. Clinical Infectious Diseases, 74(6), 1070</w:t>
      </w:r>
      <w:r>
        <w:rPr>
          <w:rFonts w:eastAsia="Calibri"/>
          <w:kern w:val="2"/>
          <w:lang w:val="en-US" w:eastAsia="zh-CN" w:bidi="ar"/>
        </w:rPr>
        <w:noBreakHyphen/>
        <w:t xml:space="preserve">1080. </w:t>
      </w:r>
      <w:hyperlink r:id="rId142" w:history="1">
        <w:r>
          <w:rPr>
            <w:rStyle w:val="Lienhypertexte"/>
            <w:rFonts w:eastAsia="Calibri"/>
            <w:kern w:val="2"/>
            <w:lang w:val="en-US" w:eastAsia="zh-CN" w:bidi="ar"/>
          </w:rPr>
          <w:t>https://doi.org/10.1093/cid/ciab696</w:t>
        </w:r>
      </w:hyperlink>
    </w:p>
    <w:p w14:paraId="3DD5D14E"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Njall, C., Adiogo, D., Bita, A., Ateba, N., Sume, G., Kollo, B., Binam, F., &amp; Tchoua, R. (2013). </w:t>
      </w:r>
      <w:r>
        <w:rPr>
          <w:rFonts w:eastAsia="Calibri"/>
          <w:kern w:val="2"/>
          <w:lang w:val="fr" w:eastAsia="zh-CN" w:bidi="ar"/>
        </w:rPr>
        <w:t xml:space="preserve">Écologie bactérienne de l’infection nosocomiale au service de réanimation de l’hôpital Laquintinie de Douala, Cameroun. </w:t>
      </w:r>
      <w:r>
        <w:rPr>
          <w:rFonts w:eastAsia="Calibri"/>
          <w:kern w:val="2"/>
          <w:lang w:val="en-US" w:eastAsia="zh-CN" w:bidi="ar"/>
        </w:rPr>
        <w:t xml:space="preserve">The Pan African Medical Journal, 14, 140. </w:t>
      </w:r>
      <w:hyperlink r:id="rId143" w:history="1">
        <w:r>
          <w:rPr>
            <w:rStyle w:val="Lienhypertexte"/>
            <w:rFonts w:eastAsia="Calibri"/>
            <w:kern w:val="2"/>
            <w:lang w:val="en-US" w:eastAsia="zh-CN" w:bidi="ar"/>
          </w:rPr>
          <w:t>https://doi.org/10.11604/pamj.2013.14.140.1818</w:t>
        </w:r>
      </w:hyperlink>
    </w:p>
    <w:p w14:paraId="4ECB66D7"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Odoyo, E., Matano, D., Tiria, F., Georges, M., Kyanya, C., Wahome, S., Mutai, W., &amp; Musila, L. (2023). Environmental contamination across multiple hospital departments with multidrug-resistant bacteria pose an elevated risk of healthcare-associated infections in Kenyan hospitals. Antimicrobial Resistance &amp; Infection Control, 12(1), 22. </w:t>
      </w:r>
      <w:hyperlink r:id="rId144" w:history="1">
        <w:r>
          <w:rPr>
            <w:rStyle w:val="Lienhypertexte"/>
            <w:rFonts w:eastAsia="Calibri"/>
            <w:kern w:val="2"/>
            <w:lang w:val="en-US" w:eastAsia="zh-CN" w:bidi="ar"/>
          </w:rPr>
          <w:t>https://doi.org/10.1186/s13756-023-01227-x</w:t>
        </w:r>
      </w:hyperlink>
    </w:p>
    <w:p w14:paraId="6C352736"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Paczosa, M. K., &amp; Mecsas, J. (2016). Klebsiella pneumoniae : Going on the Offense with a Strong Defense. Microbiology and Molecular Biology Reviews, 80(3), 629</w:t>
      </w:r>
      <w:r>
        <w:rPr>
          <w:rFonts w:eastAsia="Calibri"/>
          <w:kern w:val="2"/>
          <w:lang w:val="en-US" w:eastAsia="zh-CN" w:bidi="ar"/>
        </w:rPr>
        <w:noBreakHyphen/>
        <w:t xml:space="preserve">661. </w:t>
      </w:r>
      <w:hyperlink r:id="rId145" w:history="1">
        <w:r>
          <w:rPr>
            <w:rStyle w:val="Lienhypertexte"/>
            <w:rFonts w:eastAsia="Calibri"/>
            <w:kern w:val="2"/>
            <w:lang w:val="en-US" w:eastAsia="zh-CN" w:bidi="ar"/>
          </w:rPr>
          <w:t>https://doi.org/10.1128/mmbr.00078-15</w:t>
        </w:r>
      </w:hyperlink>
    </w:p>
    <w:p w14:paraId="4E2E2C0A"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Patel, Y., Soni, V., Rhee, K. Y., &amp; Helmann, J. D. (2023). Mutations in rpoB That Confer Rifampicin Resistance Can Alter Levels of Peptidoglycan Precursors and Affect </w:t>
      </w:r>
      <w:r>
        <w:rPr>
          <w:rFonts w:eastAsia="Calibri"/>
          <w:kern w:val="2"/>
          <w:lang w:val="fr" w:eastAsia="zh-CN" w:bidi="ar"/>
        </w:rPr>
        <w:t>β</w:t>
      </w:r>
      <w:r>
        <w:rPr>
          <w:rFonts w:eastAsia="Calibri"/>
          <w:kern w:val="2"/>
          <w:lang w:val="en-US" w:eastAsia="zh-CN" w:bidi="ar"/>
        </w:rPr>
        <w:t xml:space="preserve">-Lactam Susceptibility. mBio, 14(2), e03168-22. </w:t>
      </w:r>
      <w:hyperlink r:id="rId146" w:history="1">
        <w:r>
          <w:rPr>
            <w:rStyle w:val="Lienhypertexte"/>
            <w:rFonts w:eastAsia="Calibri"/>
            <w:kern w:val="2"/>
            <w:lang w:val="en-US" w:eastAsia="zh-CN" w:bidi="ar"/>
          </w:rPr>
          <w:t>https://doi.org/10.1128/mbio.03168-22</w:t>
        </w:r>
      </w:hyperlink>
    </w:p>
    <w:p w14:paraId="5C5C6B59"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Pereira, S. G., Alarico, S., Tiago, I., Reis, D., Nunes-Costa, D., Cardoso, O., Maranha, A., &amp; Empadinhas, N. (2019). Studies of antimicrobial resistance in rare mycobacteria from a nosocomial environment. BMC Microbiology, 19(1), 62. </w:t>
      </w:r>
      <w:hyperlink r:id="rId147" w:history="1">
        <w:r>
          <w:rPr>
            <w:rStyle w:val="Lienhypertexte"/>
            <w:rFonts w:eastAsia="Calibri"/>
            <w:kern w:val="2"/>
            <w:lang w:val="en-US" w:eastAsia="zh-CN" w:bidi="ar"/>
          </w:rPr>
          <w:t>https://doi.org/10.1186/s12866-019-1428-4</w:t>
        </w:r>
      </w:hyperlink>
    </w:p>
    <w:p w14:paraId="608F2EDD"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Polek, B., Fürst, W., Bachmann, V., &amp; Blankart, R. (avec Polek, B., Fürst, W., Bachmann, V., &amp; Blankart, R.). </w:t>
      </w:r>
      <w:r>
        <w:rPr>
          <w:rFonts w:eastAsia="Calibri"/>
          <w:kern w:val="2"/>
          <w:lang w:val="fr" w:eastAsia="zh-CN" w:bidi="ar"/>
        </w:rPr>
        <w:t xml:space="preserve">(2024). Des antibiotiques efficaces pour le système de santé suisse : Aujourd’hui et à l’avenir. In Polek, Barbara; Fürst, Walter; Bachmann, Valérie; Blankart, Rudolf (2024). Des antibiotiques efficaces pour le système de santé suisse : Aujourd’hui et à l’avenir. Berne, Suisse : Table Ronde Suisse sur les Antibiotiques. Table Ronde Suisse sur les Antibiotiques. </w:t>
      </w:r>
      <w:hyperlink r:id="rId148" w:history="1">
        <w:r>
          <w:rPr>
            <w:rStyle w:val="Lienhypertexte"/>
            <w:rFonts w:eastAsia="Calibri"/>
            <w:kern w:val="2"/>
            <w:lang w:val="en-US" w:eastAsia="zh-CN" w:bidi="ar"/>
          </w:rPr>
          <w:t>https://boris.unibe.ch/194389/</w:t>
        </w:r>
      </w:hyperlink>
    </w:p>
    <w:p w14:paraId="7005C5F3"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Porter, L., Sultan, O., Mitchell, B. G., Jenney, A., Kiernan, M., Brewster, D. J., &amp; Russo, P. L. (2024). How long do nosocomial pathogens persist on inanimate surfaces? A scoping review. Journal of Hospital Infection, 147, 25</w:t>
      </w:r>
      <w:r>
        <w:rPr>
          <w:rFonts w:eastAsia="Calibri"/>
          <w:kern w:val="2"/>
          <w:lang w:val="en-US" w:eastAsia="zh-CN" w:bidi="ar"/>
        </w:rPr>
        <w:noBreakHyphen/>
        <w:t xml:space="preserve">31. </w:t>
      </w:r>
      <w:hyperlink r:id="rId149" w:history="1">
        <w:r>
          <w:rPr>
            <w:rStyle w:val="Lienhypertexte"/>
            <w:rFonts w:eastAsia="Calibri"/>
            <w:kern w:val="2"/>
            <w:lang w:val="en-US" w:eastAsia="zh-CN" w:bidi="ar"/>
          </w:rPr>
          <w:t>https://doi.org/10.1016/j.jhin.2024.01.023</w:t>
        </w:r>
      </w:hyperlink>
    </w:p>
    <w:p w14:paraId="2887EA2C"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Pot, M. (2021). </w:t>
      </w:r>
      <w:r>
        <w:rPr>
          <w:rFonts w:eastAsia="Calibri"/>
          <w:kern w:val="2"/>
          <w:lang w:val="fr" w:eastAsia="zh-CN" w:bidi="ar"/>
        </w:rPr>
        <w:t xml:space="preserve">Echanges de gènes de résistance entre bactéries de différents biotopes [These de doctorat, Antilles]. </w:t>
      </w:r>
      <w:hyperlink r:id="rId150" w:history="1">
        <w:r>
          <w:rPr>
            <w:rStyle w:val="Lienhypertexte"/>
            <w:rFonts w:eastAsia="Calibri"/>
            <w:kern w:val="2"/>
            <w:lang w:val="fr" w:eastAsia="zh-CN" w:bidi="ar"/>
          </w:rPr>
          <w:t>https://theses.fr/2021ANTI0648</w:t>
        </w:r>
      </w:hyperlink>
    </w:p>
    <w:p w14:paraId="012F6D3C"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 xml:space="preserve">Rahmouni, H. (2022). Étude prospective des bactéries impliquées dans l’infection nosocomiale au service de réanimation néonatale à l’hôpital d’enfants de Rabat. </w:t>
      </w:r>
      <w:hyperlink r:id="rId151" w:history="1">
        <w:r>
          <w:rPr>
            <w:rStyle w:val="Lienhypertexte"/>
            <w:rFonts w:eastAsia="Calibri"/>
            <w:kern w:val="2"/>
            <w:lang w:val="fr" w:eastAsia="zh-CN" w:bidi="ar"/>
          </w:rPr>
          <w:t>https://toubkal.imist.ma/bitstream/handle/123456789/19195/P0172022.pdf?sequence=1</w:t>
        </w:r>
      </w:hyperlink>
    </w:p>
    <w:p w14:paraId="137E42B5"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Raoofi, S., Kan, F. P., Rafiei, S., Hosseinipalangi, Z., Mejareh, Z. N., Khani, S., Abdollahi, B., Talab, F. S., Sanaei, M., Zarabi, F., Dolati, Y., Ahmadi, N., Raoofi, N., Sarhadi, Y., Masoumi, M., Hosseini, B. sadat, Vali, N., Gholamali, N., Asadi, S., … </w:t>
      </w:r>
      <w:r>
        <w:rPr>
          <w:rFonts w:eastAsia="Calibri"/>
          <w:kern w:val="2"/>
          <w:lang w:val="en-US" w:eastAsia="zh-CN" w:bidi="ar"/>
        </w:rPr>
        <w:t xml:space="preserve">Ghashghaee, A. (2023). Global prevalence of nosocomial infection : A systematic review and meta-analysis. PLOS ONE, 18(1), e0274248. </w:t>
      </w:r>
      <w:hyperlink r:id="rId152" w:history="1">
        <w:r>
          <w:rPr>
            <w:rStyle w:val="Lienhypertexte"/>
            <w:rFonts w:eastAsia="Calibri"/>
            <w:kern w:val="2"/>
            <w:lang w:val="en-US" w:eastAsia="zh-CN" w:bidi="ar"/>
          </w:rPr>
          <w:t>https://doi.org/10.1371/journal.pone.0274248</w:t>
        </w:r>
      </w:hyperlink>
    </w:p>
    <w:p w14:paraId="6DD1DE2A"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Rasamiravaka, T., Shaista Sheila, H. S. L., Rakotomavojaona, T., Rakoto-Alson, A. O., &amp; Rasamindrakotroka, A. (2015). Changing profile and increasing antimicrobial resistance of uropathogenic bacteria in Madagascar. </w:t>
      </w:r>
      <w:r>
        <w:rPr>
          <w:rFonts w:eastAsia="Calibri"/>
          <w:kern w:val="2"/>
          <w:lang w:val="fr" w:eastAsia="zh-CN" w:bidi="ar"/>
        </w:rPr>
        <w:t>Médecine et Maladies Infectieuses, 45(5), 173</w:t>
      </w:r>
      <w:r>
        <w:rPr>
          <w:rFonts w:eastAsia="Calibri"/>
          <w:kern w:val="2"/>
          <w:lang w:val="fr" w:eastAsia="zh-CN" w:bidi="ar"/>
        </w:rPr>
        <w:noBreakHyphen/>
        <w:t xml:space="preserve">176. </w:t>
      </w:r>
      <w:hyperlink r:id="rId153" w:history="1">
        <w:r>
          <w:rPr>
            <w:rStyle w:val="Lienhypertexte"/>
            <w:rFonts w:eastAsia="Calibri"/>
            <w:kern w:val="2"/>
            <w:lang w:val="fr" w:eastAsia="zh-CN" w:bidi="ar"/>
          </w:rPr>
          <w:t>https://doi.org/10.1016/j.medmal.2015.03.006</w:t>
        </w:r>
      </w:hyperlink>
    </w:p>
    <w:p w14:paraId="2744D062"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sidRPr="00525786">
        <w:rPr>
          <w:rFonts w:eastAsia="Calibri"/>
          <w:kern w:val="2"/>
          <w:lang w:val="en-US" w:eastAsia="zh-CN" w:bidi="ar"/>
        </w:rPr>
        <w:t xml:space="preserve">Rather, I. A., Kim, B.-C., Bajpai, V. K., &amp; Park, Y.-H. (2017). </w:t>
      </w:r>
      <w:r>
        <w:rPr>
          <w:rFonts w:eastAsia="Calibri"/>
          <w:kern w:val="2"/>
          <w:lang w:val="en-US" w:eastAsia="zh-CN" w:bidi="ar"/>
        </w:rPr>
        <w:t>Self-medication and antibiotic resistance : Crisis, current challenges, and prevention. Saudi Journal of Biological Sciences, 24(4), 808</w:t>
      </w:r>
      <w:r>
        <w:rPr>
          <w:rFonts w:eastAsia="Calibri"/>
          <w:kern w:val="2"/>
          <w:lang w:val="en-US" w:eastAsia="zh-CN" w:bidi="ar"/>
        </w:rPr>
        <w:noBreakHyphen/>
        <w:t xml:space="preserve">812. </w:t>
      </w:r>
      <w:hyperlink r:id="rId154" w:history="1">
        <w:r>
          <w:rPr>
            <w:rStyle w:val="Lienhypertexte"/>
            <w:rFonts w:eastAsia="Calibri"/>
            <w:kern w:val="2"/>
            <w:lang w:val="en-US" w:eastAsia="zh-CN" w:bidi="ar"/>
          </w:rPr>
          <w:t>https://doi.org/10.1016/j.sjbs.2017.01.004</w:t>
        </w:r>
      </w:hyperlink>
    </w:p>
    <w:p w14:paraId="15FAF6AD"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 xml:space="preserve">Ratovonirina, N. H. (2017). Etudes descriptive, épidémiologique, moléculaire et spatiale des souches Mycobacterium tuberculosis circulant à Antananarivo, Madagascar [Phdthesis, Université Paris-Saclay ; Université d’Antananarivo ; Institut Pasteur (Tananarive)]. </w:t>
      </w:r>
      <w:hyperlink r:id="rId155" w:history="1">
        <w:r>
          <w:rPr>
            <w:rStyle w:val="Lienhypertexte"/>
            <w:rFonts w:eastAsia="Calibri"/>
            <w:kern w:val="2"/>
            <w:lang w:val="fr" w:eastAsia="zh-CN" w:bidi="ar"/>
          </w:rPr>
          <w:t>https://theses.hal.science/tel-01784738</w:t>
        </w:r>
      </w:hyperlink>
    </w:p>
    <w:p w14:paraId="57D611BB"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Rebiahi, S.-A., Rahmoun, M., Seddiki, S. M. L., Kadi, K., Belhadji, F., Chabni, N., &amp; Kunkel, D. (2014). Infections nosocomiales causées par Staphylococcus aureus producteur de biofilm dans l’unité de néonatologie de l’établissement hospitalier spécialisé mère-enfant de Tlemcen, Algérie. Journal de Pédiatrie et de Puériculture, 27(5), 228</w:t>
      </w:r>
      <w:r>
        <w:rPr>
          <w:rFonts w:eastAsia="Calibri"/>
          <w:kern w:val="2"/>
          <w:lang w:val="fr" w:eastAsia="zh-CN" w:bidi="ar"/>
        </w:rPr>
        <w:noBreakHyphen/>
        <w:t xml:space="preserve">235. </w:t>
      </w:r>
      <w:hyperlink r:id="rId156" w:history="1">
        <w:r>
          <w:rPr>
            <w:rStyle w:val="Lienhypertexte"/>
            <w:rFonts w:eastAsia="Calibri"/>
            <w:kern w:val="2"/>
            <w:lang w:val="fr" w:eastAsia="zh-CN" w:bidi="ar"/>
          </w:rPr>
          <w:t>https://doi.org/10.1016/j.jpp.2014.08.008</w:t>
        </w:r>
      </w:hyperlink>
    </w:p>
    <w:p w14:paraId="4A730654"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Reller, L. B., Weinstein, M., Jorgensen, J. H., &amp; Ferraro, M. J. (2009). Antimicrobial Susceptibility Testing : A Review of General Principles and Contemporary Practices. </w:t>
      </w:r>
      <w:r>
        <w:rPr>
          <w:rFonts w:eastAsia="Calibri"/>
          <w:kern w:val="2"/>
          <w:lang w:val="fr" w:eastAsia="zh-CN" w:bidi="ar"/>
        </w:rPr>
        <w:t>Clinical Infectious Diseases, 49(11), 1749</w:t>
      </w:r>
      <w:r>
        <w:rPr>
          <w:rFonts w:eastAsia="Calibri"/>
          <w:kern w:val="2"/>
          <w:lang w:val="fr" w:eastAsia="zh-CN" w:bidi="ar"/>
        </w:rPr>
        <w:noBreakHyphen/>
        <w:t xml:space="preserve">1755. </w:t>
      </w:r>
      <w:hyperlink r:id="rId157" w:history="1">
        <w:r>
          <w:rPr>
            <w:rStyle w:val="Lienhypertexte"/>
            <w:rFonts w:eastAsia="Calibri"/>
            <w:kern w:val="2"/>
            <w:lang w:val="fr" w:eastAsia="zh-CN" w:bidi="ar"/>
          </w:rPr>
          <w:t>https://doi.org/10.1086/647952</w:t>
        </w:r>
      </w:hyperlink>
    </w:p>
    <w:p w14:paraId="39C6A4B9"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Rodríguez-Baño, J., Gutiérrez-Gutiérrez, B., Machuca, I., &amp; Pascual, A. (2018). </w:t>
      </w:r>
      <w:r>
        <w:rPr>
          <w:rFonts w:eastAsia="Calibri"/>
          <w:kern w:val="2"/>
          <w:lang w:val="en-US" w:eastAsia="zh-CN" w:bidi="ar"/>
        </w:rPr>
        <w:t xml:space="preserve">Treatment of Infections Caused by Extended-Spectrum-Beta-Lactamase-, AmpC-, and Carbapenemase-Producing Enterobacteriaceae. Clinical Microbiology Reviews, 31(2), e00079-17. </w:t>
      </w:r>
      <w:hyperlink r:id="rId158" w:history="1">
        <w:r>
          <w:rPr>
            <w:rStyle w:val="Lienhypertexte"/>
            <w:rFonts w:eastAsia="Calibri"/>
            <w:kern w:val="2"/>
            <w:lang w:val="en-US" w:eastAsia="zh-CN" w:bidi="ar"/>
          </w:rPr>
          <w:t>https://doi.org/10.1128/CMR.00079-17</w:t>
        </w:r>
      </w:hyperlink>
    </w:p>
    <w:p w14:paraId="14AA2FBE" w14:textId="77777777" w:rsidR="00B611D1" w:rsidRDefault="00FB7689">
      <w:pPr>
        <w:pStyle w:val="NormalWeb"/>
        <w:spacing w:before="0" w:beforeAutospacing="0" w:after="200" w:afterAutospacing="0" w:line="360" w:lineRule="auto"/>
        <w:jc w:val="both"/>
        <w:rPr>
          <w:rFonts w:eastAsia="Calibri"/>
          <w:kern w:val="2"/>
          <w:lang w:val="fr-FR" w:eastAsia="zh-CN" w:bidi="ar"/>
        </w:rPr>
      </w:pPr>
      <w:r>
        <w:rPr>
          <w:rFonts w:eastAsia="Calibri"/>
          <w:kern w:val="2"/>
          <w:lang w:val="en-US" w:eastAsia="zh-CN" w:bidi="ar"/>
        </w:rPr>
        <w:t xml:space="preserve">Rohit Dey. (2016). Platelet Adherence by Oral Streptococci. </w:t>
      </w:r>
      <w:hyperlink r:id="rId159" w:history="1">
        <w:r>
          <w:rPr>
            <w:rStyle w:val="Lienhypertexte"/>
            <w:rFonts w:eastAsia="Calibri"/>
            <w:kern w:val="2"/>
            <w:lang w:val="fr-FR" w:eastAsia="zh-CN" w:bidi="ar"/>
          </w:rPr>
          <w:t>https://doi.org/10.13140/RG.2.2.24814.15687</w:t>
        </w:r>
      </w:hyperlink>
    </w:p>
    <w:p w14:paraId="5FF63A07"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fr" w:eastAsia="zh-CN" w:bidi="ar"/>
        </w:rPr>
        <w:t>Ruppé, E. (2010). Épidémiologie des bêta-lactamases à spectre élargi : L’avènement des CTX-M. Antibiotiques, 12(1), 3</w:t>
      </w:r>
      <w:r>
        <w:rPr>
          <w:rFonts w:eastAsia="Calibri"/>
          <w:kern w:val="2"/>
          <w:lang w:val="fr" w:eastAsia="zh-CN" w:bidi="ar"/>
        </w:rPr>
        <w:noBreakHyphen/>
        <w:t xml:space="preserve">16. </w:t>
      </w:r>
      <w:hyperlink r:id="rId160" w:history="1">
        <w:r>
          <w:rPr>
            <w:rStyle w:val="Lienhypertexte"/>
            <w:rFonts w:eastAsia="Calibri"/>
            <w:kern w:val="2"/>
            <w:lang w:val="fr" w:eastAsia="zh-CN" w:bidi="ar"/>
          </w:rPr>
          <w:t>https://doi.org/10.1016/j.antib.2010.01.003</w:t>
        </w:r>
      </w:hyperlink>
    </w:p>
    <w:p w14:paraId="041D0C9E"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Russotto, V., Cortegiani, A., Raineri, S. M., &amp; Giarratano, A. (2015). </w:t>
      </w:r>
      <w:r>
        <w:rPr>
          <w:rFonts w:eastAsia="Calibri"/>
          <w:kern w:val="2"/>
          <w:lang w:val="en-US" w:eastAsia="zh-CN" w:bidi="ar"/>
        </w:rPr>
        <w:t xml:space="preserve">Bacterial contamination of inanimate surfaces and equipment in the intensive care unit. Journal of Intensive Care, 3(1), 54. </w:t>
      </w:r>
      <w:hyperlink r:id="rId161" w:history="1">
        <w:r>
          <w:rPr>
            <w:rStyle w:val="Lienhypertexte"/>
            <w:rFonts w:eastAsia="Calibri"/>
            <w:kern w:val="2"/>
            <w:lang w:val="en-US" w:eastAsia="zh-CN" w:bidi="ar"/>
          </w:rPr>
          <w:t>https://doi.org/10.1186/s40560-015-0120-5</w:t>
        </w:r>
      </w:hyperlink>
    </w:p>
    <w:p w14:paraId="6979B65A"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Salam, M. A., Al-Amin, M. Y., Salam, M. T., Pawar, J. S., Akhter, N., Rabaan, A. A., &amp; Alqumber, M. A. A. (2023). Antimicrobial Resistance : A Growing Serious Threat for Global Public Health. Healthcare, 11(13), Article 13. </w:t>
      </w:r>
      <w:hyperlink r:id="rId162" w:history="1">
        <w:r>
          <w:rPr>
            <w:rStyle w:val="Lienhypertexte"/>
            <w:rFonts w:eastAsia="Calibri"/>
            <w:kern w:val="2"/>
            <w:lang w:val="en-US" w:eastAsia="zh-CN" w:bidi="ar"/>
          </w:rPr>
          <w:t>https://doi.org/10.3390/healthcare11131946</w:t>
        </w:r>
      </w:hyperlink>
    </w:p>
    <w:p w14:paraId="7D559A4B" w14:textId="77777777" w:rsidR="00B611D1" w:rsidRDefault="00FB7689">
      <w:pPr>
        <w:pStyle w:val="NormalWeb"/>
        <w:spacing w:before="0" w:beforeAutospacing="0" w:after="200" w:afterAutospacing="0" w:line="360" w:lineRule="auto"/>
        <w:jc w:val="both"/>
        <w:rPr>
          <w:lang w:val="en-US"/>
        </w:rPr>
      </w:pPr>
      <w:r>
        <w:rPr>
          <w:rFonts w:eastAsia="Calibri"/>
          <w:kern w:val="2"/>
          <w:lang w:val="en-US" w:eastAsia="zh-CN" w:bidi="ar"/>
        </w:rPr>
        <w:t>Salem, M. L., Ghaber, S. M., Baba, S. E., &amp; Maouloud, M. M. (2016). Antibiotic susceptibility of community-acquired strains ofstaphylococcus aureus in Nouakchott Region (Mauritania). The Pan African Medical Journal, 24, 276</w:t>
      </w:r>
      <w:r>
        <w:rPr>
          <w:rFonts w:eastAsia="Calibri"/>
          <w:kern w:val="2"/>
          <w:lang w:val="en-US" w:eastAsia="zh-CN" w:bidi="ar"/>
        </w:rPr>
        <w:noBreakHyphen/>
        <w:t>276.</w:t>
      </w:r>
    </w:p>
    <w:p w14:paraId="580D3C43"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Sannathimmappa, M. B., Nambiar, V., Al Siyabi, K. H. S. H., Hussain, A. S., Shah, Y. A., Marimuthu, Y., Al-maqbali, S., Annamanedi, M., Al-Risi, E. S., &amp; Aravindakshan, R. (2024). Antimicrobial Resistance Pattern, Predisposing Factors, and Outcome of Serratia Infection in Patients Treated at a Secondary-Care Hospital in Oman : A 5-Year Retrospective Study. Advanced Biomedical Research, 13(1), 101. </w:t>
      </w:r>
      <w:hyperlink r:id="rId163" w:history="1">
        <w:r>
          <w:rPr>
            <w:rStyle w:val="Lienhypertexte"/>
            <w:rFonts w:eastAsia="Calibri"/>
            <w:kern w:val="2"/>
            <w:lang w:val="en-US" w:eastAsia="zh-CN" w:bidi="ar"/>
          </w:rPr>
          <w:t>https://doi.org/10.4103/abr.abr_381_23</w:t>
        </w:r>
      </w:hyperlink>
    </w:p>
    <w:p w14:paraId="0ECDAA7D" w14:textId="77777777" w:rsidR="00B611D1" w:rsidRDefault="00FB7689">
      <w:pPr>
        <w:pStyle w:val="NormalWeb"/>
        <w:spacing w:before="0" w:beforeAutospacing="0" w:after="200" w:afterAutospacing="0" w:line="360" w:lineRule="auto"/>
        <w:jc w:val="both"/>
        <w:rPr>
          <w:lang w:val="fr"/>
        </w:rPr>
      </w:pPr>
      <w:r>
        <w:rPr>
          <w:rFonts w:eastAsia="Calibri"/>
          <w:kern w:val="2"/>
          <w:lang w:val="en-US" w:eastAsia="zh-CN" w:bidi="ar"/>
        </w:rPr>
        <w:t xml:space="preserve">Savey, A., &amp; Machut, A. (2013). </w:t>
      </w:r>
      <w:r>
        <w:rPr>
          <w:rFonts w:eastAsia="Calibri"/>
          <w:kern w:val="2"/>
          <w:lang w:val="fr" w:eastAsia="zh-CN" w:bidi="ar"/>
        </w:rPr>
        <w:t>Surveillance des infections nosocomiales en réanimation adulte. Réseau REA-Raisin, France, résultats 2011. Institut de veille sanitaire.</w:t>
      </w:r>
    </w:p>
    <w:p w14:paraId="03123037" w14:textId="77777777" w:rsidR="00B611D1" w:rsidRDefault="00FB7689">
      <w:pPr>
        <w:pStyle w:val="NormalWeb"/>
        <w:spacing w:before="0" w:beforeAutospacing="0" w:after="200" w:afterAutospacing="0" w:line="360" w:lineRule="auto"/>
        <w:jc w:val="both"/>
        <w:rPr>
          <w:lang w:val="en-US"/>
        </w:rPr>
      </w:pPr>
      <w:r>
        <w:rPr>
          <w:rFonts w:eastAsia="Calibri"/>
          <w:kern w:val="2"/>
          <w:lang w:val="fr" w:eastAsia="zh-CN" w:bidi="ar"/>
        </w:rPr>
        <w:t xml:space="preserve">Senba, M., &amp; Watanabe, K. (2015). </w:t>
      </w:r>
      <w:r>
        <w:rPr>
          <w:rFonts w:eastAsia="Calibri"/>
          <w:kern w:val="2"/>
          <w:lang w:val="en-US" w:eastAsia="zh-CN" w:bidi="ar"/>
        </w:rPr>
        <w:t>Possibility of novel therapeutic strategy for multidrug resistant Pseudomonas aeruginosa using bactericidal activity in Streptococcus sanguinis secretion. Science Against Microbial Pathogens: Communicating Current and Technological Advances A. Medez-Vilas (Ed.), 706</w:t>
      </w:r>
      <w:r>
        <w:rPr>
          <w:rFonts w:eastAsia="Calibri"/>
          <w:kern w:val="2"/>
          <w:lang w:val="en-US" w:eastAsia="zh-CN" w:bidi="ar"/>
        </w:rPr>
        <w:noBreakHyphen/>
        <w:t>713.</w:t>
      </w:r>
    </w:p>
    <w:p w14:paraId="6BD0674C"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Shebl, E., &amp; Gulick, P. G. (2025). Nosocomial Pneumonia. In StatPearls. StatPearls Publishing. </w:t>
      </w:r>
      <w:hyperlink r:id="rId164" w:history="1">
        <w:r>
          <w:rPr>
            <w:rStyle w:val="Lienhypertexte"/>
            <w:rFonts w:eastAsia="Calibri"/>
            <w:kern w:val="2"/>
            <w:lang w:val="en-US" w:eastAsia="zh-CN" w:bidi="ar"/>
          </w:rPr>
          <w:t>http://www.ncbi.nlm.nih.gov/books/NBK535441/</w:t>
        </w:r>
      </w:hyperlink>
    </w:p>
    <w:p w14:paraId="3517CD17"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Shumba, P., Mairpady Shambat, S., &amp; Siemens, N. (2019). The Role of Streptococcal and Staphylococcal Exotoxins and Proteases in Human Necrotizing Soft Tissue Infections. Toxins, 11(6), Article 6. </w:t>
      </w:r>
      <w:hyperlink r:id="rId165" w:history="1">
        <w:r>
          <w:rPr>
            <w:rStyle w:val="Lienhypertexte"/>
            <w:rFonts w:eastAsia="Calibri"/>
            <w:kern w:val="2"/>
            <w:lang w:val="en-US" w:eastAsia="zh-CN" w:bidi="ar"/>
          </w:rPr>
          <w:t>https://doi.org/10.3390/toxins11060332</w:t>
        </w:r>
      </w:hyperlink>
    </w:p>
    <w:p w14:paraId="6D23CD49"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Silva, I. M. D. S. E., Holanda, J. R., Oliveira, R. D. S. M. D., Neto, A. R. D. S., Sena, I. V. D. O., Almeida, R. N., Aliaga, K. M. J. D., &amp; Freitas, D. R. J. D. (2021). Acinetobacter baumannii : INFECÇÕES ASSOCIADAS, RESISTÊNCIA ANTIMICROBIANA, TRATAMENTO, PREVENÇÃO E CONTROLE. In D. R. J. D. Freitas, Microbiologia : Clínica, ambiental e alimentos 2 (1</w:t>
      </w:r>
      <w:r>
        <w:rPr>
          <w:rFonts w:eastAsia="Calibri"/>
          <w:kern w:val="2"/>
          <w:vertAlign w:val="superscript"/>
          <w:lang w:val="en-US" w:eastAsia="zh-CN" w:bidi="ar"/>
        </w:rPr>
        <w:t>re</w:t>
      </w:r>
      <w:r>
        <w:rPr>
          <w:rFonts w:eastAsia="Calibri"/>
          <w:kern w:val="2"/>
          <w:lang w:val="en-US" w:eastAsia="zh-CN" w:bidi="ar"/>
        </w:rPr>
        <w:t xml:space="preserve"> éd., p. 38</w:t>
      </w:r>
      <w:r>
        <w:rPr>
          <w:rFonts w:eastAsia="Calibri"/>
          <w:kern w:val="2"/>
          <w:lang w:val="en-US" w:eastAsia="zh-CN" w:bidi="ar"/>
        </w:rPr>
        <w:noBreakHyphen/>
        <w:t xml:space="preserve">48). </w:t>
      </w:r>
      <w:r>
        <w:rPr>
          <w:rFonts w:eastAsia="Calibri"/>
          <w:kern w:val="2"/>
          <w:lang w:val="fr" w:eastAsia="zh-CN" w:bidi="ar"/>
        </w:rPr>
        <w:t xml:space="preserve">Atena Editora. </w:t>
      </w:r>
      <w:hyperlink r:id="rId166" w:history="1">
        <w:r>
          <w:rPr>
            <w:rStyle w:val="Lienhypertexte"/>
            <w:rFonts w:eastAsia="Calibri"/>
            <w:kern w:val="2"/>
            <w:lang w:val="fr" w:eastAsia="zh-CN" w:bidi="ar"/>
          </w:rPr>
          <w:t>https://doi.org/10.22533/at.ed.4642101095</w:t>
        </w:r>
      </w:hyperlink>
    </w:p>
    <w:p w14:paraId="118752DF"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Sizar, O., Leslie, S. W., &amp; Unakal, C. G. (2017). </w:t>
      </w:r>
      <w:r>
        <w:rPr>
          <w:rFonts w:eastAsia="Calibri"/>
          <w:kern w:val="2"/>
          <w:lang w:val="en-US" w:eastAsia="zh-CN" w:bidi="ar"/>
        </w:rPr>
        <w:t xml:space="preserve">Gram-positive bacteria. </w:t>
      </w:r>
      <w:hyperlink r:id="rId167" w:history="1">
        <w:r>
          <w:rPr>
            <w:rStyle w:val="Lienhypertexte"/>
            <w:rFonts w:eastAsia="Calibri"/>
            <w:kern w:val="2"/>
            <w:lang w:val="en-US" w:eastAsia="zh-CN" w:bidi="ar"/>
          </w:rPr>
          <w:t>https://europepmc.org/article/nbk/nbk470553</w:t>
        </w:r>
      </w:hyperlink>
    </w:p>
    <w:p w14:paraId="0F82F77A"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Sodhi, K. K., Singh, C. K., Kumar, M., &amp; Singh, D. K. (2023). Whole-genome sequencing of Alcaligenes sp. strain MMA : Insight into the antibiotic and heavy metal resistant genes. Frontiers in pharmacology, 14, 1144561.</w:t>
      </w:r>
    </w:p>
    <w:p w14:paraId="2E5CBB38"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Ssekitoleko, R. T., Oshabaheebwa, S., Munabi, I. G., Tusabe, M. S., Namayega, C., Ngabirano, B. A., Matovu, B., Mugaga, J., Reichert, W. M., &amp; Joloba, M. L. (2020). The role of medical equipment in the spread of nosocomial infections : A cross-sectional study in four tertiary public health facilities in Uganda. BMC Public Health, 20(1), 1561. </w:t>
      </w:r>
      <w:hyperlink r:id="rId168" w:history="1">
        <w:r>
          <w:rPr>
            <w:rStyle w:val="Lienhypertexte"/>
            <w:rFonts w:eastAsia="Calibri"/>
            <w:kern w:val="2"/>
            <w:lang w:val="en-US" w:eastAsia="zh-CN" w:bidi="ar"/>
          </w:rPr>
          <w:t>https://doi.org/10.1186/s12889-020-09662-w</w:t>
        </w:r>
      </w:hyperlink>
    </w:p>
    <w:p w14:paraId="36871A27" w14:textId="77777777" w:rsidR="00B611D1" w:rsidRDefault="00FB7689">
      <w:pPr>
        <w:pStyle w:val="NormalWeb"/>
        <w:spacing w:before="0" w:beforeAutospacing="0" w:after="200" w:afterAutospacing="0" w:line="360" w:lineRule="auto"/>
        <w:jc w:val="both"/>
        <w:rPr>
          <w:rFonts w:eastAsia="Calibri"/>
          <w:kern w:val="2"/>
          <w:lang w:val="fr" w:eastAsia="zh-CN" w:bidi="ar"/>
        </w:rPr>
      </w:pPr>
      <w:r>
        <w:rPr>
          <w:rFonts w:eastAsia="Calibri"/>
          <w:kern w:val="2"/>
          <w:lang w:val="en-US" w:eastAsia="zh-CN" w:bidi="ar"/>
        </w:rPr>
        <w:t xml:space="preserve">Suleyman, G., Alangaden, G., &amp; Bardossy, A. C. (2018). The Role of Environmental Contamination in the Transmission of Nosocomial Pathogens and Healthcare-Associated Infections. </w:t>
      </w:r>
      <w:r>
        <w:rPr>
          <w:rFonts w:eastAsia="Calibri"/>
          <w:kern w:val="2"/>
          <w:lang w:val="fr" w:eastAsia="zh-CN" w:bidi="ar"/>
        </w:rPr>
        <w:t xml:space="preserve">Current Infectious Disease Reports, 20(6), 12. </w:t>
      </w:r>
      <w:hyperlink r:id="rId169" w:history="1">
        <w:r>
          <w:rPr>
            <w:rStyle w:val="Lienhypertexte"/>
            <w:rFonts w:eastAsia="Calibri"/>
            <w:kern w:val="2"/>
            <w:lang w:val="fr" w:eastAsia="zh-CN" w:bidi="ar"/>
          </w:rPr>
          <w:t>https://doi.org/10.1007/s11908-018-0620-2</w:t>
        </w:r>
      </w:hyperlink>
    </w:p>
    <w:p w14:paraId="78031697" w14:textId="77777777" w:rsidR="00B611D1" w:rsidRDefault="00FB7689">
      <w:pPr>
        <w:pStyle w:val="NormalWeb"/>
        <w:spacing w:before="0" w:beforeAutospacing="0" w:after="200" w:afterAutospacing="0" w:line="360" w:lineRule="auto"/>
        <w:jc w:val="both"/>
        <w:rPr>
          <w:lang w:val="en-US"/>
        </w:rPr>
      </w:pPr>
      <w:r>
        <w:rPr>
          <w:rFonts w:eastAsia="Calibri"/>
          <w:kern w:val="2"/>
          <w:lang w:val="fr" w:eastAsia="zh-CN" w:bidi="ar"/>
        </w:rPr>
        <w:t xml:space="preserve">Suso, S. H. (2012). Coût de l’infection nosocomiale au CHU Hassan II de Fès (à propos de 50 cas). </w:t>
      </w:r>
      <w:hyperlink r:id="rId170" w:history="1">
        <w:r>
          <w:rPr>
            <w:rStyle w:val="Lienhypertexte"/>
            <w:rFonts w:eastAsia="Calibri"/>
            <w:kern w:val="2"/>
            <w:lang w:val="en-US" w:eastAsia="zh-CN" w:bidi="ar"/>
          </w:rPr>
          <w:t>https://toubkal.imist.ma/bitstream/handle/123456789/22563/72-12.pdf?sequence=1</w:t>
        </w:r>
      </w:hyperlink>
    </w:p>
    <w:p w14:paraId="2986A98D"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Tao, S., Chen, H., Li, N., Wang, T., &amp; Liang, W. (2022). The Spread of Antibiotic Resistance Genes In Vivo Model. </w:t>
      </w:r>
      <w:r>
        <w:rPr>
          <w:rFonts w:eastAsia="Calibri"/>
          <w:i/>
          <w:iCs/>
          <w:kern w:val="2"/>
          <w:lang w:val="en-US" w:eastAsia="zh-CN" w:bidi="ar"/>
        </w:rPr>
        <w:t>Canadian Journal of Infectious Diseases and Medical Microbiology</w:t>
      </w:r>
      <w:r>
        <w:rPr>
          <w:rFonts w:eastAsia="Calibri"/>
          <w:kern w:val="2"/>
          <w:lang w:val="en-US" w:eastAsia="zh-CN" w:bidi="ar"/>
        </w:rPr>
        <w:t xml:space="preserve">, </w:t>
      </w:r>
      <w:r>
        <w:rPr>
          <w:rFonts w:eastAsia="Calibri"/>
          <w:i/>
          <w:iCs/>
          <w:kern w:val="2"/>
          <w:lang w:val="en-US" w:eastAsia="zh-CN" w:bidi="ar"/>
        </w:rPr>
        <w:t>2022</w:t>
      </w:r>
      <w:r>
        <w:rPr>
          <w:rFonts w:eastAsia="Calibri"/>
          <w:kern w:val="2"/>
          <w:lang w:val="en-US" w:eastAsia="zh-CN" w:bidi="ar"/>
        </w:rPr>
        <w:t>, 1</w:t>
      </w:r>
      <w:r>
        <w:rPr>
          <w:rFonts w:eastAsia="Calibri"/>
          <w:kern w:val="2"/>
          <w:lang w:val="en-US" w:eastAsia="zh-CN" w:bidi="ar"/>
        </w:rPr>
        <w:noBreakHyphen/>
        <w:t xml:space="preserve">11. </w:t>
      </w:r>
      <w:hyperlink r:id="rId171" w:history="1">
        <w:r>
          <w:rPr>
            <w:rStyle w:val="Lienhypertexte"/>
            <w:rFonts w:eastAsia="Calibri"/>
            <w:kern w:val="2"/>
            <w:lang w:val="en-US" w:eastAsia="zh-CN" w:bidi="ar"/>
          </w:rPr>
          <w:t>https://doi.org/10.1155/2022/3348695</w:t>
        </w:r>
      </w:hyperlink>
    </w:p>
    <w:p w14:paraId="2E234217" w14:textId="77777777" w:rsidR="00B611D1" w:rsidRDefault="00FB7689">
      <w:pPr>
        <w:pStyle w:val="NormalWeb"/>
        <w:spacing w:before="0" w:beforeAutospacing="0" w:after="200" w:afterAutospacing="0" w:line="360" w:lineRule="auto"/>
        <w:jc w:val="both"/>
        <w:rPr>
          <w:rStyle w:val="Lienhypertexte"/>
          <w:rFonts w:eastAsia="Calibri"/>
          <w:kern w:val="2"/>
          <w:lang w:val="fr" w:eastAsia="zh-CN" w:bidi="ar"/>
        </w:rPr>
      </w:pPr>
      <w:r>
        <w:rPr>
          <w:rFonts w:eastAsia="Calibri"/>
          <w:kern w:val="2"/>
          <w:lang w:val="fr" w:eastAsia="zh-CN" w:bidi="ar"/>
        </w:rPr>
        <w:t xml:space="preserve">Tattevin, P. (2011). Les infections à . </w:t>
      </w:r>
      <w:r>
        <w:rPr>
          <w:rFonts w:eastAsia="Calibri"/>
          <w:i/>
          <w:iCs/>
          <w:kern w:val="2"/>
          <w:lang w:val="fr" w:eastAsia="zh-CN" w:bidi="ar"/>
        </w:rPr>
        <w:t>Médecine et Maladies Infectieuses</w:t>
      </w:r>
      <w:r>
        <w:rPr>
          <w:rFonts w:eastAsia="Calibri"/>
          <w:kern w:val="2"/>
          <w:lang w:val="fr" w:eastAsia="zh-CN" w:bidi="ar"/>
        </w:rPr>
        <w:t xml:space="preserve">, </w:t>
      </w:r>
      <w:r>
        <w:rPr>
          <w:rFonts w:eastAsia="Calibri"/>
          <w:i/>
          <w:iCs/>
          <w:kern w:val="2"/>
          <w:lang w:val="fr" w:eastAsia="zh-CN" w:bidi="ar"/>
        </w:rPr>
        <w:t>41</w:t>
      </w:r>
      <w:r>
        <w:rPr>
          <w:rFonts w:eastAsia="Calibri"/>
          <w:kern w:val="2"/>
          <w:lang w:val="fr" w:eastAsia="zh-CN" w:bidi="ar"/>
        </w:rPr>
        <w:t>(4), 167</w:t>
      </w:r>
      <w:r>
        <w:rPr>
          <w:rFonts w:eastAsia="Calibri"/>
          <w:kern w:val="2"/>
          <w:lang w:val="fr" w:eastAsia="zh-CN" w:bidi="ar"/>
        </w:rPr>
        <w:noBreakHyphen/>
        <w:t xml:space="preserve">175. </w:t>
      </w:r>
      <w:hyperlink r:id="rId172" w:history="1">
        <w:r>
          <w:rPr>
            <w:rStyle w:val="Lienhypertexte"/>
            <w:rFonts w:eastAsia="Calibri"/>
            <w:kern w:val="2"/>
            <w:lang w:val="fr" w:eastAsia="zh-CN" w:bidi="ar"/>
          </w:rPr>
          <w:t>https://doi.org/10.1016/j.medmal.2010.11.017</w:t>
        </w:r>
      </w:hyperlink>
    </w:p>
    <w:p w14:paraId="19AB4B38" w14:textId="77777777" w:rsidR="00B611D1" w:rsidRDefault="00FB7689">
      <w:pPr>
        <w:pStyle w:val="NormalWeb"/>
        <w:spacing w:before="0" w:beforeAutospacing="0" w:after="200" w:afterAutospacing="0" w:line="360" w:lineRule="auto"/>
        <w:jc w:val="both"/>
        <w:rPr>
          <w:lang w:val="en-US"/>
        </w:rPr>
      </w:pPr>
      <w:r>
        <w:rPr>
          <w:rFonts w:eastAsia="Calibri"/>
          <w:kern w:val="2"/>
          <w:lang w:val="fr" w:eastAsia="zh-CN" w:bidi="ar"/>
        </w:rPr>
        <w:t xml:space="preserve">Touaitia, R. (2016). Staphylococcus aureus résistant à la méthicilline : Emergence et mécanismes de résistance. </w:t>
      </w:r>
      <w:r>
        <w:rPr>
          <w:rFonts w:eastAsia="Calibri"/>
          <w:i/>
          <w:iCs/>
          <w:kern w:val="2"/>
          <w:lang w:val="en-US" w:eastAsia="zh-CN" w:bidi="ar"/>
        </w:rPr>
        <w:t>Univrsite Badji Mokhtar–Annaba</w:t>
      </w:r>
      <w:r>
        <w:rPr>
          <w:rFonts w:eastAsia="Calibri"/>
          <w:kern w:val="2"/>
          <w:lang w:val="en-US" w:eastAsia="zh-CN" w:bidi="ar"/>
        </w:rPr>
        <w:t>.</w:t>
      </w:r>
    </w:p>
    <w:p w14:paraId="5B71552B" w14:textId="77777777" w:rsidR="00B611D1" w:rsidRDefault="00FB7689">
      <w:pPr>
        <w:pStyle w:val="NormalWeb"/>
        <w:spacing w:before="0" w:beforeAutospacing="0" w:after="200" w:afterAutospacing="0" w:line="360" w:lineRule="auto"/>
        <w:jc w:val="both"/>
        <w:rPr>
          <w:rFonts w:eastAsia="Calibri"/>
          <w:kern w:val="2"/>
          <w:lang w:val="fr" w:eastAsia="zh-CN" w:bidi="ar"/>
        </w:rPr>
      </w:pPr>
      <w:r w:rsidRPr="00525786">
        <w:rPr>
          <w:rFonts w:eastAsia="Calibri"/>
          <w:kern w:val="2"/>
          <w:lang w:val="fr-FR" w:eastAsia="zh-CN" w:bidi="ar"/>
        </w:rPr>
        <w:t xml:space="preserve">Unni, S., Siddiqui, T. J., &amp; Bidaisee, S. (2021). </w:t>
      </w:r>
      <w:r>
        <w:rPr>
          <w:rFonts w:eastAsia="Calibri"/>
          <w:kern w:val="2"/>
          <w:lang w:val="en-US" w:eastAsia="zh-CN" w:bidi="ar"/>
        </w:rPr>
        <w:t xml:space="preserve">Reduced Susceptibility and Resistance to Vancomycin of Staphylococcus aureus : A Review of Global Incidence Patterns and Related Genetic Mechanisms. </w:t>
      </w:r>
      <w:r>
        <w:rPr>
          <w:rFonts w:eastAsia="Calibri"/>
          <w:i/>
          <w:iCs/>
          <w:kern w:val="2"/>
          <w:lang w:val="fr" w:eastAsia="zh-CN" w:bidi="ar"/>
        </w:rPr>
        <w:t>Cureus</w:t>
      </w:r>
      <w:r>
        <w:rPr>
          <w:rFonts w:eastAsia="Calibri"/>
          <w:kern w:val="2"/>
          <w:lang w:val="fr" w:eastAsia="zh-CN" w:bidi="ar"/>
        </w:rPr>
        <w:t xml:space="preserve">. </w:t>
      </w:r>
      <w:hyperlink r:id="rId173" w:history="1">
        <w:r>
          <w:rPr>
            <w:rStyle w:val="Lienhypertexte"/>
            <w:rFonts w:eastAsia="Calibri"/>
            <w:kern w:val="2"/>
            <w:lang w:val="fr" w:eastAsia="zh-CN" w:bidi="ar"/>
          </w:rPr>
          <w:t>https://doi.org/10.7759/cureus.18925</w:t>
        </w:r>
      </w:hyperlink>
    </w:p>
    <w:p w14:paraId="25DD4ACF" w14:textId="77777777" w:rsidR="00B611D1" w:rsidRDefault="00FB7689">
      <w:pPr>
        <w:pStyle w:val="NormalWeb"/>
        <w:spacing w:before="0" w:beforeAutospacing="0" w:after="200" w:afterAutospacing="0" w:line="360" w:lineRule="auto"/>
        <w:jc w:val="both"/>
        <w:rPr>
          <w:lang w:val="fr"/>
        </w:rPr>
      </w:pPr>
      <w:r>
        <w:rPr>
          <w:rFonts w:eastAsia="Calibri"/>
          <w:kern w:val="2"/>
          <w:lang w:val="fr" w:eastAsia="zh-CN" w:bidi="ar"/>
        </w:rPr>
        <w:t xml:space="preserve">Urban, D., Chevance, A., Georgeais, M., Bietrix, J., Bastien, J., Grisot, L., Hugnet, C., Salandre, O., Sauzea, X., &amp; Moulin, G. (2021). Contextes sanitaire et économique en médecine vétérinaire et utilisation d’antibiotiques en France en 2020. </w:t>
      </w:r>
      <w:r>
        <w:rPr>
          <w:rFonts w:eastAsia="Calibri"/>
          <w:i/>
          <w:iCs/>
          <w:kern w:val="2"/>
          <w:lang w:val="fr" w:eastAsia="zh-CN" w:bidi="ar"/>
        </w:rPr>
        <w:t>Epidémiologie et Santé Animale</w:t>
      </w:r>
      <w:r>
        <w:rPr>
          <w:rFonts w:eastAsia="Calibri"/>
          <w:kern w:val="2"/>
          <w:lang w:val="fr" w:eastAsia="zh-CN" w:bidi="ar"/>
        </w:rPr>
        <w:t xml:space="preserve">, </w:t>
      </w:r>
      <w:r>
        <w:rPr>
          <w:rFonts w:eastAsia="Calibri"/>
          <w:i/>
          <w:iCs/>
          <w:kern w:val="2"/>
          <w:lang w:val="fr" w:eastAsia="zh-CN" w:bidi="ar"/>
        </w:rPr>
        <w:t>92</w:t>
      </w:r>
      <w:r>
        <w:rPr>
          <w:rFonts w:eastAsia="Calibri"/>
          <w:kern w:val="2"/>
          <w:lang w:val="fr" w:eastAsia="zh-CN" w:bidi="ar"/>
        </w:rPr>
        <w:t>, 1</w:t>
      </w:r>
      <w:r>
        <w:rPr>
          <w:rFonts w:eastAsia="Calibri"/>
          <w:kern w:val="2"/>
          <w:lang w:val="fr" w:eastAsia="zh-CN" w:bidi="ar"/>
        </w:rPr>
        <w:noBreakHyphen/>
        <w:t>8.</w:t>
      </w:r>
    </w:p>
    <w:p w14:paraId="358BA82A"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fr" w:eastAsia="zh-CN" w:bidi="ar"/>
        </w:rPr>
        <w:t xml:space="preserve">Varela, M. F., Stephen, J., Lekshmi, M., Ojha, M., Wenzel, N., Sanford, L. M., Hernandez, A. J., Parvathi, A., &amp; Kumar, S. H. (2021). </w:t>
      </w:r>
      <w:r>
        <w:rPr>
          <w:rFonts w:eastAsia="Calibri"/>
          <w:kern w:val="2"/>
          <w:lang w:val="en-US" w:eastAsia="zh-CN" w:bidi="ar"/>
        </w:rPr>
        <w:t xml:space="preserve">Bacterial Resistance to Antimicrobial Agents. </w:t>
      </w:r>
      <w:r>
        <w:rPr>
          <w:rFonts w:eastAsia="Calibri"/>
          <w:i/>
          <w:iCs/>
          <w:kern w:val="2"/>
          <w:lang w:val="en-US" w:eastAsia="zh-CN" w:bidi="ar"/>
        </w:rPr>
        <w:t>Antibiotics</w:t>
      </w:r>
      <w:r>
        <w:rPr>
          <w:rFonts w:eastAsia="Calibri"/>
          <w:kern w:val="2"/>
          <w:lang w:val="en-US" w:eastAsia="zh-CN" w:bidi="ar"/>
        </w:rPr>
        <w:t xml:space="preserve">, </w:t>
      </w:r>
      <w:r>
        <w:rPr>
          <w:rFonts w:eastAsia="Calibri"/>
          <w:i/>
          <w:iCs/>
          <w:kern w:val="2"/>
          <w:lang w:val="en-US" w:eastAsia="zh-CN" w:bidi="ar"/>
        </w:rPr>
        <w:t>10</w:t>
      </w:r>
      <w:r>
        <w:rPr>
          <w:rFonts w:eastAsia="Calibri"/>
          <w:kern w:val="2"/>
          <w:lang w:val="en-US" w:eastAsia="zh-CN" w:bidi="ar"/>
        </w:rPr>
        <w:t xml:space="preserve">(5), Article 5. </w:t>
      </w:r>
      <w:hyperlink r:id="rId174" w:history="1">
        <w:r>
          <w:rPr>
            <w:rStyle w:val="Lienhypertexte"/>
            <w:rFonts w:eastAsia="Calibri"/>
            <w:kern w:val="2"/>
            <w:lang w:val="en-US" w:eastAsia="zh-CN" w:bidi="ar"/>
          </w:rPr>
          <w:t>https://doi.org/10.3390/antibiotics10050593</w:t>
        </w:r>
      </w:hyperlink>
    </w:p>
    <w:p w14:paraId="49BF193E"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Vázquez-López, R., Solano-Gálvez, S. G., Juárez Vignon-Whaley, J. J., Abello Vaamonde, J. A., Padró Alonzo, L. A., Rivera Reséndiz, A., Muleiro Álvarez, M., Vega López, E. N., Franyuti-Kelly, G., Álvarez-Hernández, D. A., Moncaleano Guzmán, V., Juárez Bañuelos, J. E., Marcos Felix, J., González Barrios, J. A., &amp; Barrientos Fortes, T. (2020). Acinetobacter baumannii Resistance : A Real Challenge for Clinicians. </w:t>
      </w:r>
      <w:r>
        <w:rPr>
          <w:rFonts w:eastAsia="Calibri"/>
          <w:i/>
          <w:iCs/>
          <w:kern w:val="2"/>
          <w:lang w:val="en-US" w:eastAsia="zh-CN" w:bidi="ar"/>
        </w:rPr>
        <w:t>Antibiotics</w:t>
      </w:r>
      <w:r>
        <w:rPr>
          <w:rFonts w:eastAsia="Calibri"/>
          <w:kern w:val="2"/>
          <w:lang w:val="en-US" w:eastAsia="zh-CN" w:bidi="ar"/>
        </w:rPr>
        <w:t xml:space="preserve">, </w:t>
      </w:r>
      <w:r>
        <w:rPr>
          <w:rFonts w:eastAsia="Calibri"/>
          <w:i/>
          <w:iCs/>
          <w:kern w:val="2"/>
          <w:lang w:val="en-US" w:eastAsia="zh-CN" w:bidi="ar"/>
        </w:rPr>
        <w:t>9</w:t>
      </w:r>
      <w:r>
        <w:rPr>
          <w:rFonts w:eastAsia="Calibri"/>
          <w:kern w:val="2"/>
          <w:lang w:val="en-US" w:eastAsia="zh-CN" w:bidi="ar"/>
        </w:rPr>
        <w:t xml:space="preserve">(4), Article 4. </w:t>
      </w:r>
      <w:hyperlink r:id="rId175" w:history="1">
        <w:r>
          <w:rPr>
            <w:rStyle w:val="Lienhypertexte"/>
            <w:rFonts w:eastAsia="Calibri"/>
            <w:kern w:val="2"/>
            <w:lang w:val="en-US" w:eastAsia="zh-CN" w:bidi="ar"/>
          </w:rPr>
          <w:t>https://doi.org/10.3390/antibiotics9040205</w:t>
        </w:r>
      </w:hyperlink>
    </w:p>
    <w:p w14:paraId="43382C06"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Ventola, C. L. (2015). The Antibiotic Resistance Crisis. </w:t>
      </w:r>
      <w:r>
        <w:rPr>
          <w:rFonts w:eastAsia="Calibri"/>
          <w:i/>
          <w:iCs/>
          <w:kern w:val="2"/>
          <w:lang w:val="en-US" w:eastAsia="zh-CN" w:bidi="ar"/>
        </w:rPr>
        <w:t>Pharmacy and Therapeutics</w:t>
      </w:r>
      <w:r>
        <w:rPr>
          <w:rFonts w:eastAsia="Calibri"/>
          <w:kern w:val="2"/>
          <w:lang w:val="en-US" w:eastAsia="zh-CN" w:bidi="ar"/>
        </w:rPr>
        <w:t xml:space="preserve">, </w:t>
      </w:r>
      <w:r>
        <w:rPr>
          <w:rFonts w:eastAsia="Calibri"/>
          <w:i/>
          <w:iCs/>
          <w:kern w:val="2"/>
          <w:lang w:val="en-US" w:eastAsia="zh-CN" w:bidi="ar"/>
        </w:rPr>
        <w:t>40</w:t>
      </w:r>
      <w:r>
        <w:rPr>
          <w:rFonts w:eastAsia="Calibri"/>
          <w:kern w:val="2"/>
          <w:lang w:val="en-US" w:eastAsia="zh-CN" w:bidi="ar"/>
        </w:rPr>
        <w:t>(4), 277</w:t>
      </w:r>
      <w:r>
        <w:rPr>
          <w:rFonts w:eastAsia="Calibri"/>
          <w:kern w:val="2"/>
          <w:lang w:val="en-US" w:eastAsia="zh-CN" w:bidi="ar"/>
        </w:rPr>
        <w:noBreakHyphen/>
        <w:t>283.</w:t>
      </w:r>
    </w:p>
    <w:p w14:paraId="5CFDCD7A"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Xinying, L., Cai, P., Zhong, H., Yan, C., &amp; Wen, R. (2024). Uses of a real-time automatic nosocomial infection surveillance system to support prevention and control of hospital-acquired infections in the ICU. </w:t>
      </w:r>
      <w:r>
        <w:rPr>
          <w:rFonts w:eastAsia="Calibri"/>
          <w:i/>
          <w:iCs/>
          <w:kern w:val="2"/>
          <w:lang w:val="en-US" w:eastAsia="zh-CN" w:bidi="ar"/>
        </w:rPr>
        <w:t>Frontiers in Public Health</w:t>
      </w:r>
      <w:r>
        <w:rPr>
          <w:rFonts w:eastAsia="Calibri"/>
          <w:kern w:val="2"/>
          <w:lang w:val="en-US" w:eastAsia="zh-CN" w:bidi="ar"/>
        </w:rPr>
        <w:t xml:space="preserve">, </w:t>
      </w:r>
      <w:r>
        <w:rPr>
          <w:rFonts w:eastAsia="Calibri"/>
          <w:i/>
          <w:iCs/>
          <w:kern w:val="2"/>
          <w:lang w:val="en-US" w:eastAsia="zh-CN" w:bidi="ar"/>
        </w:rPr>
        <w:t>12</w:t>
      </w:r>
      <w:r>
        <w:rPr>
          <w:rFonts w:eastAsia="Calibri"/>
          <w:kern w:val="2"/>
          <w:lang w:val="en-US" w:eastAsia="zh-CN" w:bidi="ar"/>
        </w:rPr>
        <w:t xml:space="preserve">. </w:t>
      </w:r>
      <w:hyperlink r:id="rId176" w:history="1">
        <w:r>
          <w:rPr>
            <w:rStyle w:val="Lienhypertexte"/>
            <w:rFonts w:eastAsia="Calibri"/>
            <w:kern w:val="2"/>
            <w:lang w:val="en-US" w:eastAsia="zh-CN" w:bidi="ar"/>
          </w:rPr>
          <w:t>https://doi.org/10.3389/fpubh.2024.1399067</w:t>
        </w:r>
      </w:hyperlink>
    </w:p>
    <w:p w14:paraId="0FC09F5C" w14:textId="77777777" w:rsidR="00B611D1" w:rsidRDefault="00FB7689">
      <w:pPr>
        <w:pStyle w:val="NormalWeb"/>
        <w:spacing w:before="0" w:beforeAutospacing="0" w:after="200" w:afterAutospacing="0" w:line="360" w:lineRule="auto"/>
        <w:jc w:val="both"/>
        <w:rPr>
          <w:rFonts w:eastAsia="Calibri"/>
          <w:kern w:val="2"/>
          <w:lang w:val="en-US" w:eastAsia="zh-CN" w:bidi="ar"/>
        </w:rPr>
      </w:pPr>
      <w:r>
        <w:rPr>
          <w:rFonts w:eastAsia="Calibri"/>
          <w:kern w:val="2"/>
          <w:lang w:val="en-US" w:eastAsia="zh-CN" w:bidi="ar"/>
        </w:rPr>
        <w:t xml:space="preserve">Zabala, G. A., Bellingham, K., Vidhamaly, V., Boupha, P., Boutsamay, K., Newton, P. N., &amp; Caillet, C. (2022). Substandard and falsified antibiotics : Neglected drivers of antimicrobial resistance? </w:t>
      </w:r>
      <w:r>
        <w:rPr>
          <w:rFonts w:eastAsia="Calibri"/>
          <w:i/>
          <w:iCs/>
          <w:kern w:val="2"/>
          <w:lang w:val="en-US" w:eastAsia="zh-CN" w:bidi="ar"/>
        </w:rPr>
        <w:t>BMJ Global Health</w:t>
      </w:r>
      <w:r>
        <w:rPr>
          <w:rFonts w:eastAsia="Calibri"/>
          <w:kern w:val="2"/>
          <w:lang w:val="en-US" w:eastAsia="zh-CN" w:bidi="ar"/>
        </w:rPr>
        <w:t xml:space="preserve">, </w:t>
      </w:r>
      <w:r>
        <w:rPr>
          <w:rFonts w:eastAsia="Calibri"/>
          <w:i/>
          <w:iCs/>
          <w:kern w:val="2"/>
          <w:lang w:val="en-US" w:eastAsia="zh-CN" w:bidi="ar"/>
        </w:rPr>
        <w:t>7</w:t>
      </w:r>
      <w:r>
        <w:rPr>
          <w:rFonts w:eastAsia="Calibri"/>
          <w:kern w:val="2"/>
          <w:lang w:val="en-US" w:eastAsia="zh-CN" w:bidi="ar"/>
        </w:rPr>
        <w:t xml:space="preserve">(8). </w:t>
      </w:r>
      <w:hyperlink r:id="rId177" w:history="1">
        <w:r>
          <w:rPr>
            <w:rStyle w:val="Lienhypertexte"/>
            <w:rFonts w:eastAsia="Calibri"/>
            <w:kern w:val="2"/>
            <w:lang w:val="en-US" w:eastAsia="zh-CN" w:bidi="ar"/>
          </w:rPr>
          <w:t>https://doi.org/10.1136/bmjgh-2022-008587</w:t>
        </w:r>
      </w:hyperlink>
    </w:p>
    <w:p w14:paraId="6BAE3E52" w14:textId="77777777" w:rsidR="00B611D1" w:rsidRDefault="00B611D1">
      <w:pPr>
        <w:pStyle w:val="NormalWeb"/>
        <w:spacing w:before="0" w:beforeAutospacing="0" w:after="200" w:afterAutospacing="0" w:line="360" w:lineRule="auto"/>
        <w:rPr>
          <w:rFonts w:eastAsia="Calibri"/>
          <w:kern w:val="2"/>
          <w:lang w:val="en-US" w:eastAsia="zh-CN" w:bidi="ar"/>
        </w:rPr>
      </w:pPr>
    </w:p>
    <w:p w14:paraId="1699CEF2" w14:textId="77777777" w:rsidR="00B611D1" w:rsidRDefault="00B611D1">
      <w:pPr>
        <w:pStyle w:val="NormalWeb"/>
        <w:spacing w:before="0" w:beforeAutospacing="0" w:after="200" w:afterAutospacing="0" w:line="360" w:lineRule="auto"/>
        <w:rPr>
          <w:rFonts w:eastAsia="Calibri"/>
          <w:kern w:val="2"/>
          <w:lang w:val="fr" w:eastAsia="zh-CN" w:bidi="ar"/>
        </w:rPr>
      </w:pPr>
    </w:p>
    <w:p w14:paraId="25A4D6D5" w14:textId="77777777" w:rsidR="00B611D1" w:rsidRDefault="00B611D1">
      <w:pPr>
        <w:pStyle w:val="NormalWeb"/>
        <w:spacing w:before="0" w:beforeAutospacing="0" w:after="200" w:afterAutospacing="0" w:line="360" w:lineRule="auto"/>
        <w:rPr>
          <w:rFonts w:eastAsia="Calibri"/>
          <w:kern w:val="2"/>
          <w:lang w:val="fr-FR" w:eastAsia="zh-CN" w:bidi="ar"/>
        </w:rPr>
        <w:sectPr w:rsidR="00B611D1">
          <w:headerReference w:type="default" r:id="rId178"/>
          <w:pgSz w:w="11910" w:h="17340"/>
          <w:pgMar w:top="1180" w:right="720" w:bottom="1220" w:left="1080" w:header="725" w:footer="1037" w:gutter="0"/>
          <w:cols w:space="720"/>
          <w:docGrid w:linePitch="326"/>
        </w:sectPr>
      </w:pPr>
    </w:p>
    <w:p w14:paraId="3FD276B5" w14:textId="77777777" w:rsidR="00B611D1" w:rsidRDefault="00FB7689">
      <w:pPr>
        <w:pStyle w:val="Titre1"/>
        <w:rPr>
          <w:rFonts w:eastAsia="TimesNewRomanPS-BoldMT"/>
          <w:sz w:val="28"/>
          <w:szCs w:val="28"/>
          <w:lang w:val="fr-FR" w:eastAsia="zh-CN" w:bidi="ar"/>
        </w:rPr>
      </w:pPr>
      <w:bookmarkStart w:id="238" w:name="_Toc201260214"/>
      <w:r>
        <w:rPr>
          <w:rFonts w:eastAsia="TimesNewRomanPS-BoldMT"/>
          <w:sz w:val="28"/>
          <w:szCs w:val="28"/>
          <w:lang w:val="fr-FR" w:eastAsia="zh-CN" w:bidi="ar"/>
        </w:rPr>
        <w:t>Annexe</w:t>
      </w:r>
      <w:bookmarkEnd w:id="238"/>
    </w:p>
    <w:p w14:paraId="0820C29E" w14:textId="77777777" w:rsidR="00B611D1" w:rsidRDefault="00FB7689">
      <w:pPr>
        <w:spacing w:line="360" w:lineRule="auto"/>
        <w:rPr>
          <w:rFonts w:eastAsia="SimSun"/>
          <w:color w:val="000000"/>
          <w:lang w:val="fr-FR" w:eastAsia="zh-CN" w:bidi="ar"/>
        </w:rPr>
      </w:pPr>
      <w:r>
        <w:rPr>
          <w:rFonts w:eastAsia="TimesNewRomanPS-BoldMT"/>
          <w:b/>
          <w:bCs/>
          <w:color w:val="000000"/>
          <w:sz w:val="28"/>
          <w:szCs w:val="28"/>
          <w:lang w:val="fr-FR" w:eastAsia="zh-CN" w:bidi="ar"/>
        </w:rPr>
        <w:t xml:space="preserve">Annexe 1 </w:t>
      </w:r>
      <w:r>
        <w:rPr>
          <w:rFonts w:eastAsia="SimSun"/>
          <w:color w:val="000000"/>
          <w:lang w:val="fr-FR" w:eastAsia="zh-CN" w:bidi="ar"/>
        </w:rPr>
        <w:t xml:space="preserve">: </w:t>
      </w:r>
      <w:r>
        <w:rPr>
          <w:rFonts w:eastAsia="SimSun"/>
          <w:b/>
          <w:bCs/>
          <w:color w:val="000000"/>
          <w:lang w:val="fr-FR" w:eastAsia="zh-CN" w:bidi="ar"/>
        </w:rPr>
        <w:t>Matériel non biologique</w:t>
      </w:r>
    </w:p>
    <w:tbl>
      <w:tblPr>
        <w:tblStyle w:val="Grilledutableau"/>
        <w:tblW w:w="0" w:type="auto"/>
        <w:tblLook w:val="04A0" w:firstRow="1" w:lastRow="0" w:firstColumn="1" w:lastColumn="0" w:noHBand="0" w:noVBand="1"/>
      </w:tblPr>
      <w:tblGrid>
        <w:gridCol w:w="3336"/>
        <w:gridCol w:w="3335"/>
        <w:gridCol w:w="3429"/>
      </w:tblGrid>
      <w:tr w:rsidR="00B611D1" w14:paraId="38F9CA58" w14:textId="77777777">
        <w:tc>
          <w:tcPr>
            <w:tcW w:w="3336" w:type="dxa"/>
            <w:tcBorders>
              <w:top w:val="single" w:sz="4" w:space="0" w:color="auto"/>
              <w:bottom w:val="single" w:sz="4" w:space="0" w:color="auto"/>
              <w:right w:val="nil"/>
            </w:tcBorders>
            <w:vAlign w:val="center"/>
          </w:tcPr>
          <w:p w14:paraId="6BD6D819" w14:textId="77777777" w:rsidR="00B611D1" w:rsidRDefault="00B611D1">
            <w:pPr>
              <w:spacing w:after="200" w:line="360" w:lineRule="auto"/>
              <w:jc w:val="center"/>
              <w:rPr>
                <w:rFonts w:eastAsia="SimSun" w:hint="default"/>
                <w:color w:val="000000"/>
                <w:kern w:val="0"/>
                <w:lang w:val="fr-FR" w:eastAsia="zh-CN" w:bidi="ar"/>
              </w:rPr>
            </w:pPr>
          </w:p>
        </w:tc>
        <w:tc>
          <w:tcPr>
            <w:tcW w:w="3335" w:type="dxa"/>
            <w:tcBorders>
              <w:top w:val="single" w:sz="4" w:space="0" w:color="auto"/>
              <w:left w:val="nil"/>
              <w:bottom w:val="single" w:sz="4" w:space="0" w:color="auto"/>
              <w:right w:val="nil"/>
            </w:tcBorders>
            <w:shd w:val="clear" w:color="auto" w:fill="auto"/>
            <w:vAlign w:val="center"/>
          </w:tcPr>
          <w:p w14:paraId="2C2D39D5" w14:textId="77777777" w:rsidR="00B611D1" w:rsidRDefault="00FB7689">
            <w:pPr>
              <w:spacing w:after="200" w:line="276" w:lineRule="auto"/>
              <w:jc w:val="center"/>
              <w:rPr>
                <w:rFonts w:eastAsia="SimSun" w:hint="default"/>
                <w:color w:val="000000"/>
                <w:kern w:val="0"/>
                <w:sz w:val="28"/>
                <w:szCs w:val="28"/>
                <w:lang w:val="en-US" w:eastAsia="zh-CN" w:bidi="ar"/>
              </w:rPr>
            </w:pPr>
            <w:r>
              <w:rPr>
                <w:rFonts w:eastAsia="TimesNewRomanPS-BoldMT" w:hint="default"/>
                <w:b/>
                <w:bCs/>
                <w:color w:val="000000"/>
                <w:kern w:val="0"/>
                <w:sz w:val="28"/>
                <w:szCs w:val="28"/>
                <w:lang w:val="en-US" w:eastAsia="zh-CN" w:bidi="ar"/>
              </w:rPr>
              <w:t>Les milieux de culture</w:t>
            </w:r>
          </w:p>
        </w:tc>
        <w:tc>
          <w:tcPr>
            <w:tcW w:w="3429" w:type="dxa"/>
            <w:tcBorders>
              <w:top w:val="single" w:sz="4" w:space="0" w:color="auto"/>
              <w:left w:val="nil"/>
              <w:bottom w:val="single" w:sz="4" w:space="0" w:color="auto"/>
            </w:tcBorders>
            <w:vAlign w:val="center"/>
          </w:tcPr>
          <w:p w14:paraId="5E1078DE" w14:textId="77777777" w:rsidR="00B611D1" w:rsidRDefault="00B611D1">
            <w:pPr>
              <w:spacing w:after="200" w:line="360" w:lineRule="auto"/>
              <w:jc w:val="center"/>
              <w:rPr>
                <w:rFonts w:eastAsia="SimSun" w:hint="default"/>
                <w:color w:val="000000"/>
                <w:kern w:val="0"/>
                <w:lang w:val="en-US" w:eastAsia="zh-CN" w:bidi="ar"/>
              </w:rPr>
            </w:pPr>
          </w:p>
        </w:tc>
      </w:tr>
      <w:tr w:rsidR="00B611D1" w14:paraId="7AED579F" w14:textId="77777777">
        <w:tc>
          <w:tcPr>
            <w:tcW w:w="3336" w:type="dxa"/>
            <w:tcBorders>
              <w:top w:val="single" w:sz="4" w:space="0" w:color="auto"/>
            </w:tcBorders>
          </w:tcPr>
          <w:p w14:paraId="61D468CF" w14:textId="77777777" w:rsidR="00B611D1" w:rsidRDefault="00FB7689">
            <w:pPr>
              <w:spacing w:after="200" w:line="276" w:lineRule="auto"/>
              <w:rPr>
                <w:rFonts w:hint="default"/>
              </w:rPr>
            </w:pPr>
            <w:r>
              <w:rPr>
                <w:rFonts w:eastAsia="SimSun" w:hint="default"/>
                <w:color w:val="000000"/>
                <w:kern w:val="0"/>
                <w:lang w:val="en-US" w:eastAsia="zh-CN" w:bidi="ar"/>
              </w:rPr>
              <w:t>Bouillon Nutritif (BN)</w:t>
            </w:r>
          </w:p>
          <w:p w14:paraId="2CC5BB0C" w14:textId="77777777" w:rsidR="00B611D1" w:rsidRDefault="00B611D1">
            <w:pPr>
              <w:spacing w:after="200" w:line="360" w:lineRule="auto"/>
              <w:rPr>
                <w:rFonts w:eastAsia="SimSun" w:hint="default"/>
                <w:color w:val="000000"/>
                <w:kern w:val="0"/>
                <w:lang w:val="en-US" w:eastAsia="zh-CN" w:bidi="ar"/>
              </w:rPr>
            </w:pPr>
          </w:p>
        </w:tc>
        <w:tc>
          <w:tcPr>
            <w:tcW w:w="3335" w:type="dxa"/>
            <w:tcBorders>
              <w:top w:val="single" w:sz="4" w:space="0" w:color="auto"/>
            </w:tcBorders>
            <w:vAlign w:val="center"/>
          </w:tcPr>
          <w:p w14:paraId="38A579C7" w14:textId="77777777" w:rsidR="00B611D1" w:rsidRDefault="00FB7689">
            <w:pPr>
              <w:spacing w:after="200" w:line="360" w:lineRule="auto"/>
              <w:jc w:val="center"/>
              <w:rPr>
                <w:rFonts w:eastAsia="SimSun" w:hint="default"/>
                <w:color w:val="000000"/>
                <w:kern w:val="0"/>
                <w:sz w:val="28"/>
                <w:szCs w:val="28"/>
                <w:lang w:val="en-US" w:eastAsia="zh-CN" w:bidi="ar"/>
              </w:rPr>
            </w:pPr>
            <w:r>
              <w:rPr>
                <w:noProof/>
              </w:rPr>
              <w:drawing>
                <wp:inline distT="0" distB="0" distL="114300" distR="114300" wp14:anchorId="6A12AADF" wp14:editId="69320C18">
                  <wp:extent cx="1469390" cy="1957070"/>
                  <wp:effectExtent l="0" t="0" r="3810" b="0"/>
                  <wp:docPr id="2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 6"/>
                          <pic:cNvPicPr>
                            <a:picLocks noChangeAspect="1"/>
                          </pic:cNvPicPr>
                        </pic:nvPicPr>
                        <pic:blipFill>
                          <a:blip r:embed="rId179"/>
                          <a:srcRect l="-14780" t="-3504" r="14780" b="3504"/>
                          <a:stretch>
                            <a:fillRect/>
                          </a:stretch>
                        </pic:blipFill>
                        <pic:spPr>
                          <a:xfrm>
                            <a:off x="0" y="0"/>
                            <a:ext cx="1469390" cy="1957070"/>
                          </a:xfrm>
                          <a:prstGeom prst="rect">
                            <a:avLst/>
                          </a:prstGeom>
                          <a:noFill/>
                          <a:ln>
                            <a:noFill/>
                          </a:ln>
                        </pic:spPr>
                      </pic:pic>
                    </a:graphicData>
                  </a:graphic>
                </wp:inline>
              </w:drawing>
            </w:r>
          </w:p>
        </w:tc>
        <w:tc>
          <w:tcPr>
            <w:tcW w:w="3429" w:type="dxa"/>
            <w:tcBorders>
              <w:top w:val="single" w:sz="4" w:space="0" w:color="auto"/>
            </w:tcBorders>
          </w:tcPr>
          <w:p w14:paraId="3F3D8688"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•Peptones………10 g </w:t>
            </w:r>
          </w:p>
          <w:p w14:paraId="365EF4EF"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•Extrait de bœuf…………1 g </w:t>
            </w:r>
          </w:p>
          <w:p w14:paraId="73E75362"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•Extrait de levure……2g </w:t>
            </w:r>
          </w:p>
          <w:p w14:paraId="0C76B949"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•Chlorure de sodium…………5g </w:t>
            </w:r>
          </w:p>
          <w:p w14:paraId="41AEE18A" w14:textId="77777777" w:rsidR="00B611D1" w:rsidRDefault="00FB7689">
            <w:pPr>
              <w:spacing w:after="200" w:line="276" w:lineRule="auto"/>
              <w:rPr>
                <w:rFonts w:hint="default"/>
              </w:rPr>
            </w:pPr>
            <w:r>
              <w:rPr>
                <w:rFonts w:eastAsia="SimSun" w:hint="default"/>
                <w:color w:val="000000"/>
                <w:kern w:val="0"/>
                <w:lang w:val="en-US" w:eastAsia="zh-CN" w:bidi="ar"/>
              </w:rPr>
              <w:t>•PH………6.8 ± 0.2 at 25°C</w:t>
            </w:r>
          </w:p>
          <w:p w14:paraId="6D0F3190" w14:textId="77777777" w:rsidR="00B611D1" w:rsidRDefault="00B611D1">
            <w:pPr>
              <w:spacing w:after="200" w:line="360" w:lineRule="auto"/>
              <w:rPr>
                <w:rFonts w:eastAsia="SimSun" w:hint="default"/>
                <w:color w:val="000000"/>
                <w:kern w:val="0"/>
                <w:lang w:val="en-US" w:eastAsia="zh-CN" w:bidi="ar"/>
              </w:rPr>
            </w:pPr>
          </w:p>
        </w:tc>
      </w:tr>
      <w:tr w:rsidR="00B611D1" w14:paraId="69E86EAD" w14:textId="77777777">
        <w:tc>
          <w:tcPr>
            <w:tcW w:w="3336" w:type="dxa"/>
          </w:tcPr>
          <w:p w14:paraId="7E4767C4"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Gélose au sang frais </w:t>
            </w:r>
          </w:p>
          <w:p w14:paraId="1464D7E5" w14:textId="77777777" w:rsidR="00B611D1" w:rsidRDefault="00FB7689">
            <w:pPr>
              <w:spacing w:after="200" w:line="276" w:lineRule="auto"/>
              <w:rPr>
                <w:rFonts w:hint="default"/>
                <w:lang w:val="fr-FR"/>
              </w:rPr>
            </w:pPr>
            <w:r>
              <w:rPr>
                <w:rFonts w:eastAsia="SimSun" w:hint="default"/>
                <w:color w:val="000000"/>
                <w:kern w:val="0"/>
                <w:lang w:val="fr-FR" w:eastAsia="zh-CN" w:bidi="ar"/>
              </w:rPr>
              <w:t>Gélose nutritive + sang</w:t>
            </w:r>
          </w:p>
          <w:p w14:paraId="7BBB323F" w14:textId="77777777" w:rsidR="00B611D1" w:rsidRDefault="00B611D1">
            <w:pPr>
              <w:spacing w:after="200" w:line="360" w:lineRule="auto"/>
              <w:rPr>
                <w:rFonts w:eastAsia="SimSun" w:hint="default"/>
                <w:color w:val="000000"/>
                <w:kern w:val="0"/>
                <w:lang w:val="fr-FR" w:eastAsia="zh-CN" w:bidi="ar"/>
              </w:rPr>
            </w:pPr>
          </w:p>
        </w:tc>
        <w:tc>
          <w:tcPr>
            <w:tcW w:w="3335" w:type="dxa"/>
            <w:vAlign w:val="center"/>
          </w:tcPr>
          <w:p w14:paraId="578394B8" w14:textId="77777777" w:rsidR="00B611D1" w:rsidRDefault="00FB7689">
            <w:pPr>
              <w:spacing w:after="200" w:line="360" w:lineRule="auto"/>
              <w:jc w:val="center"/>
              <w:rPr>
                <w:rFonts w:eastAsia="SimSun" w:hint="default"/>
                <w:color w:val="000000"/>
                <w:kern w:val="0"/>
                <w:sz w:val="28"/>
                <w:szCs w:val="28"/>
                <w:lang w:val="fr-FR" w:eastAsia="zh-CN" w:bidi="ar"/>
              </w:rPr>
            </w:pPr>
            <w:r>
              <w:rPr>
                <w:noProof/>
              </w:rPr>
              <w:drawing>
                <wp:inline distT="0" distB="0" distL="114300" distR="114300" wp14:anchorId="4006E1D1" wp14:editId="6311D462">
                  <wp:extent cx="1874520" cy="2000250"/>
                  <wp:effectExtent l="0" t="0" r="5080" b="6350"/>
                  <wp:docPr id="2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7"/>
                          <pic:cNvPicPr>
                            <a:picLocks noChangeAspect="1"/>
                          </pic:cNvPicPr>
                        </pic:nvPicPr>
                        <pic:blipFill>
                          <a:blip r:embed="rId180"/>
                          <a:srcRect l="20958"/>
                          <a:stretch>
                            <a:fillRect/>
                          </a:stretch>
                        </pic:blipFill>
                        <pic:spPr>
                          <a:xfrm>
                            <a:off x="0" y="0"/>
                            <a:ext cx="1874520" cy="2000250"/>
                          </a:xfrm>
                          <a:prstGeom prst="rect">
                            <a:avLst/>
                          </a:prstGeom>
                          <a:noFill/>
                          <a:ln>
                            <a:noFill/>
                          </a:ln>
                        </pic:spPr>
                      </pic:pic>
                    </a:graphicData>
                  </a:graphic>
                </wp:inline>
              </w:drawing>
            </w:r>
          </w:p>
        </w:tc>
        <w:tc>
          <w:tcPr>
            <w:tcW w:w="3429" w:type="dxa"/>
          </w:tcPr>
          <w:p w14:paraId="6DED3E2B"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Extrait de viande ……… 1,0 g/l </w:t>
            </w:r>
          </w:p>
          <w:p w14:paraId="4176E3F8"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Extra de levure…... 2,0 g/l </w:t>
            </w:r>
          </w:p>
          <w:p w14:paraId="09146DC0"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Peptone …………. 5,0 g/l </w:t>
            </w:r>
          </w:p>
          <w:p w14:paraId="6FC30B41" w14:textId="77777777" w:rsidR="00B611D1" w:rsidRDefault="00FB7689">
            <w:pPr>
              <w:spacing w:after="200" w:line="276" w:lineRule="auto"/>
              <w:rPr>
                <w:rFonts w:hint="default"/>
                <w:lang w:val="en-US"/>
              </w:rPr>
            </w:pPr>
            <w:r>
              <w:rPr>
                <w:rFonts w:eastAsia="SimSun" w:hint="default"/>
                <w:color w:val="000000"/>
                <w:kern w:val="0"/>
                <w:lang w:val="fr-FR" w:eastAsia="zh-CN" w:bidi="ar"/>
              </w:rPr>
              <w:t xml:space="preserve">• Chlorure de sodium … </w:t>
            </w:r>
            <w:r>
              <w:rPr>
                <w:rFonts w:eastAsia="SimSun" w:hint="default"/>
                <w:color w:val="000000"/>
                <w:kern w:val="0"/>
                <w:lang w:val="en-US" w:eastAsia="zh-CN" w:bidi="ar"/>
              </w:rPr>
              <w:t xml:space="preserve">5,0 g/l </w:t>
            </w:r>
          </w:p>
          <w:p w14:paraId="2893B8C5" w14:textId="77777777" w:rsidR="00B611D1" w:rsidRDefault="00FB7689">
            <w:pPr>
              <w:spacing w:after="200" w:line="276" w:lineRule="auto"/>
              <w:rPr>
                <w:rFonts w:hint="default"/>
                <w:lang w:val="en-US"/>
              </w:rPr>
            </w:pPr>
            <w:r>
              <w:rPr>
                <w:rFonts w:eastAsia="SimSun" w:hint="default"/>
                <w:color w:val="000000"/>
                <w:kern w:val="0"/>
                <w:lang w:val="en-US" w:eastAsia="zh-CN" w:bidi="ar"/>
              </w:rPr>
              <w:t xml:space="preserve">• Agar ……………………. 15,0 g/l </w:t>
            </w:r>
          </w:p>
          <w:p w14:paraId="462436A8" w14:textId="77777777" w:rsidR="00B611D1" w:rsidRDefault="00FB7689">
            <w:pPr>
              <w:spacing w:after="200" w:line="276" w:lineRule="auto"/>
              <w:rPr>
                <w:rFonts w:hint="default"/>
                <w:lang w:val="en-US"/>
              </w:rPr>
            </w:pPr>
            <w:r>
              <w:rPr>
                <w:rFonts w:eastAsia="SimSun" w:hint="default"/>
                <w:color w:val="000000"/>
                <w:kern w:val="0"/>
                <w:lang w:val="en-US" w:eastAsia="zh-CN" w:bidi="ar"/>
              </w:rPr>
              <w:t xml:space="preserve">• PH = 7 </w:t>
            </w:r>
          </w:p>
          <w:p w14:paraId="7651A3BE" w14:textId="77777777" w:rsidR="00B611D1" w:rsidRDefault="00FB7689">
            <w:pPr>
              <w:spacing w:after="200" w:line="276" w:lineRule="auto"/>
              <w:rPr>
                <w:rFonts w:hint="default"/>
              </w:rPr>
            </w:pPr>
            <w:r>
              <w:rPr>
                <w:rFonts w:eastAsia="SimSun" w:hint="default"/>
                <w:color w:val="000000"/>
                <w:kern w:val="0"/>
                <w:lang w:val="en-US" w:eastAsia="zh-CN" w:bidi="ar"/>
              </w:rPr>
              <w:t>• Sang</w:t>
            </w:r>
          </w:p>
          <w:p w14:paraId="3503B2A0" w14:textId="77777777" w:rsidR="00B611D1" w:rsidRDefault="00B611D1">
            <w:pPr>
              <w:spacing w:after="200" w:line="360" w:lineRule="auto"/>
              <w:rPr>
                <w:rFonts w:eastAsia="SimSun" w:hint="default"/>
                <w:color w:val="000000"/>
                <w:kern w:val="0"/>
                <w:lang w:val="en-US" w:eastAsia="zh-CN" w:bidi="ar"/>
              </w:rPr>
            </w:pPr>
          </w:p>
        </w:tc>
      </w:tr>
      <w:tr w:rsidR="00B611D1" w14:paraId="6252A633" w14:textId="77777777">
        <w:tc>
          <w:tcPr>
            <w:tcW w:w="3336" w:type="dxa"/>
          </w:tcPr>
          <w:p w14:paraId="14EAD8CA" w14:textId="77777777" w:rsidR="00B611D1" w:rsidRDefault="00FB7689">
            <w:pPr>
              <w:spacing w:after="200" w:line="276" w:lineRule="auto"/>
              <w:rPr>
                <w:rFonts w:hint="default"/>
              </w:rPr>
            </w:pPr>
            <w:r>
              <w:rPr>
                <w:rFonts w:eastAsia="SimSun" w:hint="default"/>
                <w:color w:val="000000"/>
                <w:kern w:val="0"/>
                <w:lang w:val="en-US" w:eastAsia="zh-CN" w:bidi="ar"/>
              </w:rPr>
              <w:t>Gélose Hektoen</w:t>
            </w:r>
          </w:p>
          <w:p w14:paraId="108B6D1E" w14:textId="77777777" w:rsidR="00B611D1" w:rsidRDefault="00B611D1">
            <w:pPr>
              <w:spacing w:after="200" w:line="360" w:lineRule="auto"/>
              <w:rPr>
                <w:rFonts w:eastAsia="SimSun" w:hint="default"/>
                <w:color w:val="000000"/>
                <w:kern w:val="0"/>
                <w:lang w:val="en-US" w:eastAsia="zh-CN" w:bidi="ar"/>
              </w:rPr>
            </w:pPr>
          </w:p>
        </w:tc>
        <w:tc>
          <w:tcPr>
            <w:tcW w:w="3335" w:type="dxa"/>
            <w:vAlign w:val="center"/>
          </w:tcPr>
          <w:p w14:paraId="4FE5C00F" w14:textId="77777777" w:rsidR="00B611D1" w:rsidRDefault="00FB7689">
            <w:pPr>
              <w:spacing w:after="200" w:line="360" w:lineRule="auto"/>
              <w:jc w:val="center"/>
              <w:rPr>
                <w:rFonts w:eastAsia="SimSun" w:hint="default"/>
                <w:color w:val="000000"/>
                <w:kern w:val="0"/>
                <w:sz w:val="28"/>
                <w:szCs w:val="28"/>
                <w:lang w:val="en-US" w:eastAsia="zh-CN" w:bidi="ar"/>
              </w:rPr>
            </w:pPr>
            <w:r>
              <w:rPr>
                <w:noProof/>
              </w:rPr>
              <w:drawing>
                <wp:inline distT="0" distB="0" distL="114300" distR="114300" wp14:anchorId="3E0D9C0D" wp14:editId="2B288081">
                  <wp:extent cx="1725930" cy="2154555"/>
                  <wp:effectExtent l="0" t="0" r="1270" b="4445"/>
                  <wp:docPr id="1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5"/>
                          <pic:cNvPicPr>
                            <a:picLocks noChangeAspect="1"/>
                          </pic:cNvPicPr>
                        </pic:nvPicPr>
                        <pic:blipFill>
                          <a:blip r:embed="rId181"/>
                          <a:stretch>
                            <a:fillRect/>
                          </a:stretch>
                        </pic:blipFill>
                        <pic:spPr>
                          <a:xfrm>
                            <a:off x="0" y="0"/>
                            <a:ext cx="1728469" cy="2158089"/>
                          </a:xfrm>
                          <a:prstGeom prst="rect">
                            <a:avLst/>
                          </a:prstGeom>
                          <a:noFill/>
                          <a:ln>
                            <a:noFill/>
                          </a:ln>
                        </pic:spPr>
                      </pic:pic>
                    </a:graphicData>
                  </a:graphic>
                </wp:inline>
              </w:drawing>
            </w:r>
          </w:p>
        </w:tc>
        <w:tc>
          <w:tcPr>
            <w:tcW w:w="3429" w:type="dxa"/>
          </w:tcPr>
          <w:p w14:paraId="3C05E713"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Protéosepeptone ……… 12 g </w:t>
            </w:r>
          </w:p>
          <w:p w14:paraId="497EA5C2"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Extrait de levure …………… 3 g </w:t>
            </w:r>
          </w:p>
          <w:p w14:paraId="1AA9E5DC"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Chlorure de sodium ……… 5 g </w:t>
            </w:r>
          </w:p>
          <w:p w14:paraId="02E3EF5C"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Thiosulfate de sodium ……9 g </w:t>
            </w:r>
          </w:p>
          <w:p w14:paraId="7D624601"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Citrate de fer III et d'ammonium </w:t>
            </w:r>
          </w:p>
          <w:p w14:paraId="3E248D4D" w14:textId="77777777" w:rsidR="00B611D1" w:rsidRDefault="00FB7689">
            <w:pPr>
              <w:spacing w:after="200" w:line="276" w:lineRule="auto"/>
              <w:rPr>
                <w:rFonts w:hint="default"/>
                <w:lang w:val="en-US"/>
              </w:rPr>
            </w:pPr>
            <w:r>
              <w:rPr>
                <w:rFonts w:eastAsia="SimSun" w:hint="default"/>
                <w:color w:val="000000"/>
                <w:kern w:val="0"/>
                <w:lang w:val="en-US" w:eastAsia="zh-CN" w:bidi="ar"/>
              </w:rPr>
              <w:t xml:space="preserve">……. 1,5 g </w:t>
            </w:r>
          </w:p>
          <w:p w14:paraId="1B4D93F9" w14:textId="77777777" w:rsidR="00B611D1" w:rsidRDefault="00FB7689">
            <w:pPr>
              <w:spacing w:after="200" w:line="276" w:lineRule="auto"/>
              <w:rPr>
                <w:rFonts w:hint="default"/>
                <w:lang w:val="en-US"/>
              </w:rPr>
            </w:pPr>
            <w:r>
              <w:rPr>
                <w:rFonts w:eastAsia="SimSun" w:hint="default"/>
                <w:color w:val="000000"/>
                <w:kern w:val="0"/>
                <w:lang w:val="en-US" w:eastAsia="zh-CN" w:bidi="ar"/>
              </w:rPr>
              <w:t xml:space="preserve">• Salicine …………. 2 g </w:t>
            </w:r>
          </w:p>
          <w:p w14:paraId="0A327880" w14:textId="77777777" w:rsidR="00B611D1" w:rsidRDefault="00FB7689">
            <w:pPr>
              <w:spacing w:after="200" w:line="276" w:lineRule="auto"/>
              <w:rPr>
                <w:rFonts w:hint="default"/>
                <w:lang w:val="en-US"/>
              </w:rPr>
            </w:pPr>
            <w:r>
              <w:rPr>
                <w:rFonts w:eastAsia="SimSun" w:hint="default"/>
                <w:color w:val="000000"/>
                <w:kern w:val="0"/>
                <w:lang w:val="en-US" w:eastAsia="zh-CN" w:bidi="ar"/>
              </w:rPr>
              <w:t xml:space="preserve">• Lactose …………. 12 g </w:t>
            </w:r>
          </w:p>
          <w:p w14:paraId="4D456D16" w14:textId="77777777" w:rsidR="00B611D1" w:rsidRDefault="00FB7689">
            <w:pPr>
              <w:spacing w:after="200" w:line="276" w:lineRule="auto"/>
              <w:rPr>
                <w:rFonts w:hint="default"/>
                <w:lang w:val="fr-FR"/>
              </w:rPr>
            </w:pPr>
            <w:r>
              <w:rPr>
                <w:rFonts w:eastAsia="SimSun" w:hint="default"/>
                <w:color w:val="000000"/>
                <w:kern w:val="0"/>
                <w:lang w:val="en-US" w:eastAsia="zh-CN" w:bidi="ar"/>
              </w:rPr>
              <w:t xml:space="preserve">• Saccharose ………. </w:t>
            </w:r>
            <w:r>
              <w:rPr>
                <w:rFonts w:eastAsia="SimSun" w:hint="default"/>
                <w:color w:val="000000"/>
                <w:kern w:val="0"/>
                <w:lang w:val="fr-FR" w:eastAsia="zh-CN" w:bidi="ar"/>
              </w:rPr>
              <w:t xml:space="preserve">12 g </w:t>
            </w:r>
          </w:p>
          <w:p w14:paraId="7B76D3BC"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Fuschine acide …………. 0,1 g </w:t>
            </w:r>
          </w:p>
          <w:p w14:paraId="18A5BEF9" w14:textId="77777777" w:rsidR="00B611D1" w:rsidRDefault="00FB7689">
            <w:pPr>
              <w:spacing w:after="200" w:line="276" w:lineRule="auto"/>
              <w:rPr>
                <w:rFonts w:hint="default"/>
              </w:rPr>
            </w:pPr>
            <w:r>
              <w:rPr>
                <w:rFonts w:eastAsia="SimSun" w:hint="default"/>
                <w:color w:val="000000"/>
                <w:kern w:val="0"/>
                <w:lang w:val="fr-FR" w:eastAsia="zh-CN" w:bidi="ar"/>
              </w:rPr>
              <w:t xml:space="preserve">• Bleu de bromothymo... </w:t>
            </w:r>
            <w:r>
              <w:rPr>
                <w:rFonts w:eastAsia="SimSun" w:hint="default"/>
                <w:color w:val="000000"/>
                <w:kern w:val="0"/>
                <w:lang w:val="en-US" w:eastAsia="zh-CN" w:bidi="ar"/>
              </w:rPr>
              <w:t>L 0,065g</w:t>
            </w:r>
          </w:p>
          <w:p w14:paraId="299C0AAF" w14:textId="77777777" w:rsidR="00B611D1" w:rsidRDefault="00B611D1">
            <w:pPr>
              <w:spacing w:after="200" w:line="360" w:lineRule="auto"/>
              <w:rPr>
                <w:rFonts w:eastAsia="SimSun" w:hint="default"/>
                <w:color w:val="000000"/>
                <w:kern w:val="0"/>
                <w:lang w:val="en-US" w:eastAsia="zh-CN" w:bidi="ar"/>
              </w:rPr>
            </w:pPr>
          </w:p>
        </w:tc>
      </w:tr>
      <w:tr w:rsidR="00B611D1" w:rsidRPr="00855AAA" w14:paraId="4034A891" w14:textId="77777777">
        <w:tc>
          <w:tcPr>
            <w:tcW w:w="3336" w:type="dxa"/>
          </w:tcPr>
          <w:p w14:paraId="17BEEF70" w14:textId="77777777" w:rsidR="00B611D1" w:rsidRDefault="00FB7689">
            <w:pPr>
              <w:spacing w:after="200" w:line="276" w:lineRule="auto"/>
              <w:rPr>
                <w:rFonts w:hint="default"/>
              </w:rPr>
            </w:pPr>
            <w:r>
              <w:rPr>
                <w:rFonts w:eastAsia="SimSun" w:hint="default"/>
                <w:color w:val="000000"/>
                <w:kern w:val="0"/>
                <w:lang w:val="en-US" w:eastAsia="zh-CN" w:bidi="ar"/>
              </w:rPr>
              <w:t xml:space="preserve">Gélose </w:t>
            </w:r>
            <w:r>
              <w:rPr>
                <w:rFonts w:eastAsia="SimSun" w:hint="default"/>
                <w:color w:val="000000"/>
                <w:kern w:val="0"/>
                <w:lang w:val="fr-FR" w:eastAsia="zh-CN" w:bidi="ar"/>
              </w:rPr>
              <w:t>C</w:t>
            </w:r>
            <w:r>
              <w:rPr>
                <w:rFonts w:eastAsia="SimSun" w:hint="default"/>
                <w:color w:val="000000"/>
                <w:kern w:val="0"/>
                <w:lang w:val="en-US" w:eastAsia="zh-CN" w:bidi="ar"/>
              </w:rPr>
              <w:t>hapman</w:t>
            </w:r>
          </w:p>
          <w:p w14:paraId="12F4474D" w14:textId="77777777" w:rsidR="00B611D1" w:rsidRDefault="00B611D1">
            <w:pPr>
              <w:spacing w:after="200" w:line="360" w:lineRule="auto"/>
              <w:rPr>
                <w:rFonts w:eastAsia="SimSun" w:hint="default"/>
                <w:color w:val="000000"/>
                <w:kern w:val="0"/>
                <w:lang w:val="en-US" w:eastAsia="zh-CN" w:bidi="ar"/>
              </w:rPr>
            </w:pPr>
          </w:p>
        </w:tc>
        <w:tc>
          <w:tcPr>
            <w:tcW w:w="3335" w:type="dxa"/>
            <w:vAlign w:val="center"/>
          </w:tcPr>
          <w:p w14:paraId="405FFD82" w14:textId="77777777" w:rsidR="00B611D1" w:rsidRDefault="00FB7689">
            <w:pPr>
              <w:spacing w:after="200" w:line="360" w:lineRule="auto"/>
              <w:jc w:val="center"/>
              <w:rPr>
                <w:rFonts w:eastAsia="SimSun" w:hint="default"/>
                <w:color w:val="000000"/>
                <w:kern w:val="0"/>
                <w:sz w:val="28"/>
                <w:szCs w:val="28"/>
                <w:lang w:val="en-US" w:eastAsia="zh-CN" w:bidi="ar"/>
              </w:rPr>
            </w:pPr>
            <w:r>
              <w:rPr>
                <w:noProof/>
              </w:rPr>
              <w:drawing>
                <wp:inline distT="0" distB="0" distL="114300" distR="114300" wp14:anchorId="4BD6B047" wp14:editId="06355E5A">
                  <wp:extent cx="1438910" cy="1920240"/>
                  <wp:effectExtent l="0" t="0" r="8890" b="10160"/>
                  <wp:docPr id="1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2"/>
                          <pic:cNvPicPr>
                            <a:picLocks noChangeAspect="1"/>
                          </pic:cNvPicPr>
                        </pic:nvPicPr>
                        <pic:blipFill>
                          <a:blip r:embed="rId182"/>
                          <a:stretch>
                            <a:fillRect/>
                          </a:stretch>
                        </pic:blipFill>
                        <pic:spPr>
                          <a:xfrm>
                            <a:off x="0" y="0"/>
                            <a:ext cx="1438910" cy="1920240"/>
                          </a:xfrm>
                          <a:prstGeom prst="rect">
                            <a:avLst/>
                          </a:prstGeom>
                          <a:noFill/>
                          <a:ln>
                            <a:noFill/>
                          </a:ln>
                        </pic:spPr>
                      </pic:pic>
                    </a:graphicData>
                  </a:graphic>
                </wp:inline>
              </w:drawing>
            </w:r>
          </w:p>
        </w:tc>
        <w:tc>
          <w:tcPr>
            <w:tcW w:w="3429" w:type="dxa"/>
          </w:tcPr>
          <w:p w14:paraId="3D8D4855"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Peptone ………… 11.0 g/l </w:t>
            </w:r>
          </w:p>
          <w:p w14:paraId="701CB221"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Extrait de viande ……… 1,0 g/l </w:t>
            </w:r>
          </w:p>
          <w:p w14:paraId="17EA803F"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Chlorure de sodium … 75 g/l </w:t>
            </w:r>
          </w:p>
          <w:p w14:paraId="1A46A5DD"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Mannitol ………………. 10,0 g/l </w:t>
            </w:r>
          </w:p>
          <w:p w14:paraId="2355D2DF" w14:textId="77777777" w:rsidR="00B611D1" w:rsidRDefault="00FB7689">
            <w:pPr>
              <w:spacing w:after="200" w:line="276" w:lineRule="auto"/>
              <w:rPr>
                <w:rFonts w:hint="default"/>
                <w:lang w:val="en-US"/>
              </w:rPr>
            </w:pPr>
            <w:r>
              <w:rPr>
                <w:rFonts w:eastAsia="SimSun" w:hint="default"/>
                <w:color w:val="000000"/>
                <w:kern w:val="0"/>
                <w:lang w:val="fr-FR" w:eastAsia="zh-CN" w:bidi="ar"/>
              </w:rPr>
              <w:t xml:space="preserve">• Rouge de phénol …. </w:t>
            </w:r>
            <w:r>
              <w:rPr>
                <w:rFonts w:eastAsia="SimSun" w:hint="default"/>
                <w:color w:val="000000"/>
                <w:kern w:val="0"/>
                <w:lang w:val="en-US" w:eastAsia="zh-CN" w:bidi="ar"/>
              </w:rPr>
              <w:t xml:space="preserve">0,025 g/l </w:t>
            </w:r>
          </w:p>
          <w:p w14:paraId="2E8788B5" w14:textId="77777777" w:rsidR="00B611D1" w:rsidRDefault="00FB7689">
            <w:pPr>
              <w:spacing w:after="200" w:line="276" w:lineRule="auto"/>
              <w:rPr>
                <w:rFonts w:hint="default"/>
                <w:lang w:val="en-US"/>
              </w:rPr>
            </w:pPr>
            <w:r>
              <w:rPr>
                <w:rFonts w:eastAsia="SimSun" w:hint="default"/>
                <w:color w:val="000000"/>
                <w:kern w:val="0"/>
                <w:lang w:val="en-US" w:eastAsia="zh-CN" w:bidi="ar"/>
              </w:rPr>
              <w:t xml:space="preserve">• Agar ………………………. 15,0 </w:t>
            </w:r>
          </w:p>
          <w:p w14:paraId="20945D79" w14:textId="77777777" w:rsidR="00B611D1" w:rsidRDefault="00FB7689">
            <w:pPr>
              <w:spacing w:after="200" w:line="276" w:lineRule="auto"/>
              <w:rPr>
                <w:rFonts w:hint="default"/>
                <w:lang w:val="en-US"/>
              </w:rPr>
            </w:pPr>
            <w:r>
              <w:rPr>
                <w:rFonts w:eastAsia="SimSun" w:hint="default"/>
                <w:color w:val="000000"/>
                <w:kern w:val="0"/>
                <w:lang w:val="en-US" w:eastAsia="zh-CN" w:bidi="ar"/>
              </w:rPr>
              <w:t xml:space="preserve">g/l </w:t>
            </w:r>
          </w:p>
          <w:p w14:paraId="76D2BD00" w14:textId="77777777" w:rsidR="00B611D1" w:rsidRDefault="00FB7689">
            <w:pPr>
              <w:spacing w:after="200" w:line="276" w:lineRule="auto"/>
              <w:rPr>
                <w:rFonts w:hint="default"/>
                <w:lang w:val="en-US"/>
              </w:rPr>
            </w:pPr>
            <w:r>
              <w:rPr>
                <w:rFonts w:eastAsia="SimSun" w:hint="default"/>
                <w:color w:val="000000"/>
                <w:kern w:val="0"/>
                <w:lang w:val="en-US" w:eastAsia="zh-CN" w:bidi="ar"/>
              </w:rPr>
              <w:t>• PH 7,4</w:t>
            </w:r>
          </w:p>
          <w:p w14:paraId="0DA9A53C" w14:textId="77777777" w:rsidR="00B611D1" w:rsidRDefault="00B611D1">
            <w:pPr>
              <w:spacing w:after="200" w:line="360" w:lineRule="auto"/>
              <w:rPr>
                <w:rFonts w:eastAsia="SimSun" w:hint="default"/>
                <w:color w:val="000000"/>
                <w:kern w:val="0"/>
                <w:lang w:val="en-US" w:eastAsia="zh-CN" w:bidi="ar"/>
              </w:rPr>
            </w:pPr>
          </w:p>
        </w:tc>
      </w:tr>
      <w:tr w:rsidR="00B611D1" w:rsidRPr="00855AAA" w14:paraId="4BD30FA4" w14:textId="77777777">
        <w:tc>
          <w:tcPr>
            <w:tcW w:w="3336" w:type="dxa"/>
          </w:tcPr>
          <w:p w14:paraId="3F339E3D" w14:textId="77777777" w:rsidR="00B611D1" w:rsidRDefault="00FB7689">
            <w:pPr>
              <w:spacing w:after="200" w:line="276" w:lineRule="auto"/>
              <w:rPr>
                <w:rFonts w:hint="default"/>
              </w:rPr>
            </w:pPr>
            <w:r>
              <w:rPr>
                <w:rFonts w:eastAsia="SimSun" w:hint="default"/>
                <w:color w:val="000000"/>
                <w:kern w:val="0"/>
                <w:lang w:val="en-US" w:eastAsia="zh-CN" w:bidi="ar"/>
              </w:rPr>
              <w:t>Gélose Mueller-Hinton</w:t>
            </w:r>
          </w:p>
          <w:p w14:paraId="3A4A62A7" w14:textId="77777777" w:rsidR="00B611D1" w:rsidRDefault="00B611D1">
            <w:pPr>
              <w:spacing w:after="200" w:line="360" w:lineRule="auto"/>
              <w:rPr>
                <w:rFonts w:eastAsia="SimSun" w:hint="default"/>
                <w:color w:val="000000"/>
                <w:kern w:val="0"/>
                <w:lang w:val="en-US" w:eastAsia="zh-CN" w:bidi="ar"/>
              </w:rPr>
            </w:pPr>
          </w:p>
        </w:tc>
        <w:tc>
          <w:tcPr>
            <w:tcW w:w="3335" w:type="dxa"/>
            <w:vAlign w:val="center"/>
          </w:tcPr>
          <w:p w14:paraId="52B76800" w14:textId="77777777" w:rsidR="00B611D1" w:rsidRDefault="00FB7689">
            <w:pPr>
              <w:spacing w:after="200" w:line="360" w:lineRule="auto"/>
              <w:jc w:val="center"/>
              <w:rPr>
                <w:rFonts w:eastAsia="SimSun" w:hint="default"/>
                <w:color w:val="000000"/>
                <w:kern w:val="0"/>
                <w:sz w:val="28"/>
                <w:szCs w:val="28"/>
                <w:lang w:val="en-US" w:eastAsia="zh-CN" w:bidi="ar"/>
              </w:rPr>
            </w:pPr>
            <w:r>
              <w:rPr>
                <w:noProof/>
              </w:rPr>
              <w:drawing>
                <wp:inline distT="0" distB="0" distL="114300" distR="114300" wp14:anchorId="48714BE8" wp14:editId="3D79D960">
                  <wp:extent cx="1456690" cy="1944370"/>
                  <wp:effectExtent l="0" t="0" r="3810" b="11430"/>
                  <wp:docPr id="1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4"/>
                          <pic:cNvPicPr>
                            <a:picLocks noChangeAspect="1"/>
                          </pic:cNvPicPr>
                        </pic:nvPicPr>
                        <pic:blipFill>
                          <a:blip r:embed="rId183"/>
                          <a:stretch>
                            <a:fillRect/>
                          </a:stretch>
                        </pic:blipFill>
                        <pic:spPr>
                          <a:xfrm>
                            <a:off x="0" y="0"/>
                            <a:ext cx="1456690" cy="1944370"/>
                          </a:xfrm>
                          <a:prstGeom prst="rect">
                            <a:avLst/>
                          </a:prstGeom>
                          <a:noFill/>
                          <a:ln>
                            <a:noFill/>
                          </a:ln>
                        </pic:spPr>
                      </pic:pic>
                    </a:graphicData>
                  </a:graphic>
                </wp:inline>
              </w:drawing>
            </w:r>
          </w:p>
        </w:tc>
        <w:tc>
          <w:tcPr>
            <w:tcW w:w="3429" w:type="dxa"/>
          </w:tcPr>
          <w:p w14:paraId="611D9ED7"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fusion de viande de boeuf </w:t>
            </w:r>
          </w:p>
          <w:p w14:paraId="48638BF3"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300 g/l </w:t>
            </w:r>
          </w:p>
          <w:p w14:paraId="2DFCCE0F" w14:textId="77777777" w:rsidR="00B611D1" w:rsidRDefault="00FB7689">
            <w:pPr>
              <w:spacing w:after="200" w:line="276" w:lineRule="auto"/>
              <w:rPr>
                <w:rFonts w:hint="default"/>
                <w:lang w:val="fr-FR"/>
              </w:rPr>
            </w:pPr>
            <w:r>
              <w:rPr>
                <w:rFonts w:eastAsia="SimSun" w:hint="default"/>
                <w:color w:val="000000"/>
                <w:kern w:val="0"/>
                <w:lang w:val="fr-FR" w:eastAsia="zh-CN" w:bidi="ar"/>
              </w:rPr>
              <w:t xml:space="preserve">• Hydrolysat de caséine </w:t>
            </w:r>
          </w:p>
          <w:p w14:paraId="5679D4B0" w14:textId="77777777" w:rsidR="00B611D1" w:rsidRPr="00525786" w:rsidRDefault="00FB7689">
            <w:pPr>
              <w:spacing w:after="200" w:line="276" w:lineRule="auto"/>
              <w:rPr>
                <w:rFonts w:hint="default"/>
                <w:lang w:val="en-US"/>
              </w:rPr>
            </w:pPr>
            <w:r>
              <w:rPr>
                <w:rFonts w:eastAsia="SimSun" w:hint="default"/>
                <w:color w:val="000000"/>
                <w:kern w:val="0"/>
                <w:lang w:val="fr-FR" w:eastAsia="zh-CN" w:bidi="ar"/>
              </w:rPr>
              <w:t xml:space="preserve">………………………………. </w:t>
            </w:r>
            <w:r w:rsidRPr="00525786">
              <w:rPr>
                <w:rFonts w:eastAsia="SimSun" w:hint="default"/>
                <w:color w:val="000000"/>
                <w:kern w:val="0"/>
                <w:lang w:val="en-US" w:eastAsia="zh-CN" w:bidi="ar"/>
              </w:rPr>
              <w:t xml:space="preserve">17,5 </w:t>
            </w:r>
          </w:p>
          <w:p w14:paraId="1AE14978" w14:textId="77777777" w:rsidR="00B611D1" w:rsidRPr="00525786" w:rsidRDefault="00FB7689">
            <w:pPr>
              <w:spacing w:after="200" w:line="276" w:lineRule="auto"/>
              <w:rPr>
                <w:rFonts w:hint="default"/>
                <w:lang w:val="en-US"/>
              </w:rPr>
            </w:pPr>
            <w:r w:rsidRPr="00525786">
              <w:rPr>
                <w:rFonts w:eastAsia="SimSun" w:hint="default"/>
                <w:color w:val="000000"/>
                <w:kern w:val="0"/>
                <w:lang w:val="en-US" w:eastAsia="zh-CN" w:bidi="ar"/>
              </w:rPr>
              <w:t xml:space="preserve">g/l </w:t>
            </w:r>
          </w:p>
          <w:p w14:paraId="4FCC38CA" w14:textId="77777777" w:rsidR="00B611D1" w:rsidRPr="00525786" w:rsidRDefault="00FB7689">
            <w:pPr>
              <w:spacing w:after="200" w:line="276" w:lineRule="auto"/>
              <w:rPr>
                <w:rFonts w:hint="default"/>
                <w:lang w:val="en-US"/>
              </w:rPr>
            </w:pPr>
            <w:r w:rsidRPr="00525786">
              <w:rPr>
                <w:rFonts w:eastAsia="SimSun" w:hint="default"/>
                <w:color w:val="000000"/>
                <w:kern w:val="0"/>
                <w:lang w:val="en-US" w:eastAsia="zh-CN" w:bidi="ar"/>
              </w:rPr>
              <w:t xml:space="preserve">• Amidon …………………. 1,5 g/l </w:t>
            </w:r>
          </w:p>
          <w:p w14:paraId="68AB8010" w14:textId="77777777" w:rsidR="00B611D1" w:rsidRDefault="00FB7689">
            <w:pPr>
              <w:spacing w:after="200" w:line="276" w:lineRule="auto"/>
              <w:rPr>
                <w:rFonts w:hint="default"/>
                <w:lang w:val="fr-FR"/>
              </w:rPr>
            </w:pPr>
            <w:r w:rsidRPr="00525786">
              <w:rPr>
                <w:rFonts w:eastAsia="SimSun" w:hint="default"/>
                <w:color w:val="000000"/>
                <w:kern w:val="0"/>
                <w:lang w:val="en-US" w:eastAsia="zh-CN" w:bidi="ar"/>
              </w:rPr>
              <w:t xml:space="preserve">• Agar ……………….... </w:t>
            </w:r>
            <w:r>
              <w:rPr>
                <w:rFonts w:eastAsia="SimSun" w:hint="default"/>
                <w:color w:val="000000"/>
                <w:kern w:val="0"/>
                <w:lang w:val="fr-FR" w:eastAsia="zh-CN" w:bidi="ar"/>
              </w:rPr>
              <w:t xml:space="preserve">17,0 g/l </w:t>
            </w:r>
          </w:p>
          <w:p w14:paraId="165CC81F" w14:textId="77777777" w:rsidR="00B611D1" w:rsidRDefault="00FB7689">
            <w:pPr>
              <w:spacing w:after="200" w:line="276" w:lineRule="auto"/>
              <w:rPr>
                <w:rFonts w:hint="default"/>
                <w:lang w:val="fr-FR"/>
              </w:rPr>
            </w:pPr>
            <w:r>
              <w:rPr>
                <w:rFonts w:eastAsia="SimSun" w:hint="default"/>
                <w:color w:val="000000"/>
                <w:kern w:val="0"/>
                <w:lang w:val="fr-FR" w:eastAsia="zh-CN" w:bidi="ar"/>
              </w:rPr>
              <w:t>• Eau distillée (qsp) …………… 1 L</w:t>
            </w:r>
          </w:p>
          <w:p w14:paraId="00760CBB" w14:textId="77777777" w:rsidR="00B611D1" w:rsidRDefault="00B611D1">
            <w:pPr>
              <w:spacing w:after="200" w:line="360" w:lineRule="auto"/>
              <w:rPr>
                <w:rFonts w:eastAsia="SimSun" w:hint="default"/>
                <w:color w:val="000000"/>
                <w:kern w:val="0"/>
                <w:lang w:val="fr-FR" w:eastAsia="zh-CN" w:bidi="ar"/>
              </w:rPr>
            </w:pPr>
          </w:p>
        </w:tc>
      </w:tr>
    </w:tbl>
    <w:p w14:paraId="7B0BD8C6" w14:textId="77777777" w:rsidR="00B611D1" w:rsidRDefault="00B611D1">
      <w:pPr>
        <w:spacing w:line="360" w:lineRule="auto"/>
        <w:rPr>
          <w:rFonts w:eastAsia="SimSun"/>
          <w:color w:val="000000"/>
          <w:lang w:val="fr-FR" w:eastAsia="zh-CN" w:bidi="ar"/>
        </w:rPr>
      </w:pPr>
    </w:p>
    <w:tbl>
      <w:tblPr>
        <w:tblStyle w:val="Grilledutableau"/>
        <w:tblW w:w="0" w:type="auto"/>
        <w:tblLook w:val="04A0" w:firstRow="1" w:lastRow="0" w:firstColumn="1" w:lastColumn="0" w:noHBand="0" w:noVBand="1"/>
      </w:tblPr>
      <w:tblGrid>
        <w:gridCol w:w="5037"/>
        <w:gridCol w:w="5063"/>
      </w:tblGrid>
      <w:tr w:rsidR="00B611D1" w14:paraId="189D6A27" w14:textId="77777777">
        <w:tc>
          <w:tcPr>
            <w:tcW w:w="5163" w:type="dxa"/>
            <w:tcBorders>
              <w:right w:val="nil"/>
            </w:tcBorders>
            <w:vAlign w:val="center"/>
          </w:tcPr>
          <w:p w14:paraId="10881334" w14:textId="77777777" w:rsidR="00B611D1" w:rsidRDefault="00FB7689">
            <w:pPr>
              <w:spacing w:after="200" w:line="276" w:lineRule="auto"/>
              <w:jc w:val="right"/>
              <w:rPr>
                <w:rFonts w:eastAsia="SimSun" w:hint="default"/>
                <w:color w:val="000000"/>
                <w:lang w:val="fr-FR" w:eastAsia="zh-CN" w:bidi="ar"/>
              </w:rPr>
            </w:pPr>
            <w:r>
              <w:rPr>
                <w:rFonts w:eastAsia="TimesNewRomanPS-BoldMT"/>
                <w:b/>
                <w:bCs/>
                <w:color w:val="000000"/>
                <w:kern w:val="0"/>
                <w:sz w:val="28"/>
                <w:szCs w:val="28"/>
                <w:lang w:val="en-US" w:eastAsia="zh-CN" w:bidi="ar"/>
              </w:rPr>
              <w:t>Appareillages</w:t>
            </w:r>
          </w:p>
        </w:tc>
        <w:tc>
          <w:tcPr>
            <w:tcW w:w="5163" w:type="dxa"/>
            <w:tcBorders>
              <w:left w:val="nil"/>
            </w:tcBorders>
          </w:tcPr>
          <w:p w14:paraId="4F555B53" w14:textId="77777777" w:rsidR="00B611D1" w:rsidRDefault="00B611D1">
            <w:pPr>
              <w:spacing w:after="200" w:line="360" w:lineRule="auto"/>
              <w:rPr>
                <w:rFonts w:eastAsia="SimSun" w:hint="default"/>
                <w:color w:val="000000"/>
                <w:lang w:val="fr-FR" w:eastAsia="zh-CN" w:bidi="ar"/>
              </w:rPr>
            </w:pPr>
          </w:p>
        </w:tc>
      </w:tr>
      <w:tr w:rsidR="00B611D1" w14:paraId="736426FE" w14:textId="77777777">
        <w:tc>
          <w:tcPr>
            <w:tcW w:w="5163" w:type="dxa"/>
          </w:tcPr>
          <w:p w14:paraId="69FE1C54" w14:textId="77777777" w:rsidR="00B611D1" w:rsidRDefault="00FB7689">
            <w:pPr>
              <w:spacing w:after="200" w:line="360" w:lineRule="auto"/>
              <w:rPr>
                <w:rFonts w:eastAsia="SimSun" w:hint="default"/>
                <w:color w:val="000000"/>
                <w:lang w:val="fr-FR" w:eastAsia="zh-CN" w:bidi="ar"/>
              </w:rPr>
            </w:pPr>
            <w:r>
              <w:rPr>
                <w:rFonts w:eastAsia="SimSun" w:hint="default"/>
                <w:color w:val="000000"/>
                <w:lang w:val="fr-FR" w:eastAsia="zh-CN" w:bidi="ar"/>
              </w:rPr>
              <w:t>Incubateur à 37° C</w:t>
            </w:r>
          </w:p>
        </w:tc>
        <w:tc>
          <w:tcPr>
            <w:tcW w:w="5163" w:type="dxa"/>
          </w:tcPr>
          <w:p w14:paraId="5491AB44" w14:textId="77777777" w:rsidR="00B611D1" w:rsidRDefault="00FB7689">
            <w:pPr>
              <w:spacing w:after="200" w:line="360" w:lineRule="auto"/>
              <w:rPr>
                <w:rFonts w:eastAsia="SimSun" w:hint="default"/>
                <w:color w:val="000000"/>
                <w:lang w:val="fr-FR" w:eastAsia="zh-CN" w:bidi="ar"/>
              </w:rPr>
            </w:pPr>
            <w:r>
              <w:rPr>
                <w:noProof/>
              </w:rPr>
              <w:drawing>
                <wp:inline distT="0" distB="0" distL="114300" distR="114300" wp14:anchorId="06950667" wp14:editId="1E235EAF">
                  <wp:extent cx="1438910" cy="1078865"/>
                  <wp:effectExtent l="0" t="0" r="8890" b="635"/>
                  <wp:docPr id="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3"/>
                          <pic:cNvPicPr>
                            <a:picLocks noChangeAspect="1"/>
                          </pic:cNvPicPr>
                        </pic:nvPicPr>
                        <pic:blipFill>
                          <a:blip r:embed="rId184"/>
                          <a:stretch>
                            <a:fillRect/>
                          </a:stretch>
                        </pic:blipFill>
                        <pic:spPr>
                          <a:xfrm>
                            <a:off x="0" y="0"/>
                            <a:ext cx="1438910" cy="1078865"/>
                          </a:xfrm>
                          <a:prstGeom prst="rect">
                            <a:avLst/>
                          </a:prstGeom>
                          <a:noFill/>
                          <a:ln>
                            <a:noFill/>
                          </a:ln>
                        </pic:spPr>
                      </pic:pic>
                    </a:graphicData>
                  </a:graphic>
                </wp:inline>
              </w:drawing>
            </w:r>
          </w:p>
        </w:tc>
      </w:tr>
      <w:tr w:rsidR="00B611D1" w14:paraId="2904FC6C" w14:textId="77777777">
        <w:tc>
          <w:tcPr>
            <w:tcW w:w="5163" w:type="dxa"/>
          </w:tcPr>
          <w:p w14:paraId="6438CF90" w14:textId="77777777" w:rsidR="00B611D1" w:rsidRDefault="00FB7689">
            <w:pPr>
              <w:spacing w:after="200" w:line="360" w:lineRule="auto"/>
              <w:rPr>
                <w:rFonts w:eastAsia="SimSun" w:hint="default"/>
                <w:color w:val="000000"/>
                <w:lang w:val="fr-FR" w:eastAsia="zh-CN" w:bidi="ar"/>
              </w:rPr>
            </w:pPr>
            <w:r>
              <w:rPr>
                <w:rFonts w:eastAsia="SimSun" w:hint="default"/>
                <w:color w:val="000000"/>
                <w:lang w:val="fr-FR" w:eastAsia="zh-CN" w:bidi="ar"/>
              </w:rPr>
              <w:t>Réfrigérateur</w:t>
            </w:r>
          </w:p>
        </w:tc>
        <w:tc>
          <w:tcPr>
            <w:tcW w:w="5163" w:type="dxa"/>
          </w:tcPr>
          <w:p w14:paraId="727FB9BA" w14:textId="77777777" w:rsidR="00B611D1" w:rsidRDefault="00FB7689">
            <w:pPr>
              <w:spacing w:after="200" w:line="360" w:lineRule="auto"/>
              <w:rPr>
                <w:rFonts w:eastAsia="SimSun" w:hint="default"/>
                <w:color w:val="000000"/>
                <w:lang w:val="fr-FR" w:eastAsia="zh-CN" w:bidi="ar"/>
              </w:rPr>
            </w:pPr>
            <w:r>
              <w:rPr>
                <w:noProof/>
              </w:rPr>
              <w:drawing>
                <wp:inline distT="0" distB="0" distL="114300" distR="114300" wp14:anchorId="4DF41B11" wp14:editId="28BF3D8F">
                  <wp:extent cx="1450975" cy="1932305"/>
                  <wp:effectExtent l="0" t="0" r="9525" b="10795"/>
                  <wp:docPr id="1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5"/>
                          <pic:cNvPicPr>
                            <a:picLocks noChangeAspect="1"/>
                          </pic:cNvPicPr>
                        </pic:nvPicPr>
                        <pic:blipFill>
                          <a:blip r:embed="rId185"/>
                          <a:stretch>
                            <a:fillRect/>
                          </a:stretch>
                        </pic:blipFill>
                        <pic:spPr>
                          <a:xfrm>
                            <a:off x="0" y="0"/>
                            <a:ext cx="1450975" cy="1932305"/>
                          </a:xfrm>
                          <a:prstGeom prst="rect">
                            <a:avLst/>
                          </a:prstGeom>
                          <a:noFill/>
                          <a:ln>
                            <a:noFill/>
                          </a:ln>
                        </pic:spPr>
                      </pic:pic>
                    </a:graphicData>
                  </a:graphic>
                </wp:inline>
              </w:drawing>
            </w:r>
          </w:p>
        </w:tc>
      </w:tr>
      <w:tr w:rsidR="00B611D1" w14:paraId="2F5E555A" w14:textId="77777777">
        <w:tc>
          <w:tcPr>
            <w:tcW w:w="5163" w:type="dxa"/>
          </w:tcPr>
          <w:p w14:paraId="3F548BC8" w14:textId="77777777" w:rsidR="00B611D1" w:rsidRDefault="00FB7689">
            <w:pPr>
              <w:spacing w:after="200" w:line="360" w:lineRule="auto"/>
              <w:rPr>
                <w:rFonts w:eastAsia="SimSun" w:hint="default"/>
                <w:color w:val="000000"/>
                <w:lang w:val="fr-FR" w:eastAsia="zh-CN" w:bidi="ar"/>
              </w:rPr>
            </w:pPr>
            <w:r>
              <w:rPr>
                <w:rFonts w:eastAsia="SimSun" w:hint="default"/>
                <w:color w:val="000000"/>
                <w:lang w:val="fr-FR" w:eastAsia="zh-CN" w:bidi="ar"/>
              </w:rPr>
              <w:t>Microscope</w:t>
            </w:r>
          </w:p>
        </w:tc>
        <w:tc>
          <w:tcPr>
            <w:tcW w:w="5163" w:type="dxa"/>
          </w:tcPr>
          <w:p w14:paraId="29835B9D" w14:textId="77777777" w:rsidR="00B611D1" w:rsidRDefault="00FB7689">
            <w:pPr>
              <w:spacing w:after="200" w:line="360" w:lineRule="auto"/>
              <w:rPr>
                <w:rFonts w:eastAsia="SimSun" w:hint="default"/>
                <w:color w:val="000000"/>
                <w:lang w:val="fr-FR" w:eastAsia="zh-CN" w:bidi="ar"/>
              </w:rPr>
            </w:pPr>
            <w:r>
              <w:rPr>
                <w:noProof/>
              </w:rPr>
              <w:drawing>
                <wp:inline distT="0" distB="0" distL="114300" distR="114300" wp14:anchorId="4BA95D62" wp14:editId="3B70488D">
                  <wp:extent cx="1444625" cy="1926590"/>
                  <wp:effectExtent l="0" t="0" r="3175" b="3810"/>
                  <wp:docPr id="1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4"/>
                          <pic:cNvPicPr>
                            <a:picLocks noChangeAspect="1"/>
                          </pic:cNvPicPr>
                        </pic:nvPicPr>
                        <pic:blipFill>
                          <a:blip r:embed="rId186"/>
                          <a:stretch>
                            <a:fillRect/>
                          </a:stretch>
                        </pic:blipFill>
                        <pic:spPr>
                          <a:xfrm>
                            <a:off x="0" y="0"/>
                            <a:ext cx="1444625" cy="1926590"/>
                          </a:xfrm>
                          <a:prstGeom prst="rect">
                            <a:avLst/>
                          </a:prstGeom>
                          <a:noFill/>
                          <a:ln>
                            <a:noFill/>
                          </a:ln>
                        </pic:spPr>
                      </pic:pic>
                    </a:graphicData>
                  </a:graphic>
                </wp:inline>
              </w:drawing>
            </w:r>
          </w:p>
        </w:tc>
      </w:tr>
      <w:tr w:rsidR="00B611D1" w14:paraId="30858332" w14:textId="77777777">
        <w:tc>
          <w:tcPr>
            <w:tcW w:w="5163" w:type="dxa"/>
          </w:tcPr>
          <w:p w14:paraId="50FD23D4" w14:textId="77777777" w:rsidR="00B611D1" w:rsidRDefault="00FB7689">
            <w:pPr>
              <w:spacing w:after="200" w:line="360" w:lineRule="auto"/>
              <w:rPr>
                <w:rFonts w:eastAsia="SimSun" w:hint="default"/>
                <w:color w:val="000000"/>
                <w:lang w:val="fr-FR" w:eastAsia="zh-CN" w:bidi="ar"/>
              </w:rPr>
            </w:pPr>
            <w:r>
              <w:rPr>
                <w:rFonts w:eastAsia="SimSun" w:hint="default"/>
                <w:color w:val="000000"/>
                <w:lang w:val="fr-FR" w:eastAsia="zh-CN" w:bidi="ar"/>
              </w:rPr>
              <w:t>Bec bunsen</w:t>
            </w:r>
          </w:p>
        </w:tc>
        <w:tc>
          <w:tcPr>
            <w:tcW w:w="5163" w:type="dxa"/>
          </w:tcPr>
          <w:p w14:paraId="1A545675" w14:textId="77777777" w:rsidR="00B611D1" w:rsidRDefault="00FB7689">
            <w:pPr>
              <w:spacing w:after="200" w:line="360" w:lineRule="auto"/>
              <w:rPr>
                <w:rFonts w:eastAsia="SimSun" w:hint="default"/>
                <w:color w:val="000000"/>
                <w:lang w:val="fr-FR" w:eastAsia="zh-CN" w:bidi="ar"/>
              </w:rPr>
            </w:pPr>
            <w:r>
              <w:rPr>
                <w:noProof/>
              </w:rPr>
              <w:drawing>
                <wp:inline distT="0" distB="0" distL="114300" distR="114300" wp14:anchorId="5D9C1BCB" wp14:editId="48E31B07">
                  <wp:extent cx="1463040" cy="1097280"/>
                  <wp:effectExtent l="0" t="0" r="10160" b="7620"/>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2"/>
                          <pic:cNvPicPr>
                            <a:picLocks noChangeAspect="1"/>
                          </pic:cNvPicPr>
                        </pic:nvPicPr>
                        <pic:blipFill>
                          <a:blip r:embed="rId187"/>
                          <a:stretch>
                            <a:fillRect/>
                          </a:stretch>
                        </pic:blipFill>
                        <pic:spPr>
                          <a:xfrm>
                            <a:off x="0" y="0"/>
                            <a:ext cx="1463040" cy="1097280"/>
                          </a:xfrm>
                          <a:prstGeom prst="rect">
                            <a:avLst/>
                          </a:prstGeom>
                          <a:noFill/>
                          <a:ln>
                            <a:noFill/>
                          </a:ln>
                        </pic:spPr>
                      </pic:pic>
                    </a:graphicData>
                  </a:graphic>
                </wp:inline>
              </w:drawing>
            </w:r>
          </w:p>
        </w:tc>
      </w:tr>
    </w:tbl>
    <w:p w14:paraId="0D06F3F4" w14:textId="77777777" w:rsidR="00B611D1" w:rsidRDefault="00B611D1">
      <w:pPr>
        <w:spacing w:line="360" w:lineRule="auto"/>
        <w:rPr>
          <w:rFonts w:eastAsia="SimSun"/>
          <w:color w:val="000000"/>
          <w:lang w:val="fr-FR" w:eastAsia="zh-CN" w:bidi="ar"/>
        </w:rPr>
      </w:pPr>
    </w:p>
    <w:p w14:paraId="5EC98280" w14:textId="77777777" w:rsidR="00B611D1" w:rsidRDefault="00B611D1">
      <w:pPr>
        <w:spacing w:line="360" w:lineRule="auto"/>
        <w:rPr>
          <w:rFonts w:eastAsia="SimSun"/>
          <w:color w:val="000000"/>
          <w:lang w:val="fr-FR" w:eastAsia="zh-CN" w:bidi="ar"/>
        </w:rPr>
      </w:pPr>
    </w:p>
    <w:p w14:paraId="73A03E71" w14:textId="77777777" w:rsidR="00B611D1" w:rsidRDefault="00B611D1">
      <w:pPr>
        <w:spacing w:line="360" w:lineRule="auto"/>
        <w:rPr>
          <w:rFonts w:eastAsia="SimSun"/>
          <w:color w:val="000000"/>
          <w:lang w:val="fr-FR" w:eastAsia="zh-CN" w:bidi="ar"/>
        </w:rPr>
      </w:pPr>
    </w:p>
    <w:p w14:paraId="65885C00" w14:textId="77777777" w:rsidR="00B611D1" w:rsidRDefault="00B611D1">
      <w:pPr>
        <w:spacing w:line="360" w:lineRule="auto"/>
        <w:rPr>
          <w:rFonts w:eastAsia="SimSun"/>
          <w:color w:val="000000"/>
          <w:lang w:val="fr-FR" w:eastAsia="zh-CN" w:bidi="ar"/>
        </w:rPr>
      </w:pPr>
    </w:p>
    <w:p w14:paraId="3B3E5C05" w14:textId="77777777" w:rsidR="00B611D1" w:rsidRDefault="00B611D1">
      <w:pPr>
        <w:spacing w:line="360" w:lineRule="auto"/>
        <w:rPr>
          <w:rFonts w:eastAsia="SimSun"/>
          <w:color w:val="000000"/>
          <w:lang w:val="fr-FR" w:eastAsia="zh-CN" w:bidi="ar"/>
        </w:rPr>
      </w:pPr>
    </w:p>
    <w:p w14:paraId="625CF47F" w14:textId="77777777" w:rsidR="00B611D1" w:rsidRDefault="00B611D1">
      <w:pPr>
        <w:spacing w:line="360" w:lineRule="auto"/>
        <w:rPr>
          <w:rFonts w:eastAsia="SimSun"/>
          <w:color w:val="000000"/>
          <w:lang w:val="fr-FR" w:eastAsia="zh-CN" w:bidi="ar"/>
        </w:rPr>
      </w:pPr>
    </w:p>
    <w:p w14:paraId="231C8D52" w14:textId="77777777" w:rsidR="00B611D1" w:rsidRDefault="00B611D1">
      <w:pPr>
        <w:spacing w:line="360" w:lineRule="auto"/>
        <w:rPr>
          <w:rFonts w:eastAsia="SimSun"/>
          <w:color w:val="000000"/>
          <w:lang w:val="fr-FR" w:eastAsia="zh-CN" w:bidi="ar"/>
        </w:rPr>
      </w:pPr>
    </w:p>
    <w:tbl>
      <w:tblPr>
        <w:tblStyle w:val="Grilledutableau"/>
        <w:tblW w:w="0" w:type="auto"/>
        <w:tblLook w:val="04A0" w:firstRow="1" w:lastRow="0" w:firstColumn="1" w:lastColumn="0" w:noHBand="0" w:noVBand="1"/>
      </w:tblPr>
      <w:tblGrid>
        <w:gridCol w:w="5023"/>
        <w:gridCol w:w="5077"/>
      </w:tblGrid>
      <w:tr w:rsidR="00B611D1" w14:paraId="36ABDD5B" w14:textId="77777777">
        <w:tc>
          <w:tcPr>
            <w:tcW w:w="5163" w:type="dxa"/>
            <w:tcBorders>
              <w:right w:val="nil"/>
            </w:tcBorders>
            <w:vAlign w:val="center"/>
          </w:tcPr>
          <w:p w14:paraId="19664CD2" w14:textId="77777777" w:rsidR="00B611D1" w:rsidRDefault="00FB7689">
            <w:pPr>
              <w:spacing w:after="200" w:line="276" w:lineRule="auto"/>
              <w:jc w:val="right"/>
              <w:rPr>
                <w:rFonts w:eastAsia="SimSun" w:hint="default"/>
                <w:color w:val="000000"/>
                <w:lang w:val="fr-FR" w:eastAsia="zh-CN" w:bidi="ar"/>
              </w:rPr>
            </w:pPr>
            <w:r>
              <w:rPr>
                <w:rFonts w:eastAsia="TimesNewRomanPS-BoldMT"/>
                <w:b/>
                <w:bCs/>
                <w:color w:val="000000"/>
                <w:kern w:val="0"/>
                <w:sz w:val="28"/>
                <w:szCs w:val="28"/>
                <w:lang w:val="en-US" w:eastAsia="zh-CN" w:bidi="ar"/>
              </w:rPr>
              <w:t>Liste de la verrerie</w:t>
            </w:r>
          </w:p>
        </w:tc>
        <w:tc>
          <w:tcPr>
            <w:tcW w:w="5163" w:type="dxa"/>
            <w:tcBorders>
              <w:left w:val="nil"/>
            </w:tcBorders>
          </w:tcPr>
          <w:p w14:paraId="049DD974" w14:textId="77777777" w:rsidR="00B611D1" w:rsidRDefault="00B611D1">
            <w:pPr>
              <w:spacing w:after="200" w:line="360" w:lineRule="auto"/>
              <w:rPr>
                <w:rFonts w:eastAsia="SimSun" w:hint="default"/>
                <w:color w:val="000000"/>
                <w:lang w:val="fr-FR" w:eastAsia="zh-CN" w:bidi="ar"/>
              </w:rPr>
            </w:pPr>
          </w:p>
        </w:tc>
      </w:tr>
      <w:tr w:rsidR="00B611D1" w14:paraId="374ACCCC" w14:textId="77777777">
        <w:tc>
          <w:tcPr>
            <w:tcW w:w="5163" w:type="dxa"/>
          </w:tcPr>
          <w:p w14:paraId="7A57B7F5" w14:textId="77777777" w:rsidR="00B611D1" w:rsidRDefault="00FB7689">
            <w:pPr>
              <w:spacing w:after="200" w:line="360" w:lineRule="auto"/>
              <w:rPr>
                <w:rFonts w:eastAsia="SimSun" w:hint="default"/>
                <w:color w:val="000000"/>
                <w:lang w:val="fr-FR" w:eastAsia="zh-CN" w:bidi="ar"/>
              </w:rPr>
            </w:pPr>
            <w:r>
              <w:rPr>
                <w:rFonts w:eastAsia="SimSun" w:hint="default"/>
                <w:color w:val="000000"/>
                <w:kern w:val="0"/>
                <w:sz w:val="26"/>
                <w:szCs w:val="26"/>
                <w:lang w:val="en-US" w:eastAsia="zh-CN" w:bidi="ar"/>
              </w:rPr>
              <w:t xml:space="preserve">Pipette pasteur en verre </w:t>
            </w:r>
          </w:p>
        </w:tc>
        <w:tc>
          <w:tcPr>
            <w:tcW w:w="5163" w:type="dxa"/>
          </w:tcPr>
          <w:p w14:paraId="12393249" w14:textId="77777777" w:rsidR="00B611D1" w:rsidRDefault="00FB7689">
            <w:pPr>
              <w:spacing w:after="200" w:line="360" w:lineRule="auto"/>
              <w:rPr>
                <w:rFonts w:eastAsia="SimSun" w:hint="default"/>
                <w:color w:val="000000"/>
                <w:lang w:val="fr-FR" w:eastAsia="zh-CN" w:bidi="ar"/>
              </w:rPr>
            </w:pPr>
            <w:r>
              <w:rPr>
                <w:noProof/>
              </w:rPr>
              <w:drawing>
                <wp:inline distT="0" distB="0" distL="114300" distR="114300" wp14:anchorId="4B90C50B" wp14:editId="0BE4073F">
                  <wp:extent cx="1164590" cy="1548130"/>
                  <wp:effectExtent l="0" t="0" r="3810" b="1270"/>
                  <wp:docPr id="2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3"/>
                          <pic:cNvPicPr>
                            <a:picLocks noChangeAspect="1"/>
                          </pic:cNvPicPr>
                        </pic:nvPicPr>
                        <pic:blipFill>
                          <a:blip r:embed="rId188"/>
                          <a:stretch>
                            <a:fillRect/>
                          </a:stretch>
                        </pic:blipFill>
                        <pic:spPr>
                          <a:xfrm>
                            <a:off x="0" y="0"/>
                            <a:ext cx="1164590" cy="1548130"/>
                          </a:xfrm>
                          <a:prstGeom prst="rect">
                            <a:avLst/>
                          </a:prstGeom>
                          <a:noFill/>
                          <a:ln>
                            <a:noFill/>
                          </a:ln>
                        </pic:spPr>
                      </pic:pic>
                    </a:graphicData>
                  </a:graphic>
                </wp:inline>
              </w:drawing>
            </w:r>
          </w:p>
        </w:tc>
      </w:tr>
      <w:tr w:rsidR="00B611D1" w14:paraId="63FA7656" w14:textId="77777777">
        <w:tc>
          <w:tcPr>
            <w:tcW w:w="5163" w:type="dxa"/>
          </w:tcPr>
          <w:p w14:paraId="4B9F8361" w14:textId="77777777" w:rsidR="00B611D1" w:rsidRDefault="00FB7689">
            <w:pPr>
              <w:spacing w:after="200" w:line="276" w:lineRule="auto"/>
              <w:rPr>
                <w:rFonts w:eastAsia="SimSun" w:hint="default"/>
                <w:color w:val="000000"/>
                <w:lang w:val="fr-FR" w:eastAsia="zh-CN" w:bidi="ar"/>
              </w:rPr>
            </w:pPr>
            <w:r>
              <w:rPr>
                <w:rFonts w:eastAsia="SimSun" w:hint="default"/>
                <w:color w:val="000000"/>
                <w:kern w:val="0"/>
                <w:sz w:val="26"/>
                <w:szCs w:val="26"/>
                <w:lang w:val="en-US" w:eastAsia="zh-CN" w:bidi="ar"/>
              </w:rPr>
              <w:t>Lame microscope</w:t>
            </w:r>
          </w:p>
        </w:tc>
        <w:tc>
          <w:tcPr>
            <w:tcW w:w="5163" w:type="dxa"/>
          </w:tcPr>
          <w:p w14:paraId="417FEED7" w14:textId="77777777" w:rsidR="00B611D1" w:rsidRDefault="00FB7689">
            <w:pPr>
              <w:spacing w:after="200" w:line="360" w:lineRule="auto"/>
              <w:rPr>
                <w:rFonts w:eastAsia="SimSun" w:hint="default"/>
                <w:color w:val="000000"/>
                <w:lang w:val="fr-FR" w:eastAsia="zh-CN" w:bidi="ar"/>
              </w:rPr>
            </w:pPr>
            <w:r>
              <w:rPr>
                <w:noProof/>
              </w:rPr>
              <w:drawing>
                <wp:inline distT="0" distB="0" distL="114300" distR="114300" wp14:anchorId="45F6C3F8" wp14:editId="26C8D0E5">
                  <wp:extent cx="1680210" cy="1259840"/>
                  <wp:effectExtent l="0" t="0" r="8890" b="10160"/>
                  <wp:docPr id="1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2"/>
                          <pic:cNvPicPr>
                            <a:picLocks noChangeAspect="1"/>
                          </pic:cNvPicPr>
                        </pic:nvPicPr>
                        <pic:blipFill>
                          <a:blip r:embed="rId189"/>
                          <a:stretch>
                            <a:fillRect/>
                          </a:stretch>
                        </pic:blipFill>
                        <pic:spPr>
                          <a:xfrm>
                            <a:off x="0" y="0"/>
                            <a:ext cx="1680210" cy="1259840"/>
                          </a:xfrm>
                          <a:prstGeom prst="rect">
                            <a:avLst/>
                          </a:prstGeom>
                          <a:noFill/>
                          <a:ln>
                            <a:noFill/>
                          </a:ln>
                        </pic:spPr>
                      </pic:pic>
                    </a:graphicData>
                  </a:graphic>
                </wp:inline>
              </w:drawing>
            </w:r>
          </w:p>
        </w:tc>
      </w:tr>
    </w:tbl>
    <w:p w14:paraId="1A9A9EFB" w14:textId="77777777" w:rsidR="00B611D1" w:rsidRDefault="00B611D1">
      <w:pPr>
        <w:spacing w:line="360" w:lineRule="auto"/>
        <w:rPr>
          <w:rFonts w:eastAsia="SimSun"/>
          <w:color w:val="000000"/>
          <w:lang w:val="fr-FR" w:eastAsia="zh-CN" w:bidi="ar"/>
        </w:rPr>
      </w:pPr>
    </w:p>
    <w:p w14:paraId="38D1BF94" w14:textId="77777777" w:rsidR="00B611D1" w:rsidRDefault="00FB7689">
      <w:pPr>
        <w:rPr>
          <w:rFonts w:eastAsia="TimesNewRomanPS-BoldMT"/>
          <w:b/>
          <w:bCs/>
          <w:color w:val="000000"/>
          <w:sz w:val="28"/>
          <w:szCs w:val="28"/>
          <w:lang w:val="fr-FR" w:eastAsia="zh-CN" w:bidi="ar"/>
        </w:rPr>
      </w:pPr>
      <w:r>
        <w:rPr>
          <w:rFonts w:eastAsia="TimesNewRomanPS-BoldMT"/>
          <w:b/>
          <w:bCs/>
          <w:color w:val="000000"/>
          <w:sz w:val="28"/>
          <w:szCs w:val="28"/>
          <w:lang w:val="fr-FR" w:eastAsia="zh-CN" w:bidi="ar"/>
        </w:rPr>
        <w:t xml:space="preserve">Les réactifs et les colorons utilisées : </w:t>
      </w:r>
    </w:p>
    <w:p w14:paraId="61AF53AD" w14:textId="77777777" w:rsidR="00B611D1" w:rsidRDefault="00B611D1">
      <w:pPr>
        <w:rPr>
          <w:rFonts w:eastAsia="TimesNewRomanPS-BoldMT"/>
          <w:b/>
          <w:bCs/>
          <w:color w:val="000000"/>
          <w:sz w:val="28"/>
          <w:szCs w:val="28"/>
          <w:lang w:val="fr-FR" w:eastAsia="zh-CN" w:bidi="ar"/>
        </w:rPr>
      </w:pPr>
    </w:p>
    <w:p w14:paraId="1E29F58E" w14:textId="77777777" w:rsidR="00B611D1" w:rsidRDefault="00FB7689">
      <w:pPr>
        <w:spacing w:line="360" w:lineRule="auto"/>
        <w:jc w:val="both"/>
        <w:rPr>
          <w:lang w:val="fr-FR"/>
        </w:rPr>
      </w:pPr>
      <w:r>
        <w:rPr>
          <w:rFonts w:eastAsia="SimSun"/>
          <w:color w:val="000000"/>
          <w:lang w:val="fr-FR" w:eastAsia="zh-CN" w:bidi="ar"/>
        </w:rPr>
        <w:t xml:space="preserve">• L’alcool </w:t>
      </w:r>
    </w:p>
    <w:p w14:paraId="4ABE1D08" w14:textId="77777777" w:rsidR="00B611D1" w:rsidRDefault="00FB7689">
      <w:pPr>
        <w:spacing w:line="360" w:lineRule="auto"/>
        <w:jc w:val="both"/>
        <w:rPr>
          <w:lang w:val="fr-FR"/>
        </w:rPr>
      </w:pPr>
      <w:r>
        <w:rPr>
          <w:rFonts w:eastAsia="SimSun"/>
          <w:color w:val="000000"/>
          <w:lang w:val="fr-FR" w:eastAsia="zh-CN" w:bidi="ar"/>
        </w:rPr>
        <w:t xml:space="preserve">• Lugol </w:t>
      </w:r>
    </w:p>
    <w:p w14:paraId="7A6C8A94" w14:textId="77777777" w:rsidR="00B611D1" w:rsidRDefault="00FB7689">
      <w:pPr>
        <w:spacing w:line="360" w:lineRule="auto"/>
        <w:jc w:val="both"/>
        <w:rPr>
          <w:lang w:val="fr-FR"/>
        </w:rPr>
      </w:pPr>
      <w:r>
        <w:rPr>
          <w:rFonts w:eastAsia="SimSun"/>
          <w:color w:val="000000"/>
          <w:lang w:val="fr-FR" w:eastAsia="zh-CN" w:bidi="ar"/>
        </w:rPr>
        <w:t xml:space="preserve">• Fuchsine </w:t>
      </w:r>
    </w:p>
    <w:p w14:paraId="310D4554" w14:textId="77777777" w:rsidR="00B611D1" w:rsidRDefault="00FB7689">
      <w:pPr>
        <w:spacing w:line="360" w:lineRule="auto"/>
        <w:jc w:val="both"/>
        <w:rPr>
          <w:lang w:val="fr-FR"/>
        </w:rPr>
      </w:pPr>
      <w:r>
        <w:rPr>
          <w:rFonts w:eastAsia="SimSun"/>
          <w:color w:val="000000"/>
          <w:lang w:val="fr-FR" w:eastAsia="zh-CN" w:bidi="ar"/>
        </w:rPr>
        <w:t xml:space="preserve">• Huile de paraffine </w:t>
      </w:r>
    </w:p>
    <w:p w14:paraId="65298134" w14:textId="77777777" w:rsidR="00B611D1" w:rsidRDefault="00FB7689">
      <w:pPr>
        <w:spacing w:line="360" w:lineRule="auto"/>
        <w:jc w:val="both"/>
        <w:rPr>
          <w:lang w:val="fr-FR"/>
        </w:rPr>
      </w:pPr>
      <w:r>
        <w:rPr>
          <w:rFonts w:eastAsia="SimSun"/>
          <w:color w:val="000000"/>
          <w:lang w:val="fr-FR" w:eastAsia="zh-CN" w:bidi="ar"/>
        </w:rPr>
        <w:t xml:space="preserve">• Huile de vaseline </w:t>
      </w:r>
    </w:p>
    <w:p w14:paraId="044E91FE" w14:textId="77777777" w:rsidR="00B611D1" w:rsidRDefault="00FB7689">
      <w:pPr>
        <w:spacing w:line="360" w:lineRule="auto"/>
        <w:jc w:val="both"/>
        <w:rPr>
          <w:lang w:val="fr-FR"/>
        </w:rPr>
      </w:pPr>
      <w:r>
        <w:rPr>
          <w:rFonts w:eastAsia="SimSun"/>
          <w:color w:val="000000"/>
          <w:lang w:val="fr-FR" w:eastAsia="zh-CN" w:bidi="ar"/>
        </w:rPr>
        <w:t xml:space="preserve">• Réactifs de Kovacs </w:t>
      </w:r>
    </w:p>
    <w:p w14:paraId="5543788A" w14:textId="77777777" w:rsidR="00B611D1" w:rsidRDefault="00FB7689">
      <w:pPr>
        <w:spacing w:line="360" w:lineRule="auto"/>
        <w:jc w:val="both"/>
        <w:rPr>
          <w:lang w:val="fr-FR"/>
        </w:rPr>
      </w:pPr>
      <w:r>
        <w:rPr>
          <w:rFonts w:eastAsia="SimSun"/>
          <w:color w:val="000000"/>
          <w:lang w:val="fr-FR" w:eastAsia="zh-CN" w:bidi="ar"/>
        </w:rPr>
        <w:t xml:space="preserve">• Réactif de TDA </w:t>
      </w:r>
    </w:p>
    <w:p w14:paraId="187439FA" w14:textId="77777777" w:rsidR="00B611D1" w:rsidRDefault="00FB7689">
      <w:pPr>
        <w:spacing w:line="360" w:lineRule="auto"/>
        <w:jc w:val="both"/>
        <w:rPr>
          <w:lang w:val="fr-FR"/>
        </w:rPr>
      </w:pPr>
      <w:r>
        <w:rPr>
          <w:rFonts w:eastAsia="SimSun"/>
          <w:color w:val="000000"/>
          <w:lang w:val="fr-FR" w:eastAsia="zh-CN" w:bidi="ar"/>
        </w:rPr>
        <w:t xml:space="preserve">• Violet de Gentiane </w:t>
      </w:r>
    </w:p>
    <w:p w14:paraId="3DE0D841" w14:textId="77777777" w:rsidR="00B611D1" w:rsidRDefault="00FB7689">
      <w:pPr>
        <w:spacing w:line="360" w:lineRule="auto"/>
        <w:jc w:val="both"/>
        <w:rPr>
          <w:rFonts w:eastAsia="SimSun"/>
          <w:color w:val="000000"/>
          <w:lang w:val="fr-FR" w:eastAsia="zh-CN" w:bidi="ar"/>
        </w:rPr>
      </w:pPr>
      <w:r>
        <w:rPr>
          <w:rFonts w:eastAsia="SimSun"/>
          <w:color w:val="000000"/>
          <w:lang w:val="fr-FR" w:eastAsia="zh-CN" w:bidi="ar"/>
        </w:rPr>
        <w:t>• Voges Proskauer (VPI, VPII)</w:t>
      </w:r>
    </w:p>
    <w:p w14:paraId="75D5046F" w14:textId="77777777" w:rsidR="00B611D1" w:rsidRDefault="00FB7689">
      <w:pPr>
        <w:rPr>
          <w:rFonts w:eastAsia="TimesNewRomanPS-BoldMT"/>
          <w:b/>
          <w:bCs/>
          <w:color w:val="000000"/>
          <w:sz w:val="28"/>
          <w:szCs w:val="28"/>
          <w:lang w:val="fr-FR" w:eastAsia="zh-CN" w:bidi="ar"/>
        </w:rPr>
      </w:pPr>
      <w:r>
        <w:rPr>
          <w:rFonts w:eastAsia="TimesNewRomanPS-BoldMT"/>
          <w:b/>
          <w:bCs/>
          <w:color w:val="000000"/>
          <w:sz w:val="28"/>
          <w:szCs w:val="28"/>
          <w:lang w:val="fr-FR" w:eastAsia="zh-CN" w:bidi="ar"/>
        </w:rPr>
        <w:t>D’autres matériels :</w:t>
      </w:r>
    </w:p>
    <w:p w14:paraId="081819D4" w14:textId="77777777" w:rsidR="00B611D1" w:rsidRDefault="00B611D1">
      <w:pPr>
        <w:rPr>
          <w:rFonts w:eastAsia="TimesNewRomanPS-BoldMT"/>
          <w:b/>
          <w:bCs/>
          <w:color w:val="000000"/>
          <w:sz w:val="28"/>
          <w:szCs w:val="28"/>
          <w:lang w:val="fr-FR" w:eastAsia="zh-CN" w:bidi="ar"/>
        </w:rPr>
      </w:pPr>
    </w:p>
    <w:p w14:paraId="1FA3851A" w14:textId="77777777" w:rsidR="00B611D1" w:rsidRDefault="00FB7689">
      <w:pPr>
        <w:spacing w:line="360" w:lineRule="auto"/>
        <w:jc w:val="both"/>
        <w:rPr>
          <w:lang w:val="fr-FR"/>
        </w:rPr>
      </w:pPr>
      <w:r>
        <w:rPr>
          <w:rFonts w:eastAsia="SimSun"/>
          <w:color w:val="000000"/>
          <w:lang w:val="fr-FR" w:eastAsia="zh-CN" w:bidi="ar"/>
        </w:rPr>
        <w:t xml:space="preserve">• Boîte pétrie stériles </w:t>
      </w:r>
    </w:p>
    <w:p w14:paraId="5F35FAEE" w14:textId="77777777" w:rsidR="00B611D1" w:rsidRDefault="00FB7689">
      <w:pPr>
        <w:spacing w:line="360" w:lineRule="auto"/>
        <w:jc w:val="both"/>
        <w:rPr>
          <w:lang w:val="fr-FR"/>
        </w:rPr>
      </w:pPr>
      <w:r>
        <w:rPr>
          <w:rFonts w:eastAsia="SimSun"/>
          <w:color w:val="000000"/>
          <w:lang w:val="fr-FR" w:eastAsia="zh-CN" w:bidi="ar"/>
        </w:rPr>
        <w:t xml:space="preserve">• Anse de platine </w:t>
      </w:r>
    </w:p>
    <w:p w14:paraId="34E8570D" w14:textId="77777777" w:rsidR="00B611D1" w:rsidRDefault="00FB7689">
      <w:pPr>
        <w:spacing w:line="360" w:lineRule="auto"/>
        <w:jc w:val="both"/>
        <w:rPr>
          <w:lang w:val="fr-FR"/>
        </w:rPr>
      </w:pPr>
      <w:r>
        <w:rPr>
          <w:rFonts w:eastAsia="SimSun"/>
          <w:color w:val="000000"/>
          <w:lang w:val="fr-FR" w:eastAsia="zh-CN" w:bidi="ar"/>
        </w:rPr>
        <w:t xml:space="preserve">• Micro pipettes </w:t>
      </w:r>
    </w:p>
    <w:p w14:paraId="5060585A" w14:textId="77777777" w:rsidR="00B611D1" w:rsidRDefault="00FB7689">
      <w:pPr>
        <w:spacing w:line="360" w:lineRule="auto"/>
        <w:jc w:val="both"/>
        <w:rPr>
          <w:lang w:val="fr-FR"/>
        </w:rPr>
      </w:pPr>
      <w:r>
        <w:rPr>
          <w:rFonts w:eastAsia="SimSun"/>
          <w:color w:val="000000"/>
          <w:lang w:val="fr-FR" w:eastAsia="zh-CN" w:bidi="ar"/>
        </w:rPr>
        <w:t xml:space="preserve">• Pince </w:t>
      </w:r>
    </w:p>
    <w:p w14:paraId="1B2A4B3D" w14:textId="77777777" w:rsidR="00B611D1" w:rsidRDefault="00FB7689">
      <w:pPr>
        <w:spacing w:line="360" w:lineRule="auto"/>
        <w:jc w:val="both"/>
        <w:rPr>
          <w:lang w:val="fr-FR"/>
        </w:rPr>
      </w:pPr>
      <w:r>
        <w:rPr>
          <w:rFonts w:eastAsia="SimSun"/>
          <w:color w:val="000000"/>
          <w:lang w:val="fr-FR" w:eastAsia="zh-CN" w:bidi="ar"/>
        </w:rPr>
        <w:t xml:space="preserve">• Seringue </w:t>
      </w:r>
    </w:p>
    <w:p w14:paraId="40953522" w14:textId="77777777" w:rsidR="00B611D1" w:rsidRDefault="00FB7689">
      <w:pPr>
        <w:spacing w:line="360" w:lineRule="auto"/>
        <w:jc w:val="both"/>
        <w:rPr>
          <w:lang w:val="fr-FR"/>
        </w:rPr>
      </w:pPr>
      <w:r>
        <w:rPr>
          <w:rFonts w:eastAsia="SimSun"/>
          <w:color w:val="000000"/>
          <w:lang w:val="fr-FR" w:eastAsia="zh-CN" w:bidi="ar"/>
        </w:rPr>
        <w:t xml:space="preserve">• Bavette </w:t>
      </w:r>
    </w:p>
    <w:p w14:paraId="37242840" w14:textId="77777777" w:rsidR="00B611D1" w:rsidRDefault="00FB7689">
      <w:pPr>
        <w:spacing w:line="360" w:lineRule="auto"/>
        <w:jc w:val="both"/>
        <w:rPr>
          <w:lang w:val="fr-FR"/>
        </w:rPr>
      </w:pPr>
      <w:r>
        <w:rPr>
          <w:rFonts w:eastAsia="SimSun"/>
          <w:color w:val="000000"/>
          <w:lang w:val="fr-FR" w:eastAsia="zh-CN" w:bidi="ar"/>
        </w:rPr>
        <w:t xml:space="preserve">• Les gants </w:t>
      </w:r>
    </w:p>
    <w:p w14:paraId="0129035C" w14:textId="77777777" w:rsidR="00B611D1" w:rsidRDefault="00FB7689">
      <w:pPr>
        <w:spacing w:line="360" w:lineRule="auto"/>
        <w:jc w:val="both"/>
        <w:rPr>
          <w:lang w:val="fr-FR"/>
        </w:rPr>
      </w:pPr>
      <w:r>
        <w:rPr>
          <w:rFonts w:eastAsia="SimSun"/>
          <w:color w:val="000000"/>
          <w:lang w:val="fr-FR" w:eastAsia="zh-CN" w:bidi="ar"/>
        </w:rPr>
        <w:t xml:space="preserve">• L’écouvillon </w:t>
      </w:r>
    </w:p>
    <w:p w14:paraId="1D728750" w14:textId="77777777" w:rsidR="00B611D1" w:rsidRDefault="00FB7689">
      <w:pPr>
        <w:spacing w:line="360" w:lineRule="auto"/>
        <w:jc w:val="both"/>
        <w:rPr>
          <w:lang w:val="fr-FR"/>
        </w:rPr>
      </w:pPr>
      <w:r>
        <w:rPr>
          <w:rFonts w:eastAsia="SimSun"/>
          <w:color w:val="000000"/>
          <w:lang w:val="fr-FR" w:eastAsia="zh-CN" w:bidi="ar"/>
        </w:rPr>
        <w:t xml:space="preserve">• Tube sec </w:t>
      </w:r>
    </w:p>
    <w:p w14:paraId="4DBDC5F4" w14:textId="77777777" w:rsidR="00B611D1" w:rsidRDefault="00FB7689">
      <w:pPr>
        <w:spacing w:line="360" w:lineRule="auto"/>
        <w:jc w:val="both"/>
        <w:rPr>
          <w:lang w:val="fr-FR"/>
        </w:rPr>
      </w:pPr>
      <w:r>
        <w:rPr>
          <w:rFonts w:eastAsia="SimSun"/>
          <w:color w:val="000000"/>
          <w:lang w:val="fr-FR" w:eastAsia="zh-CN" w:bidi="ar"/>
        </w:rPr>
        <w:t xml:space="preserve">• Les Eppendorf </w:t>
      </w:r>
    </w:p>
    <w:p w14:paraId="04600855" w14:textId="77777777" w:rsidR="00B611D1" w:rsidRDefault="00FB7689">
      <w:pPr>
        <w:spacing w:line="360" w:lineRule="auto"/>
        <w:jc w:val="both"/>
        <w:rPr>
          <w:lang w:val="fr-FR"/>
        </w:rPr>
      </w:pPr>
      <w:r>
        <w:rPr>
          <w:rFonts w:eastAsia="SimSun"/>
          <w:color w:val="000000"/>
          <w:lang w:val="fr-FR" w:eastAsia="zh-CN" w:bidi="ar"/>
        </w:rPr>
        <w:t xml:space="preserve">• Cryotube 1.8ml </w:t>
      </w:r>
    </w:p>
    <w:p w14:paraId="732C6936" w14:textId="77777777" w:rsidR="00B611D1" w:rsidRDefault="00FB7689">
      <w:pPr>
        <w:spacing w:line="360" w:lineRule="auto"/>
        <w:jc w:val="both"/>
        <w:rPr>
          <w:lang w:val="fr-FR"/>
        </w:rPr>
      </w:pPr>
      <w:r>
        <w:rPr>
          <w:rFonts w:eastAsia="SimSun"/>
          <w:color w:val="000000"/>
          <w:lang w:val="fr-FR" w:eastAsia="zh-CN" w:bidi="ar"/>
        </w:rPr>
        <w:t xml:space="preserve">• L’eau distillé stérile </w:t>
      </w:r>
    </w:p>
    <w:p w14:paraId="09CD2FA3" w14:textId="77777777" w:rsidR="00B611D1" w:rsidRDefault="00FB7689">
      <w:pPr>
        <w:spacing w:line="360" w:lineRule="auto"/>
        <w:jc w:val="both"/>
        <w:rPr>
          <w:lang w:val="fr-FR"/>
        </w:rPr>
      </w:pPr>
      <w:r>
        <w:rPr>
          <w:rFonts w:eastAsia="SimSun"/>
          <w:color w:val="000000"/>
          <w:lang w:val="fr-FR" w:eastAsia="zh-CN" w:bidi="ar"/>
        </w:rPr>
        <w:t xml:space="preserve">• Les disques oxydase </w:t>
      </w:r>
    </w:p>
    <w:p w14:paraId="1FA92CCD" w14:textId="77777777" w:rsidR="00B611D1" w:rsidRDefault="00FB7689">
      <w:pPr>
        <w:spacing w:line="360" w:lineRule="auto"/>
        <w:jc w:val="both"/>
        <w:rPr>
          <w:lang w:val="fr-FR"/>
        </w:rPr>
      </w:pPr>
      <w:r>
        <w:rPr>
          <w:rFonts w:eastAsia="SimSun"/>
          <w:color w:val="000000"/>
          <w:lang w:val="fr-FR" w:eastAsia="zh-CN" w:bidi="ar"/>
        </w:rPr>
        <w:t xml:space="preserve">• Les disques antibiotiques </w:t>
      </w:r>
    </w:p>
    <w:p w14:paraId="38286ADF" w14:textId="77777777" w:rsidR="00B611D1" w:rsidRDefault="00FB7689">
      <w:pPr>
        <w:spacing w:line="360" w:lineRule="auto"/>
        <w:jc w:val="both"/>
        <w:rPr>
          <w:lang w:val="fr-FR"/>
        </w:rPr>
      </w:pPr>
      <w:r>
        <w:rPr>
          <w:rFonts w:eastAsia="SimSun"/>
          <w:color w:val="000000"/>
          <w:lang w:val="fr-FR" w:eastAsia="zh-CN" w:bidi="ar"/>
        </w:rPr>
        <w:t xml:space="preserve">• Plasma humain </w:t>
      </w:r>
    </w:p>
    <w:p w14:paraId="0198C1E9" w14:textId="77777777" w:rsidR="00B611D1" w:rsidRDefault="00FB7689">
      <w:pPr>
        <w:spacing w:line="360" w:lineRule="auto"/>
        <w:jc w:val="both"/>
        <w:rPr>
          <w:lang w:val="fr-FR"/>
        </w:rPr>
      </w:pPr>
      <w:r>
        <w:rPr>
          <w:rFonts w:eastAsia="SimSun"/>
          <w:color w:val="000000"/>
          <w:lang w:val="fr-FR" w:eastAsia="zh-CN" w:bidi="ar"/>
        </w:rPr>
        <w:t xml:space="preserve">• Léau oxygénée </w:t>
      </w:r>
    </w:p>
    <w:p w14:paraId="5C53B367" w14:textId="77777777" w:rsidR="00B611D1" w:rsidRDefault="00FB7689">
      <w:pPr>
        <w:spacing w:line="360" w:lineRule="auto"/>
        <w:jc w:val="both"/>
        <w:rPr>
          <w:lang w:val="fr-FR"/>
        </w:rPr>
      </w:pPr>
      <w:r>
        <w:rPr>
          <w:rFonts w:eastAsia="SimSun"/>
          <w:color w:val="000000"/>
          <w:lang w:val="fr-FR" w:eastAsia="zh-CN" w:bidi="ar"/>
        </w:rPr>
        <w:t xml:space="preserve">• Désinfectant </w:t>
      </w:r>
    </w:p>
    <w:p w14:paraId="12165342" w14:textId="77777777" w:rsidR="00B611D1" w:rsidRDefault="00FB7689">
      <w:pPr>
        <w:spacing w:line="360" w:lineRule="auto"/>
        <w:jc w:val="both"/>
        <w:rPr>
          <w:lang w:val="fr-FR"/>
        </w:rPr>
      </w:pPr>
      <w:r>
        <w:rPr>
          <w:rFonts w:eastAsia="SimSun"/>
          <w:color w:val="000000"/>
          <w:lang w:val="fr-FR" w:eastAsia="zh-CN" w:bidi="ar"/>
        </w:rPr>
        <w:t xml:space="preserve">• Les galeries API20E (BioMerieux, France). </w:t>
      </w:r>
    </w:p>
    <w:p w14:paraId="7D84CBF0" w14:textId="77777777" w:rsidR="00B611D1" w:rsidRDefault="00FB7689">
      <w:pPr>
        <w:spacing w:line="360" w:lineRule="auto"/>
        <w:jc w:val="both"/>
        <w:rPr>
          <w:rFonts w:eastAsia="SimSun"/>
          <w:color w:val="000000"/>
          <w:lang w:val="fr-FR" w:eastAsia="zh-CN" w:bidi="ar"/>
        </w:rPr>
      </w:pPr>
      <w:r>
        <w:rPr>
          <w:rFonts w:eastAsia="SimSun"/>
          <w:color w:val="000000"/>
          <w:lang w:val="fr-FR" w:eastAsia="zh-CN" w:bidi="ar"/>
        </w:rPr>
        <w:t>• Les galeries API 20 STAPH (BioMerieux, France).</w:t>
      </w:r>
    </w:p>
    <w:p w14:paraId="6A90A288" w14:textId="77777777" w:rsidR="00B611D1" w:rsidRDefault="00B611D1">
      <w:pPr>
        <w:spacing w:line="360" w:lineRule="auto"/>
        <w:jc w:val="both"/>
        <w:rPr>
          <w:rFonts w:eastAsia="SimSun"/>
          <w:color w:val="000000"/>
          <w:lang w:val="fr-FR" w:eastAsia="zh-CN" w:bidi="ar"/>
        </w:rPr>
      </w:pPr>
    </w:p>
    <w:p w14:paraId="49B82E6C" w14:textId="77777777" w:rsidR="00B611D1" w:rsidRDefault="00FB7689">
      <w:pPr>
        <w:spacing w:line="360" w:lineRule="auto"/>
        <w:jc w:val="both"/>
        <w:rPr>
          <w:rFonts w:eastAsia="SimSun"/>
          <w:color w:val="000000"/>
          <w:lang w:val="fr-FR" w:eastAsia="zh-CN" w:bidi="ar"/>
        </w:rPr>
      </w:pPr>
      <w:r>
        <w:rPr>
          <w:rFonts w:eastAsia="TimesNewRomanPS-BoldMT"/>
          <w:b/>
          <w:bCs/>
          <w:color w:val="000000"/>
          <w:sz w:val="28"/>
          <w:szCs w:val="28"/>
          <w:lang w:val="fr-FR" w:eastAsia="zh-CN" w:bidi="ar"/>
        </w:rPr>
        <w:t xml:space="preserve">Annexe 2 </w:t>
      </w:r>
      <w:r>
        <w:rPr>
          <w:rFonts w:eastAsia="SimSun"/>
          <w:color w:val="000000"/>
          <w:lang w:val="fr-FR" w:eastAsia="zh-CN" w:bidi="ar"/>
        </w:rPr>
        <w:t xml:space="preserve">: </w:t>
      </w:r>
      <w:r>
        <w:rPr>
          <w:rFonts w:asciiTheme="majorBidi" w:hAnsiTheme="majorBidi" w:cstheme="majorBidi"/>
          <w:b/>
          <w:bCs/>
          <w:lang w:val="fr-FR"/>
        </w:rPr>
        <w:t>Caractères culturaux sur gélose au sang</w:t>
      </w:r>
    </w:p>
    <w:tbl>
      <w:tblPr>
        <w:tblStyle w:val="Grilledutableau"/>
        <w:tblW w:w="0" w:type="auto"/>
        <w:tblLook w:val="04A0" w:firstRow="1" w:lastRow="0" w:firstColumn="1" w:lastColumn="0" w:noHBand="0" w:noVBand="1"/>
      </w:tblPr>
      <w:tblGrid>
        <w:gridCol w:w="4675"/>
        <w:gridCol w:w="4675"/>
      </w:tblGrid>
      <w:tr w:rsidR="00B611D1" w:rsidRPr="00855AAA" w14:paraId="627521F5" w14:textId="77777777">
        <w:tc>
          <w:tcPr>
            <w:tcW w:w="4675" w:type="dxa"/>
          </w:tcPr>
          <w:p w14:paraId="39D9B81B" w14:textId="77777777" w:rsidR="00B611D1" w:rsidRDefault="00FB7689">
            <w:pPr>
              <w:spacing w:after="200" w:line="276" w:lineRule="auto"/>
              <w:rPr>
                <w:rFonts w:asciiTheme="majorBidi" w:hAnsiTheme="majorBidi" w:cstheme="majorBidi" w:hint="default"/>
                <w:b/>
                <w:bCs/>
              </w:rPr>
            </w:pPr>
            <w:r>
              <w:rPr>
                <w:rFonts w:asciiTheme="majorBidi" w:hAnsiTheme="majorBidi" w:cstheme="majorBidi" w:hint="default"/>
                <w:b/>
                <w:bCs/>
                <w:lang w:val="fr-FR"/>
              </w:rPr>
              <w:t>Espèces</w:t>
            </w:r>
          </w:p>
        </w:tc>
        <w:tc>
          <w:tcPr>
            <w:tcW w:w="4675" w:type="dxa"/>
          </w:tcPr>
          <w:p w14:paraId="7078B999" w14:textId="77777777" w:rsidR="00B611D1" w:rsidRDefault="00FB7689">
            <w:pPr>
              <w:spacing w:after="200" w:line="276" w:lineRule="auto"/>
              <w:rPr>
                <w:rFonts w:asciiTheme="majorBidi" w:hAnsiTheme="majorBidi" w:cstheme="majorBidi" w:hint="default"/>
                <w:b/>
                <w:bCs/>
                <w:lang w:val="fr-FR"/>
              </w:rPr>
            </w:pPr>
            <w:r>
              <w:rPr>
                <w:rFonts w:asciiTheme="majorBidi" w:hAnsiTheme="majorBidi" w:cstheme="majorBidi" w:hint="default"/>
                <w:b/>
                <w:bCs/>
                <w:lang w:val="fr-FR"/>
              </w:rPr>
              <w:t xml:space="preserve">Aspect sur gélose au sang </w:t>
            </w:r>
          </w:p>
        </w:tc>
      </w:tr>
      <w:tr w:rsidR="00B611D1" w14:paraId="39077F4C" w14:textId="77777777">
        <w:tc>
          <w:tcPr>
            <w:tcW w:w="4675" w:type="dxa"/>
          </w:tcPr>
          <w:p w14:paraId="42A4AC1D" w14:textId="77777777" w:rsidR="00B611D1" w:rsidRDefault="00FB7689">
            <w:pPr>
              <w:pStyle w:val="Corpsdetexte"/>
              <w:spacing w:before="5" w:after="200" w:line="276" w:lineRule="auto"/>
              <w:rPr>
                <w:rFonts w:hint="default"/>
                <w:b/>
                <w:bCs/>
                <w:i/>
                <w:iCs/>
              </w:rPr>
            </w:pPr>
            <w:r>
              <w:rPr>
                <w:rFonts w:hint="default"/>
                <w:b/>
                <w:bCs/>
                <w:i/>
                <w:iCs/>
              </w:rPr>
              <w:t>Serratia marcescens</w:t>
            </w:r>
          </w:p>
        </w:tc>
        <w:tc>
          <w:tcPr>
            <w:tcW w:w="4675" w:type="dxa"/>
          </w:tcPr>
          <w:p w14:paraId="426BB4E5" w14:textId="77777777" w:rsidR="00B611D1" w:rsidRDefault="00FB7689">
            <w:pPr>
              <w:spacing w:after="200" w:line="276" w:lineRule="auto"/>
              <w:rPr>
                <w:rFonts w:hint="default"/>
              </w:rPr>
            </w:pPr>
            <w:r>
              <w:rPr>
                <w:b/>
                <w:bCs/>
                <w:noProof/>
              </w:rPr>
              <w:drawing>
                <wp:inline distT="0" distB="0" distL="114300" distR="114300" wp14:anchorId="0102A5D4" wp14:editId="5DA0782D">
                  <wp:extent cx="1438910" cy="1331595"/>
                  <wp:effectExtent l="0" t="0" r="0" b="1905"/>
                  <wp:docPr id="810439119" name="Image 3" descr="photo_2025-03-24_19-0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439119" name="Image 3" descr="photo_2025-03-24_19-09-01"/>
                          <pic:cNvPicPr>
                            <a:picLocks noChangeAspect="1"/>
                          </pic:cNvPicPr>
                        </pic:nvPicPr>
                        <pic:blipFill>
                          <a:blip r:embed="rId190"/>
                          <a:srcRect l="18385" t="8171" r="7200"/>
                          <a:stretch>
                            <a:fillRect/>
                          </a:stretch>
                        </pic:blipFill>
                        <pic:spPr>
                          <a:xfrm>
                            <a:off x="0" y="0"/>
                            <a:ext cx="1439333" cy="1332408"/>
                          </a:xfrm>
                          <a:prstGeom prst="rect">
                            <a:avLst/>
                          </a:prstGeom>
                          <a:ln>
                            <a:noFill/>
                          </a:ln>
                        </pic:spPr>
                      </pic:pic>
                    </a:graphicData>
                  </a:graphic>
                </wp:inline>
              </w:drawing>
            </w:r>
          </w:p>
        </w:tc>
      </w:tr>
      <w:tr w:rsidR="00B611D1" w14:paraId="6A0F7C40" w14:textId="77777777">
        <w:tc>
          <w:tcPr>
            <w:tcW w:w="4675" w:type="dxa"/>
          </w:tcPr>
          <w:p w14:paraId="6FAB52BC" w14:textId="77777777" w:rsidR="00B611D1" w:rsidRDefault="00FB7689">
            <w:pPr>
              <w:spacing w:after="200" w:line="276" w:lineRule="auto"/>
              <w:rPr>
                <w:rFonts w:hint="default"/>
              </w:rPr>
            </w:pPr>
            <w:r>
              <w:rPr>
                <w:rFonts w:asciiTheme="majorBidi" w:eastAsiaTheme="minorEastAsia" w:hAnsiTheme="majorBidi" w:cstheme="majorBidi" w:hint="default"/>
                <w:b/>
                <w:bCs/>
                <w:i/>
                <w:iCs/>
                <w:lang w:val="fr-FR"/>
              </w:rPr>
              <w:t>Klebsiella pneumoniae</w:t>
            </w:r>
          </w:p>
        </w:tc>
        <w:tc>
          <w:tcPr>
            <w:tcW w:w="4675" w:type="dxa"/>
          </w:tcPr>
          <w:p w14:paraId="1A91E51E" w14:textId="77777777" w:rsidR="00B611D1" w:rsidRDefault="00FB7689">
            <w:pPr>
              <w:spacing w:after="200" w:line="276" w:lineRule="auto"/>
              <w:rPr>
                <w:rFonts w:hint="default"/>
              </w:rPr>
            </w:pPr>
            <w:r>
              <w:rPr>
                <w:b/>
                <w:bCs/>
                <w:noProof/>
              </w:rPr>
              <w:drawing>
                <wp:inline distT="0" distB="0" distL="114300" distR="114300" wp14:anchorId="702F3F19" wp14:editId="5F9484D6">
                  <wp:extent cx="1438910" cy="1438910"/>
                  <wp:effectExtent l="0" t="0" r="0" b="0"/>
                  <wp:docPr id="1358126511" name="Image 40" descr="photo_2025-05-14_11-3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126511" name="Image 40" descr="photo_2025-05-14_11-34-42"/>
                          <pic:cNvPicPr>
                            <a:picLocks noChangeAspect="1"/>
                          </pic:cNvPicPr>
                        </pic:nvPicPr>
                        <pic:blipFill>
                          <a:blip r:embed="rId191"/>
                          <a:stretch>
                            <a:fillRect/>
                          </a:stretch>
                        </pic:blipFill>
                        <pic:spPr>
                          <a:xfrm>
                            <a:off x="0" y="0"/>
                            <a:ext cx="1442329" cy="1442329"/>
                          </a:xfrm>
                          <a:prstGeom prst="rect">
                            <a:avLst/>
                          </a:prstGeom>
                        </pic:spPr>
                      </pic:pic>
                    </a:graphicData>
                  </a:graphic>
                </wp:inline>
              </w:drawing>
            </w:r>
          </w:p>
        </w:tc>
      </w:tr>
      <w:tr w:rsidR="00B611D1" w14:paraId="1D352FDF" w14:textId="77777777">
        <w:tc>
          <w:tcPr>
            <w:tcW w:w="4675" w:type="dxa"/>
          </w:tcPr>
          <w:p w14:paraId="6F1E809C" w14:textId="77777777" w:rsidR="00B611D1" w:rsidRDefault="00FB7689">
            <w:pPr>
              <w:spacing w:after="200" w:line="276" w:lineRule="auto"/>
              <w:rPr>
                <w:rFonts w:hint="default"/>
              </w:rPr>
            </w:pPr>
            <w:r>
              <w:rPr>
                <w:rFonts w:asciiTheme="majorBidi" w:eastAsiaTheme="minorEastAsia" w:hAnsiTheme="majorBidi" w:cstheme="majorBidi" w:hint="default"/>
                <w:b/>
                <w:bCs/>
                <w:i/>
                <w:iCs/>
                <w:lang w:val="fr-FR"/>
              </w:rPr>
              <w:t>Staphylococcus aureus</w:t>
            </w:r>
          </w:p>
        </w:tc>
        <w:tc>
          <w:tcPr>
            <w:tcW w:w="4675" w:type="dxa"/>
          </w:tcPr>
          <w:p w14:paraId="0038C6F4" w14:textId="77777777" w:rsidR="00B611D1" w:rsidRDefault="00FB7689">
            <w:pPr>
              <w:spacing w:after="200" w:line="276" w:lineRule="auto"/>
              <w:rPr>
                <w:rFonts w:hint="default"/>
              </w:rPr>
            </w:pPr>
            <w:r>
              <w:rPr>
                <w:b/>
                <w:bCs/>
                <w:noProof/>
              </w:rPr>
              <w:drawing>
                <wp:inline distT="0" distB="0" distL="114300" distR="114300" wp14:anchorId="5FB8EF2A" wp14:editId="54BC0DE6">
                  <wp:extent cx="1557655" cy="1371600"/>
                  <wp:effectExtent l="0" t="0" r="4445" b="0"/>
                  <wp:docPr id="1642606955" name="Image 31" descr="photo_2025-03-04_20-1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606955" name="Image 31" descr="photo_2025-03-04_20-18-25"/>
                          <pic:cNvPicPr>
                            <a:picLocks noChangeAspect="1"/>
                          </pic:cNvPicPr>
                        </pic:nvPicPr>
                        <pic:blipFill>
                          <a:blip r:embed="rId192"/>
                          <a:srcRect l="8734" t="19656" r="10907" b="27273"/>
                          <a:stretch>
                            <a:fillRect/>
                          </a:stretch>
                        </pic:blipFill>
                        <pic:spPr>
                          <a:xfrm>
                            <a:off x="0" y="0"/>
                            <a:ext cx="1557867" cy="1371600"/>
                          </a:xfrm>
                          <a:prstGeom prst="rect">
                            <a:avLst/>
                          </a:prstGeom>
                          <a:ln>
                            <a:noFill/>
                          </a:ln>
                        </pic:spPr>
                      </pic:pic>
                    </a:graphicData>
                  </a:graphic>
                </wp:inline>
              </w:drawing>
            </w:r>
          </w:p>
        </w:tc>
      </w:tr>
      <w:tr w:rsidR="00B611D1" w14:paraId="4D4F2746" w14:textId="77777777">
        <w:tc>
          <w:tcPr>
            <w:tcW w:w="4675" w:type="dxa"/>
          </w:tcPr>
          <w:p w14:paraId="1C7A3E74" w14:textId="77777777" w:rsidR="00B611D1" w:rsidRDefault="00FB7689">
            <w:pPr>
              <w:spacing w:after="200" w:line="276" w:lineRule="auto"/>
              <w:rPr>
                <w:rFonts w:hint="default"/>
              </w:rPr>
            </w:pPr>
            <w:r>
              <w:rPr>
                <w:rFonts w:asciiTheme="majorBidi" w:eastAsiaTheme="minorEastAsia" w:hAnsiTheme="majorBidi" w:cstheme="majorBidi" w:hint="default"/>
                <w:b/>
                <w:bCs/>
                <w:i/>
                <w:iCs/>
                <w:lang w:val="fr-FR"/>
              </w:rPr>
              <w:t>Staphylococcus hominis</w:t>
            </w:r>
          </w:p>
        </w:tc>
        <w:tc>
          <w:tcPr>
            <w:tcW w:w="4675" w:type="dxa"/>
          </w:tcPr>
          <w:p w14:paraId="18BAB219" w14:textId="77777777" w:rsidR="00B611D1" w:rsidRDefault="00FB7689">
            <w:pPr>
              <w:spacing w:after="200" w:line="276" w:lineRule="auto"/>
              <w:rPr>
                <w:rFonts w:hint="default"/>
              </w:rPr>
            </w:pPr>
            <w:r>
              <w:rPr>
                <w:rFonts w:eastAsia="Calibri"/>
                <w:i/>
                <w:iCs/>
                <w:noProof/>
                <w:lang w:bidi="ar"/>
              </w:rPr>
              <w:drawing>
                <wp:inline distT="0" distB="0" distL="114300" distR="114300" wp14:anchorId="4D6E231F" wp14:editId="15462BB0">
                  <wp:extent cx="1490980" cy="1286510"/>
                  <wp:effectExtent l="0" t="0" r="0" b="0"/>
                  <wp:docPr id="1920456710" name="Image 39" descr="photo_2025-03-02_17-03-07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456710" name="Image 39" descr="photo_2025-03-02_17-03-07 (2)"/>
                          <pic:cNvPicPr>
                            <a:picLocks noChangeAspect="1"/>
                          </pic:cNvPicPr>
                        </pic:nvPicPr>
                        <pic:blipFill>
                          <a:blip r:embed="rId193"/>
                          <a:srcRect b="13698"/>
                          <a:stretch>
                            <a:fillRect/>
                          </a:stretch>
                        </pic:blipFill>
                        <pic:spPr>
                          <a:xfrm>
                            <a:off x="0" y="0"/>
                            <a:ext cx="1494717" cy="1289981"/>
                          </a:xfrm>
                          <a:prstGeom prst="rect">
                            <a:avLst/>
                          </a:prstGeom>
                          <a:ln>
                            <a:noFill/>
                          </a:ln>
                        </pic:spPr>
                      </pic:pic>
                    </a:graphicData>
                  </a:graphic>
                </wp:inline>
              </w:drawing>
            </w:r>
          </w:p>
        </w:tc>
      </w:tr>
      <w:tr w:rsidR="00B611D1" w14:paraId="3C864F64" w14:textId="77777777">
        <w:tc>
          <w:tcPr>
            <w:tcW w:w="4675" w:type="dxa"/>
          </w:tcPr>
          <w:p w14:paraId="70A27920" w14:textId="77777777" w:rsidR="00B611D1" w:rsidRDefault="00FB7689">
            <w:pPr>
              <w:spacing w:after="200" w:line="276" w:lineRule="auto"/>
              <w:rPr>
                <w:rFonts w:asciiTheme="majorBidi" w:eastAsiaTheme="minorEastAsia" w:hAnsiTheme="majorBidi" w:cstheme="majorBidi" w:hint="default"/>
                <w:b/>
                <w:bCs/>
                <w:i/>
                <w:iCs/>
                <w:lang w:val="fr-FR"/>
              </w:rPr>
            </w:pPr>
            <w:r>
              <w:rPr>
                <w:rFonts w:asciiTheme="majorBidi" w:hAnsiTheme="majorBidi" w:cstheme="majorBidi"/>
                <w:b/>
                <w:bCs/>
                <w:i/>
                <w:iCs/>
              </w:rPr>
              <w:t xml:space="preserve">Acinetobacter </w:t>
            </w:r>
            <w:r>
              <w:rPr>
                <w:rFonts w:asciiTheme="majorBidi" w:hAnsiTheme="majorBidi" w:cstheme="majorBidi"/>
                <w:b/>
                <w:bCs/>
                <w:i/>
                <w:iCs/>
                <w:lang w:val="fr-FR"/>
              </w:rPr>
              <w:t>baumanii</w:t>
            </w:r>
          </w:p>
        </w:tc>
        <w:tc>
          <w:tcPr>
            <w:tcW w:w="4675" w:type="dxa"/>
          </w:tcPr>
          <w:p w14:paraId="240DB285" w14:textId="77777777" w:rsidR="00B611D1" w:rsidRDefault="00FB7689">
            <w:pPr>
              <w:spacing w:after="200" w:line="276" w:lineRule="auto"/>
              <w:rPr>
                <w:rFonts w:eastAsia="Calibri" w:hint="default"/>
                <w:i/>
                <w:iCs/>
                <w:lang w:bidi="ar"/>
              </w:rPr>
            </w:pPr>
            <w:r>
              <w:rPr>
                <w:noProof/>
              </w:rPr>
              <w:drawing>
                <wp:inline distT="0" distB="0" distL="114300" distR="114300" wp14:anchorId="4006C718" wp14:editId="5F10BA7C">
                  <wp:extent cx="1577340" cy="1687830"/>
                  <wp:effectExtent l="0" t="0" r="10160" b="1270"/>
                  <wp:docPr id="2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4"/>
                          <pic:cNvPicPr>
                            <a:picLocks noChangeAspect="1"/>
                          </pic:cNvPicPr>
                        </pic:nvPicPr>
                        <pic:blipFill>
                          <a:blip r:embed="rId194"/>
                          <a:stretch>
                            <a:fillRect/>
                          </a:stretch>
                        </pic:blipFill>
                        <pic:spPr>
                          <a:xfrm>
                            <a:off x="0" y="0"/>
                            <a:ext cx="1577340" cy="1687830"/>
                          </a:xfrm>
                          <a:prstGeom prst="rect">
                            <a:avLst/>
                          </a:prstGeom>
                          <a:noFill/>
                          <a:ln>
                            <a:noFill/>
                          </a:ln>
                        </pic:spPr>
                      </pic:pic>
                    </a:graphicData>
                  </a:graphic>
                </wp:inline>
              </w:drawing>
            </w:r>
          </w:p>
        </w:tc>
      </w:tr>
    </w:tbl>
    <w:p w14:paraId="07A07637" w14:textId="77777777" w:rsidR="00B611D1" w:rsidRDefault="00B611D1">
      <w:pPr>
        <w:rPr>
          <w:rFonts w:eastAsia="TimesNewRomanPS-BoldMT"/>
          <w:b/>
          <w:bCs/>
          <w:color w:val="000000"/>
          <w:sz w:val="28"/>
          <w:szCs w:val="28"/>
          <w:lang w:val="fr-FR" w:eastAsia="zh-CN" w:bidi="ar"/>
        </w:rPr>
      </w:pPr>
    </w:p>
    <w:p w14:paraId="31E3C903" w14:textId="77777777" w:rsidR="00B611D1" w:rsidRDefault="00B611D1">
      <w:pPr>
        <w:rPr>
          <w:rFonts w:eastAsia="TimesNewRomanPS-BoldMT"/>
          <w:b/>
          <w:bCs/>
          <w:color w:val="000000"/>
          <w:sz w:val="28"/>
          <w:szCs w:val="28"/>
          <w:lang w:val="fr-FR" w:eastAsia="zh-CN" w:bidi="ar"/>
        </w:rPr>
      </w:pPr>
    </w:p>
    <w:p w14:paraId="0AA3584D" w14:textId="77777777" w:rsidR="00B611D1" w:rsidRDefault="00FB7689">
      <w:pPr>
        <w:rPr>
          <w:lang w:val="fr-FR"/>
        </w:rPr>
      </w:pPr>
      <w:r>
        <w:rPr>
          <w:rFonts w:eastAsia="TimesNewRomanPS-BoldMT"/>
          <w:b/>
          <w:bCs/>
          <w:color w:val="000000"/>
          <w:sz w:val="28"/>
          <w:szCs w:val="28"/>
          <w:lang w:val="fr-FR" w:eastAsia="zh-CN" w:bidi="ar"/>
        </w:rPr>
        <w:t>Annexe 3</w:t>
      </w:r>
      <w:r>
        <w:rPr>
          <w:rFonts w:eastAsia="SimSun"/>
          <w:color w:val="000000"/>
          <w:lang w:val="fr-FR" w:eastAsia="zh-CN" w:bidi="ar"/>
        </w:rPr>
        <w:t>:</w:t>
      </w:r>
      <w:r>
        <w:rPr>
          <w:rFonts w:eastAsia="SimSun"/>
          <w:b/>
          <w:bCs/>
          <w:color w:val="000000"/>
          <w:lang w:val="fr-FR" w:eastAsia="zh-CN" w:bidi="ar"/>
        </w:rPr>
        <w:t xml:space="preserve"> </w:t>
      </w:r>
      <w:r>
        <w:rPr>
          <w:b/>
          <w:bCs/>
          <w:lang w:val="fr-FR"/>
        </w:rPr>
        <w:t>Distribution des germes isolés par site de prélèvement</w:t>
      </w:r>
    </w:p>
    <w:p w14:paraId="377F3E24" w14:textId="77777777" w:rsidR="00B611D1" w:rsidRDefault="00B611D1">
      <w:pPr>
        <w:rPr>
          <w:rFonts w:eastAsia="TimesNewRomanPS-BoldMT"/>
          <w:b/>
          <w:bCs/>
          <w:color w:val="000000"/>
          <w:sz w:val="28"/>
          <w:szCs w:val="28"/>
          <w:lang w:val="fr-FR" w:eastAsia="zh-CN" w:bidi="ar"/>
        </w:rPr>
      </w:pPr>
    </w:p>
    <w:tbl>
      <w:tblPr>
        <w:tblStyle w:val="GridTable1Light1"/>
        <w:tblW w:w="9535" w:type="dxa"/>
        <w:tblLook w:val="04A0" w:firstRow="1" w:lastRow="0" w:firstColumn="1" w:lastColumn="0" w:noHBand="0" w:noVBand="1"/>
      </w:tblPr>
      <w:tblGrid>
        <w:gridCol w:w="2695"/>
        <w:gridCol w:w="6840"/>
      </w:tblGrid>
      <w:tr w:rsidR="00B611D1" w:rsidRPr="00855AAA" w14:paraId="3DC8765E" w14:textId="77777777" w:rsidTr="00B611D1">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95" w:type="dxa"/>
          </w:tcPr>
          <w:p w14:paraId="277FBF73" w14:textId="77777777" w:rsidR="00B611D1" w:rsidRDefault="00FB7689">
            <w:pPr>
              <w:spacing w:after="200" w:line="276" w:lineRule="auto"/>
              <w:rPr>
                <w:rFonts w:asciiTheme="majorBidi" w:hAnsiTheme="majorBidi" w:cstheme="majorBidi"/>
                <w:b w:val="0"/>
                <w:bCs w:val="0"/>
                <w:kern w:val="2"/>
                <w:sz w:val="28"/>
                <w:szCs w:val="28"/>
              </w:rPr>
            </w:pPr>
            <w:r>
              <w:rPr>
                <w:rFonts w:asciiTheme="majorBidi" w:hAnsiTheme="majorBidi" w:cstheme="majorBidi" w:hint="eastAsia"/>
                <w:kern w:val="2"/>
                <w:sz w:val="28"/>
                <w:szCs w:val="28"/>
              </w:rPr>
              <w:t xml:space="preserve">Germe </w:t>
            </w:r>
            <w:r>
              <w:rPr>
                <w:rFonts w:asciiTheme="majorBidi" w:hAnsiTheme="majorBidi" w:cstheme="majorBidi" w:hint="eastAsia"/>
                <w:kern w:val="2"/>
                <w:sz w:val="28"/>
                <w:szCs w:val="28"/>
                <w:lang w:val="fr-FR"/>
              </w:rPr>
              <w:t>i</w:t>
            </w:r>
            <w:r>
              <w:rPr>
                <w:rFonts w:asciiTheme="majorBidi" w:hAnsiTheme="majorBidi" w:cstheme="majorBidi" w:hint="eastAsia"/>
                <w:kern w:val="2"/>
                <w:sz w:val="28"/>
                <w:szCs w:val="28"/>
              </w:rPr>
              <w:t>solé</w:t>
            </w:r>
          </w:p>
        </w:tc>
        <w:tc>
          <w:tcPr>
            <w:tcW w:w="6840" w:type="dxa"/>
          </w:tcPr>
          <w:p w14:paraId="6AE0667B" w14:textId="77777777" w:rsidR="00B611D1" w:rsidRDefault="00FB7689">
            <w:pPr>
              <w:spacing w:after="200" w:line="276"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kern w:val="2"/>
                <w:sz w:val="28"/>
                <w:szCs w:val="28"/>
                <w:lang w:val="fr-FR"/>
              </w:rPr>
            </w:pPr>
            <w:r>
              <w:rPr>
                <w:rFonts w:asciiTheme="majorBidi" w:hAnsiTheme="majorBidi" w:cstheme="majorBidi" w:hint="eastAsia"/>
                <w:kern w:val="2"/>
                <w:sz w:val="28"/>
                <w:szCs w:val="28"/>
                <w:lang w:val="fr-FR"/>
              </w:rPr>
              <w:t>Site de Prélèvement dans le Service d'Urgence</w:t>
            </w:r>
          </w:p>
        </w:tc>
      </w:tr>
      <w:tr w:rsidR="00B611D1" w14:paraId="20D2C265" w14:textId="77777777" w:rsidTr="00B611D1">
        <w:trPr>
          <w:trHeight w:val="315"/>
        </w:trPr>
        <w:tc>
          <w:tcPr>
            <w:cnfStyle w:val="001000000000" w:firstRow="0" w:lastRow="0" w:firstColumn="1" w:lastColumn="0" w:oddVBand="0" w:evenVBand="0" w:oddHBand="0" w:evenHBand="0" w:firstRowFirstColumn="0" w:firstRowLastColumn="0" w:lastRowFirstColumn="0" w:lastRowLastColumn="0"/>
            <w:tcW w:w="2695" w:type="dxa"/>
          </w:tcPr>
          <w:p w14:paraId="4E71CD63" w14:textId="77777777" w:rsidR="00B611D1" w:rsidRDefault="00FB7689">
            <w:pPr>
              <w:spacing w:after="200" w:line="276" w:lineRule="auto"/>
              <w:rPr>
                <w:rFonts w:asciiTheme="majorBidi" w:hAnsiTheme="majorBidi" w:cstheme="majorBidi"/>
                <w:b w:val="0"/>
                <w:bCs w:val="0"/>
                <w:i/>
                <w:iCs/>
                <w:kern w:val="2"/>
              </w:rPr>
            </w:pPr>
            <w:r>
              <w:rPr>
                <w:rFonts w:asciiTheme="majorBidi" w:hAnsiTheme="majorBidi" w:cstheme="majorBidi" w:hint="eastAsia"/>
                <w:i/>
                <w:iCs/>
                <w:kern w:val="2"/>
              </w:rPr>
              <w:t>Klebsiella pneumoniae</w:t>
            </w:r>
          </w:p>
        </w:tc>
        <w:tc>
          <w:tcPr>
            <w:tcW w:w="6840" w:type="dxa"/>
            <w:vMerge w:val="restart"/>
            <w:vAlign w:val="center"/>
          </w:tcPr>
          <w:p w14:paraId="7EE1359D" w14:textId="77777777" w:rsidR="00B611D1" w:rsidRDefault="00FB7689">
            <w:pPr>
              <w:spacing w:after="200"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rPr>
            </w:pPr>
            <w:r>
              <w:rPr>
                <w:rFonts w:asciiTheme="majorBidi" w:hAnsiTheme="majorBidi" w:cstheme="majorBidi" w:hint="eastAsia"/>
                <w:kern w:val="2"/>
              </w:rPr>
              <w:t>Équipement ECG</w:t>
            </w:r>
          </w:p>
        </w:tc>
      </w:tr>
      <w:tr w:rsidR="00B611D1" w14:paraId="7A07C6DD" w14:textId="77777777" w:rsidTr="00B611D1">
        <w:trPr>
          <w:trHeight w:val="315"/>
        </w:trPr>
        <w:tc>
          <w:tcPr>
            <w:cnfStyle w:val="001000000000" w:firstRow="0" w:lastRow="0" w:firstColumn="1" w:lastColumn="0" w:oddVBand="0" w:evenVBand="0" w:oddHBand="0" w:evenHBand="0" w:firstRowFirstColumn="0" w:firstRowLastColumn="0" w:lastRowFirstColumn="0" w:lastRowLastColumn="0"/>
            <w:tcW w:w="2695" w:type="dxa"/>
          </w:tcPr>
          <w:p w14:paraId="507867FE" w14:textId="77777777" w:rsidR="00B611D1" w:rsidRDefault="00FB7689">
            <w:pPr>
              <w:spacing w:after="200" w:line="276" w:lineRule="auto"/>
              <w:rPr>
                <w:rFonts w:asciiTheme="majorBidi" w:hAnsiTheme="majorBidi" w:cstheme="majorBidi"/>
                <w:b w:val="0"/>
                <w:bCs w:val="0"/>
                <w:i/>
                <w:iCs/>
                <w:kern w:val="2"/>
                <w:lang w:val="fr-FR"/>
              </w:rPr>
            </w:pPr>
            <w:r>
              <w:rPr>
                <w:rFonts w:asciiTheme="majorBidi" w:hAnsiTheme="majorBidi" w:cstheme="majorBidi" w:hint="eastAsia"/>
                <w:i/>
                <w:iCs/>
                <w:kern w:val="2"/>
              </w:rPr>
              <w:t xml:space="preserve">Acinetobacter </w:t>
            </w:r>
            <w:r>
              <w:rPr>
                <w:rFonts w:asciiTheme="majorBidi" w:hAnsiTheme="majorBidi" w:cstheme="majorBidi" w:hint="eastAsia"/>
                <w:i/>
                <w:iCs/>
                <w:kern w:val="2"/>
                <w:lang w:val="fr-FR"/>
              </w:rPr>
              <w:t>baumanii</w:t>
            </w:r>
          </w:p>
        </w:tc>
        <w:tc>
          <w:tcPr>
            <w:tcW w:w="6840" w:type="dxa"/>
            <w:vMerge/>
          </w:tcPr>
          <w:p w14:paraId="363A6A2B" w14:textId="77777777" w:rsidR="00B611D1" w:rsidRDefault="00B611D1">
            <w:pPr>
              <w:spacing w:after="200"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rPr>
            </w:pPr>
          </w:p>
        </w:tc>
      </w:tr>
      <w:tr w:rsidR="00B611D1" w14:paraId="0EE49CCE" w14:textId="77777777" w:rsidTr="00B611D1">
        <w:trPr>
          <w:trHeight w:val="315"/>
        </w:trPr>
        <w:tc>
          <w:tcPr>
            <w:cnfStyle w:val="001000000000" w:firstRow="0" w:lastRow="0" w:firstColumn="1" w:lastColumn="0" w:oddVBand="0" w:evenVBand="0" w:oddHBand="0" w:evenHBand="0" w:firstRowFirstColumn="0" w:firstRowLastColumn="0" w:lastRowFirstColumn="0" w:lastRowLastColumn="0"/>
            <w:tcW w:w="2695" w:type="dxa"/>
          </w:tcPr>
          <w:p w14:paraId="176504EC" w14:textId="77777777" w:rsidR="00B611D1" w:rsidRDefault="00FB7689">
            <w:pPr>
              <w:spacing w:after="200" w:line="276" w:lineRule="auto"/>
              <w:rPr>
                <w:rFonts w:asciiTheme="majorBidi" w:hAnsiTheme="majorBidi" w:cstheme="majorBidi"/>
                <w:b w:val="0"/>
                <w:bCs w:val="0"/>
                <w:i/>
                <w:iCs/>
                <w:kern w:val="2"/>
              </w:rPr>
            </w:pPr>
            <w:r>
              <w:rPr>
                <w:rFonts w:asciiTheme="majorBidi" w:hAnsiTheme="majorBidi" w:cstheme="majorBidi" w:hint="eastAsia"/>
                <w:i/>
                <w:iCs/>
                <w:kern w:val="2"/>
              </w:rPr>
              <w:t>Serratia marcescens</w:t>
            </w:r>
          </w:p>
        </w:tc>
        <w:tc>
          <w:tcPr>
            <w:tcW w:w="6840" w:type="dxa"/>
          </w:tcPr>
          <w:p w14:paraId="197A964C" w14:textId="77777777" w:rsidR="00B611D1" w:rsidRDefault="00FB7689">
            <w:pPr>
              <w:spacing w:after="200"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rPr>
            </w:pPr>
            <w:r>
              <w:rPr>
                <w:rFonts w:asciiTheme="majorBidi" w:hAnsiTheme="majorBidi" w:cstheme="majorBidi" w:hint="eastAsia"/>
                <w:kern w:val="2"/>
              </w:rPr>
              <w:t>SCOPEs (Endoscopes)</w:t>
            </w:r>
          </w:p>
        </w:tc>
      </w:tr>
      <w:tr w:rsidR="00B611D1" w14:paraId="71F399E9" w14:textId="77777777" w:rsidTr="00B611D1">
        <w:trPr>
          <w:trHeight w:val="315"/>
        </w:trPr>
        <w:tc>
          <w:tcPr>
            <w:cnfStyle w:val="001000000000" w:firstRow="0" w:lastRow="0" w:firstColumn="1" w:lastColumn="0" w:oddVBand="0" w:evenVBand="0" w:oddHBand="0" w:evenHBand="0" w:firstRowFirstColumn="0" w:firstRowLastColumn="0" w:lastRowFirstColumn="0" w:lastRowLastColumn="0"/>
            <w:tcW w:w="2695" w:type="dxa"/>
          </w:tcPr>
          <w:p w14:paraId="73605157" w14:textId="77777777" w:rsidR="00B611D1" w:rsidRDefault="00FB7689">
            <w:pPr>
              <w:spacing w:after="200" w:line="276" w:lineRule="auto"/>
              <w:rPr>
                <w:rFonts w:asciiTheme="majorBidi" w:hAnsiTheme="majorBidi" w:cstheme="majorBidi"/>
                <w:b w:val="0"/>
                <w:bCs w:val="0"/>
                <w:i/>
                <w:iCs/>
                <w:kern w:val="2"/>
              </w:rPr>
            </w:pPr>
            <w:r>
              <w:rPr>
                <w:rFonts w:asciiTheme="majorBidi" w:hAnsiTheme="majorBidi" w:cstheme="majorBidi" w:hint="eastAsia"/>
                <w:i/>
                <w:iCs/>
                <w:kern w:val="2"/>
              </w:rPr>
              <w:t>Staphylococcus aureus</w:t>
            </w:r>
          </w:p>
        </w:tc>
        <w:tc>
          <w:tcPr>
            <w:tcW w:w="6840" w:type="dxa"/>
          </w:tcPr>
          <w:p w14:paraId="511D73E3" w14:textId="77777777" w:rsidR="00B611D1" w:rsidRDefault="00FB7689">
            <w:pPr>
              <w:spacing w:after="200"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rPr>
            </w:pPr>
            <w:r>
              <w:rPr>
                <w:rFonts w:asciiTheme="majorBidi" w:hAnsiTheme="majorBidi" w:cstheme="majorBidi" w:hint="eastAsia"/>
                <w:kern w:val="2"/>
              </w:rPr>
              <w:t>Poignées de porte, Chariots</w:t>
            </w:r>
          </w:p>
        </w:tc>
      </w:tr>
      <w:tr w:rsidR="00B611D1" w14:paraId="5B14870B" w14:textId="77777777" w:rsidTr="00B611D1">
        <w:trPr>
          <w:trHeight w:val="315"/>
        </w:trPr>
        <w:tc>
          <w:tcPr>
            <w:cnfStyle w:val="001000000000" w:firstRow="0" w:lastRow="0" w:firstColumn="1" w:lastColumn="0" w:oddVBand="0" w:evenVBand="0" w:oddHBand="0" w:evenHBand="0" w:firstRowFirstColumn="0" w:firstRowLastColumn="0" w:lastRowFirstColumn="0" w:lastRowLastColumn="0"/>
            <w:tcW w:w="2695" w:type="dxa"/>
          </w:tcPr>
          <w:p w14:paraId="296486AB" w14:textId="77777777" w:rsidR="00B611D1" w:rsidRDefault="00FB7689">
            <w:pPr>
              <w:spacing w:after="200" w:line="276" w:lineRule="auto"/>
              <w:rPr>
                <w:rFonts w:asciiTheme="majorBidi" w:hAnsiTheme="majorBidi" w:cstheme="majorBidi"/>
                <w:b w:val="0"/>
                <w:bCs w:val="0"/>
                <w:i/>
                <w:iCs/>
                <w:kern w:val="2"/>
              </w:rPr>
            </w:pPr>
            <w:r>
              <w:rPr>
                <w:rFonts w:asciiTheme="majorBidi" w:hAnsiTheme="majorBidi" w:cstheme="majorBidi" w:hint="eastAsia"/>
                <w:i/>
                <w:iCs/>
                <w:kern w:val="2"/>
              </w:rPr>
              <w:t>Staphylococcus hominis</w:t>
            </w:r>
          </w:p>
        </w:tc>
        <w:tc>
          <w:tcPr>
            <w:tcW w:w="6840" w:type="dxa"/>
          </w:tcPr>
          <w:p w14:paraId="108F0DE3" w14:textId="77777777" w:rsidR="00B611D1" w:rsidRDefault="00FB7689">
            <w:pPr>
              <w:spacing w:after="200" w:line="276"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2"/>
              </w:rPr>
            </w:pPr>
            <w:r>
              <w:rPr>
                <w:rFonts w:asciiTheme="majorBidi" w:hAnsiTheme="majorBidi" w:cstheme="majorBidi" w:hint="eastAsia"/>
                <w:kern w:val="2"/>
              </w:rPr>
              <w:t>Sondes urinaires</w:t>
            </w:r>
          </w:p>
        </w:tc>
      </w:tr>
    </w:tbl>
    <w:p w14:paraId="3D8D9912" w14:textId="77777777" w:rsidR="00B611D1" w:rsidRDefault="00B611D1">
      <w:pPr>
        <w:rPr>
          <w:rFonts w:eastAsia="TimesNewRomanPS-BoldMT"/>
          <w:b/>
          <w:bCs/>
          <w:color w:val="000000"/>
          <w:sz w:val="28"/>
          <w:szCs w:val="28"/>
          <w:lang w:val="fr-FR" w:eastAsia="zh-CN" w:bidi="ar"/>
        </w:rPr>
      </w:pPr>
    </w:p>
    <w:p w14:paraId="7C362CD7" w14:textId="77777777" w:rsidR="00B611D1" w:rsidRDefault="00B611D1">
      <w:pPr>
        <w:rPr>
          <w:rFonts w:eastAsia="TimesNewRomanPS-BoldMT"/>
          <w:b/>
          <w:bCs/>
          <w:color w:val="000000"/>
          <w:sz w:val="28"/>
          <w:szCs w:val="28"/>
          <w:lang w:val="fr-FR" w:eastAsia="zh-CN" w:bidi="ar"/>
        </w:rPr>
      </w:pPr>
    </w:p>
    <w:p w14:paraId="45632420" w14:textId="77777777" w:rsidR="00B611D1" w:rsidRDefault="00FB7689">
      <w:pPr>
        <w:rPr>
          <w:lang w:val="fr-FR"/>
        </w:rPr>
      </w:pPr>
      <w:r>
        <w:rPr>
          <w:rFonts w:eastAsia="TimesNewRomanPS-BoldMT"/>
          <w:b/>
          <w:bCs/>
          <w:color w:val="000000"/>
          <w:sz w:val="28"/>
          <w:szCs w:val="28"/>
          <w:lang w:val="fr-FR" w:eastAsia="zh-CN" w:bidi="ar"/>
        </w:rPr>
        <w:t>Annexe 4</w:t>
      </w:r>
      <w:r>
        <w:rPr>
          <w:rFonts w:eastAsia="SimSun"/>
          <w:color w:val="000000"/>
          <w:lang w:val="fr-FR" w:eastAsia="zh-CN" w:bidi="ar"/>
        </w:rPr>
        <w:t xml:space="preserve">: </w:t>
      </w:r>
      <w:r>
        <w:rPr>
          <w:rFonts w:eastAsia="SimSun"/>
          <w:b/>
          <w:bCs/>
          <w:color w:val="000000"/>
          <w:lang w:val="fr-FR" w:eastAsia="zh-CN" w:bidi="ar"/>
        </w:rPr>
        <w:t>Les antibiotiques utilisés</w:t>
      </w:r>
    </w:p>
    <w:p w14:paraId="076DA862" w14:textId="77777777" w:rsidR="00B611D1" w:rsidRDefault="00B611D1">
      <w:pPr>
        <w:spacing w:line="360" w:lineRule="auto"/>
        <w:jc w:val="both"/>
        <w:rPr>
          <w:rFonts w:eastAsia="SimSun"/>
          <w:color w:val="000000"/>
          <w:lang w:val="fr-FR" w:eastAsia="zh-CN" w:bidi="ar"/>
        </w:rPr>
      </w:pPr>
    </w:p>
    <w:p w14:paraId="14E17964" w14:textId="77777777" w:rsidR="00B611D1" w:rsidRDefault="00FB7689">
      <w:pPr>
        <w:spacing w:line="360" w:lineRule="auto"/>
        <w:rPr>
          <w:rFonts w:eastAsia="TimesNewRomanPS-BoldMT"/>
          <w:color w:val="000000"/>
          <w:lang w:val="fr-FR" w:eastAsia="zh-CN"/>
        </w:rPr>
      </w:pPr>
      <w:r>
        <w:rPr>
          <w:rFonts w:eastAsia="TimesNewRomanPS-BoldMT"/>
          <w:color w:val="000000"/>
          <w:lang w:val="fr-FR" w:eastAsia="zh-CN"/>
        </w:rPr>
        <w:t xml:space="preserve">Antibiotique testés contre les </w:t>
      </w:r>
      <w:r>
        <w:rPr>
          <w:i/>
          <w:iCs/>
          <w:lang w:val="fr-FR"/>
        </w:rPr>
        <w:t>Klebsiella pneumoniae :</w:t>
      </w:r>
    </w:p>
    <w:tbl>
      <w:tblPr>
        <w:tblStyle w:val="TableGrid1"/>
        <w:tblW w:w="9878" w:type="dxa"/>
        <w:tblLook w:val="04A0" w:firstRow="1" w:lastRow="0" w:firstColumn="1" w:lastColumn="0" w:noHBand="0" w:noVBand="1"/>
      </w:tblPr>
      <w:tblGrid>
        <w:gridCol w:w="2469"/>
        <w:gridCol w:w="2469"/>
        <w:gridCol w:w="2470"/>
        <w:gridCol w:w="1120"/>
        <w:gridCol w:w="1350"/>
      </w:tblGrid>
      <w:tr w:rsidR="00B611D1" w14:paraId="1C92B1A7" w14:textId="77777777">
        <w:trPr>
          <w:trHeight w:val="373"/>
        </w:trPr>
        <w:tc>
          <w:tcPr>
            <w:tcW w:w="2469" w:type="dxa"/>
            <w:vMerge w:val="restart"/>
            <w:vAlign w:val="center"/>
          </w:tcPr>
          <w:p w14:paraId="28FAB73D"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en-US" w:eastAsia="zh-CN"/>
              </w:rPr>
            </w:pPr>
            <w:r>
              <w:rPr>
                <w:rFonts w:asciiTheme="majorBidi" w:eastAsia="Calibri" w:hAnsiTheme="majorBidi" w:cstheme="majorBidi" w:hint="default"/>
                <w:b/>
                <w:bCs/>
                <w:kern w:val="0"/>
                <w:lang w:val="en-US" w:eastAsia="zh-CN" w:bidi="ar"/>
              </w:rPr>
              <w:t>Antibiotique testé</w:t>
            </w:r>
          </w:p>
        </w:tc>
        <w:tc>
          <w:tcPr>
            <w:tcW w:w="2469" w:type="dxa"/>
            <w:vMerge w:val="restart"/>
            <w:vAlign w:val="center"/>
          </w:tcPr>
          <w:p w14:paraId="355464B2"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eastAsia="zh-CN"/>
              </w:rPr>
            </w:pPr>
            <w:r>
              <w:rPr>
                <w:rFonts w:asciiTheme="majorBidi" w:eastAsia="TimesNewRomanPS-BoldMT" w:hAnsiTheme="majorBidi" w:cstheme="majorBidi" w:hint="default"/>
                <w:b/>
                <w:bCs/>
                <w:color w:val="000000"/>
                <w:kern w:val="0"/>
                <w:lang w:eastAsia="zh-CN"/>
              </w:rPr>
              <w:t>Abréviation</w:t>
            </w:r>
          </w:p>
        </w:tc>
        <w:tc>
          <w:tcPr>
            <w:tcW w:w="2470" w:type="dxa"/>
            <w:vMerge w:val="restart"/>
            <w:vAlign w:val="center"/>
          </w:tcPr>
          <w:p w14:paraId="01A7C9B9"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en-US" w:eastAsia="zh-CN"/>
              </w:rPr>
            </w:pPr>
            <w:r>
              <w:rPr>
                <w:rFonts w:asciiTheme="majorBidi" w:eastAsia="Calibri" w:hAnsiTheme="majorBidi" w:cstheme="majorBidi" w:hint="default"/>
                <w:b/>
                <w:bCs/>
                <w:kern w:val="0"/>
                <w:lang w:val="en-US" w:eastAsia="zh-CN" w:bidi="ar"/>
              </w:rPr>
              <w:t>Charge des disques</w:t>
            </w:r>
          </w:p>
        </w:tc>
        <w:tc>
          <w:tcPr>
            <w:tcW w:w="2470" w:type="dxa"/>
            <w:gridSpan w:val="2"/>
            <w:vAlign w:val="center"/>
          </w:tcPr>
          <w:p w14:paraId="1CF27582"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Diamètres (mm)</w:t>
            </w:r>
          </w:p>
        </w:tc>
      </w:tr>
      <w:tr w:rsidR="00B611D1" w14:paraId="087F3B15" w14:textId="77777777">
        <w:trPr>
          <w:trHeight w:val="167"/>
        </w:trPr>
        <w:tc>
          <w:tcPr>
            <w:tcW w:w="2469" w:type="dxa"/>
            <w:vMerge/>
          </w:tcPr>
          <w:p w14:paraId="42B62634" w14:textId="77777777" w:rsidR="00B611D1" w:rsidRDefault="00B611D1">
            <w:pPr>
              <w:spacing w:after="200" w:line="276" w:lineRule="auto"/>
              <w:rPr>
                <w:rFonts w:asciiTheme="majorBidi" w:eastAsia="Calibri" w:hAnsiTheme="majorBidi" w:cstheme="majorBidi" w:hint="default"/>
                <w:b/>
                <w:bCs/>
                <w:kern w:val="0"/>
                <w:lang w:val="en-US" w:eastAsia="zh-CN" w:bidi="ar"/>
              </w:rPr>
            </w:pPr>
          </w:p>
        </w:tc>
        <w:tc>
          <w:tcPr>
            <w:tcW w:w="2469" w:type="dxa"/>
            <w:vMerge/>
          </w:tcPr>
          <w:p w14:paraId="60E46282" w14:textId="77777777" w:rsidR="00B611D1" w:rsidRDefault="00B611D1">
            <w:pPr>
              <w:spacing w:after="200" w:line="276" w:lineRule="auto"/>
              <w:rPr>
                <w:rFonts w:asciiTheme="majorBidi" w:eastAsia="TimesNewRomanPS-BoldMT" w:hAnsiTheme="majorBidi" w:cstheme="majorBidi" w:hint="default"/>
                <w:b/>
                <w:bCs/>
                <w:color w:val="000000"/>
                <w:kern w:val="0"/>
                <w:lang w:eastAsia="zh-CN"/>
              </w:rPr>
            </w:pPr>
          </w:p>
        </w:tc>
        <w:tc>
          <w:tcPr>
            <w:tcW w:w="2470" w:type="dxa"/>
            <w:vMerge/>
          </w:tcPr>
          <w:p w14:paraId="34A3EDA5" w14:textId="77777777" w:rsidR="00B611D1" w:rsidRDefault="00B611D1">
            <w:pPr>
              <w:spacing w:after="200" w:line="276" w:lineRule="auto"/>
              <w:rPr>
                <w:rFonts w:asciiTheme="majorBidi" w:eastAsia="Calibri" w:hAnsiTheme="majorBidi" w:cstheme="majorBidi" w:hint="default"/>
                <w:b/>
                <w:bCs/>
                <w:kern w:val="0"/>
                <w:lang w:val="en-US" w:eastAsia="zh-CN" w:bidi="ar"/>
              </w:rPr>
            </w:pPr>
          </w:p>
        </w:tc>
        <w:tc>
          <w:tcPr>
            <w:tcW w:w="1120" w:type="dxa"/>
            <w:vAlign w:val="center"/>
          </w:tcPr>
          <w:p w14:paraId="0FE0934F"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R</w:t>
            </w:r>
          </w:p>
        </w:tc>
        <w:tc>
          <w:tcPr>
            <w:tcW w:w="1350" w:type="dxa"/>
            <w:vAlign w:val="center"/>
          </w:tcPr>
          <w:p w14:paraId="357FF24D"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S</w:t>
            </w:r>
          </w:p>
        </w:tc>
      </w:tr>
      <w:tr w:rsidR="00B611D1" w14:paraId="46D3CEE0" w14:textId="77777777">
        <w:trPr>
          <w:trHeight w:val="565"/>
        </w:trPr>
        <w:tc>
          <w:tcPr>
            <w:tcW w:w="2469" w:type="dxa"/>
            <w:vAlign w:val="center"/>
          </w:tcPr>
          <w:p w14:paraId="140A5692"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Amoxicilline + Acide Clavulanique</w:t>
            </w:r>
          </w:p>
        </w:tc>
        <w:tc>
          <w:tcPr>
            <w:tcW w:w="2469" w:type="dxa"/>
            <w:vAlign w:val="center"/>
          </w:tcPr>
          <w:p w14:paraId="6BA7CC85"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AUG</w:t>
            </w:r>
          </w:p>
        </w:tc>
        <w:tc>
          <w:tcPr>
            <w:tcW w:w="2470" w:type="dxa"/>
            <w:vAlign w:val="center"/>
          </w:tcPr>
          <w:p w14:paraId="1F5DEDF9"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717F3369"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c>
          <w:tcPr>
            <w:tcW w:w="1350" w:type="dxa"/>
          </w:tcPr>
          <w:p w14:paraId="37E427B3" w14:textId="77777777" w:rsidR="00B611D1" w:rsidRDefault="00B611D1">
            <w:pPr>
              <w:spacing w:after="200" w:line="276" w:lineRule="auto"/>
              <w:jc w:val="both"/>
              <w:rPr>
                <w:rFonts w:asciiTheme="majorBidi" w:eastAsia="TimesNewRomanPS-BoldMT" w:hAnsiTheme="majorBidi" w:cstheme="majorBidi" w:hint="default"/>
                <w:color w:val="000000"/>
                <w:kern w:val="0"/>
                <w:lang w:val="en-US" w:eastAsia="zh-CN"/>
              </w:rPr>
            </w:pPr>
          </w:p>
        </w:tc>
      </w:tr>
      <w:tr w:rsidR="00B611D1" w14:paraId="128375DC" w14:textId="77777777">
        <w:trPr>
          <w:trHeight w:val="531"/>
        </w:trPr>
        <w:tc>
          <w:tcPr>
            <w:tcW w:w="2469" w:type="dxa"/>
            <w:vAlign w:val="center"/>
          </w:tcPr>
          <w:p w14:paraId="46B440D7"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Cefotaxime</w:t>
            </w:r>
          </w:p>
        </w:tc>
        <w:tc>
          <w:tcPr>
            <w:tcW w:w="2469" w:type="dxa"/>
            <w:vAlign w:val="center"/>
          </w:tcPr>
          <w:p w14:paraId="0C284D4D"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CTX</w:t>
            </w:r>
          </w:p>
        </w:tc>
        <w:tc>
          <w:tcPr>
            <w:tcW w:w="2470" w:type="dxa"/>
            <w:vAlign w:val="center"/>
          </w:tcPr>
          <w:p w14:paraId="012A4A9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4E7CE8A9"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c>
          <w:tcPr>
            <w:tcW w:w="1350" w:type="dxa"/>
          </w:tcPr>
          <w:p w14:paraId="28F678C2" w14:textId="77777777" w:rsidR="00B611D1" w:rsidRDefault="00B611D1">
            <w:pPr>
              <w:spacing w:after="200" w:line="276" w:lineRule="auto"/>
              <w:jc w:val="both"/>
              <w:rPr>
                <w:rFonts w:asciiTheme="majorBidi" w:eastAsia="TimesNewRomanPS-BoldMT" w:hAnsiTheme="majorBidi" w:cstheme="majorBidi" w:hint="default"/>
                <w:color w:val="000000"/>
                <w:kern w:val="0"/>
                <w:lang w:val="en-US" w:eastAsia="zh-CN"/>
              </w:rPr>
            </w:pPr>
          </w:p>
        </w:tc>
      </w:tr>
      <w:tr w:rsidR="00B611D1" w14:paraId="559CE66B" w14:textId="77777777">
        <w:trPr>
          <w:trHeight w:val="531"/>
        </w:trPr>
        <w:tc>
          <w:tcPr>
            <w:tcW w:w="2469" w:type="dxa"/>
            <w:vAlign w:val="center"/>
          </w:tcPr>
          <w:p w14:paraId="584D220E"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i/>
                <w:iCs/>
                <w:kern w:val="0"/>
                <w:lang w:val="en-US" w:eastAsia="zh-CN" w:bidi="ar"/>
              </w:rPr>
              <w:t>Cefazoline</w:t>
            </w:r>
          </w:p>
        </w:tc>
        <w:tc>
          <w:tcPr>
            <w:tcW w:w="2469" w:type="dxa"/>
            <w:vAlign w:val="center"/>
          </w:tcPr>
          <w:p w14:paraId="22206893"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i/>
                <w:iCs/>
                <w:kern w:val="0"/>
                <w:lang w:val="en-US" w:eastAsia="zh-CN" w:bidi="ar"/>
              </w:rPr>
              <w:t>KZ</w:t>
            </w:r>
          </w:p>
        </w:tc>
        <w:tc>
          <w:tcPr>
            <w:tcW w:w="2470" w:type="dxa"/>
            <w:vAlign w:val="center"/>
          </w:tcPr>
          <w:p w14:paraId="5058A20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734D8D9C"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c>
          <w:tcPr>
            <w:tcW w:w="1350" w:type="dxa"/>
          </w:tcPr>
          <w:p w14:paraId="013E7F0E" w14:textId="77777777" w:rsidR="00B611D1" w:rsidRDefault="00B611D1">
            <w:pPr>
              <w:spacing w:after="200" w:line="276" w:lineRule="auto"/>
              <w:jc w:val="both"/>
              <w:rPr>
                <w:rFonts w:asciiTheme="majorBidi" w:eastAsia="TimesNewRomanPS-BoldMT" w:hAnsiTheme="majorBidi" w:cstheme="majorBidi" w:hint="default"/>
                <w:color w:val="000000"/>
                <w:kern w:val="0"/>
                <w:lang w:val="en-US" w:eastAsia="zh-CN"/>
              </w:rPr>
            </w:pPr>
          </w:p>
        </w:tc>
      </w:tr>
      <w:tr w:rsidR="00B611D1" w14:paraId="0ED891ED" w14:textId="77777777">
        <w:trPr>
          <w:trHeight w:val="531"/>
        </w:trPr>
        <w:tc>
          <w:tcPr>
            <w:tcW w:w="2469" w:type="dxa"/>
            <w:vAlign w:val="center"/>
          </w:tcPr>
          <w:p w14:paraId="7F4088C2"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Cefoxitin</w:t>
            </w:r>
          </w:p>
        </w:tc>
        <w:tc>
          <w:tcPr>
            <w:tcW w:w="2469" w:type="dxa"/>
            <w:vAlign w:val="center"/>
          </w:tcPr>
          <w:p w14:paraId="69CB89BD"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FOX</w:t>
            </w:r>
          </w:p>
        </w:tc>
        <w:tc>
          <w:tcPr>
            <w:tcW w:w="2470" w:type="dxa"/>
            <w:vAlign w:val="center"/>
          </w:tcPr>
          <w:p w14:paraId="406FFCE3"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23457984"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c>
          <w:tcPr>
            <w:tcW w:w="1350" w:type="dxa"/>
          </w:tcPr>
          <w:p w14:paraId="3B5389C1"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r w:rsidR="00B611D1" w14:paraId="672CA883" w14:textId="77777777">
        <w:trPr>
          <w:trHeight w:val="531"/>
        </w:trPr>
        <w:tc>
          <w:tcPr>
            <w:tcW w:w="2469" w:type="dxa"/>
            <w:vAlign w:val="center"/>
          </w:tcPr>
          <w:p w14:paraId="2562D849"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Amikacin</w:t>
            </w:r>
          </w:p>
        </w:tc>
        <w:tc>
          <w:tcPr>
            <w:tcW w:w="2469" w:type="dxa"/>
            <w:vAlign w:val="center"/>
          </w:tcPr>
          <w:p w14:paraId="5C104248"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AK</w:t>
            </w:r>
          </w:p>
        </w:tc>
        <w:tc>
          <w:tcPr>
            <w:tcW w:w="2470" w:type="dxa"/>
            <w:vAlign w:val="center"/>
          </w:tcPr>
          <w:p w14:paraId="76CBB538"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7FF42937"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c>
          <w:tcPr>
            <w:tcW w:w="1350" w:type="dxa"/>
          </w:tcPr>
          <w:p w14:paraId="54DE1731"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r>
      <w:tr w:rsidR="00B611D1" w14:paraId="0CCD3DB9" w14:textId="77777777">
        <w:trPr>
          <w:trHeight w:val="541"/>
        </w:trPr>
        <w:tc>
          <w:tcPr>
            <w:tcW w:w="2469" w:type="dxa"/>
            <w:vAlign w:val="center"/>
          </w:tcPr>
          <w:p w14:paraId="37499124"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Ampicilline</w:t>
            </w:r>
          </w:p>
        </w:tc>
        <w:tc>
          <w:tcPr>
            <w:tcW w:w="2469" w:type="dxa"/>
            <w:vAlign w:val="center"/>
          </w:tcPr>
          <w:p w14:paraId="1C51ECF8"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AX</w:t>
            </w:r>
          </w:p>
        </w:tc>
        <w:tc>
          <w:tcPr>
            <w:tcW w:w="2470" w:type="dxa"/>
            <w:vAlign w:val="center"/>
          </w:tcPr>
          <w:p w14:paraId="0DFCA63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25</w:t>
            </w:r>
          </w:p>
        </w:tc>
        <w:tc>
          <w:tcPr>
            <w:tcW w:w="1120" w:type="dxa"/>
          </w:tcPr>
          <w:p w14:paraId="308211DB"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c>
          <w:tcPr>
            <w:tcW w:w="1350" w:type="dxa"/>
          </w:tcPr>
          <w:p w14:paraId="08F3D208"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bl>
    <w:p w14:paraId="38C59A41" w14:textId="77777777" w:rsidR="00B611D1" w:rsidRDefault="00B611D1">
      <w:pPr>
        <w:ind w:firstLineChars="900" w:firstLine="2160"/>
        <w:rPr>
          <w:rFonts w:eastAsia="TimesNewRomanPS-BoldMT"/>
          <w:color w:val="000000"/>
          <w:lang w:eastAsia="zh-CN"/>
        </w:rPr>
      </w:pPr>
    </w:p>
    <w:p w14:paraId="0FBB845C" w14:textId="77777777" w:rsidR="00B611D1" w:rsidRDefault="00FB7689">
      <w:pPr>
        <w:spacing w:line="360" w:lineRule="auto"/>
        <w:rPr>
          <w:rFonts w:eastAsia="TimesNewRomanPS-BoldMT"/>
          <w:color w:val="000000"/>
          <w:lang w:eastAsia="zh-CN"/>
        </w:rPr>
      </w:pPr>
      <w:r>
        <w:rPr>
          <w:rFonts w:eastAsia="TimesNewRomanPS-BoldMT"/>
          <w:color w:val="000000"/>
          <w:lang w:eastAsia="zh-CN"/>
        </w:rPr>
        <w:t xml:space="preserve">Antibiotique testés contre </w:t>
      </w:r>
      <w:r>
        <w:rPr>
          <w:i/>
          <w:iCs/>
        </w:rPr>
        <w:t>Serratia marcescens</w:t>
      </w:r>
    </w:p>
    <w:tbl>
      <w:tblPr>
        <w:tblStyle w:val="TableGrid1"/>
        <w:tblW w:w="9878" w:type="dxa"/>
        <w:tblLook w:val="04A0" w:firstRow="1" w:lastRow="0" w:firstColumn="1" w:lastColumn="0" w:noHBand="0" w:noVBand="1"/>
      </w:tblPr>
      <w:tblGrid>
        <w:gridCol w:w="2469"/>
        <w:gridCol w:w="2469"/>
        <w:gridCol w:w="2470"/>
        <w:gridCol w:w="1120"/>
        <w:gridCol w:w="1350"/>
      </w:tblGrid>
      <w:tr w:rsidR="00B611D1" w14:paraId="4C999FC2" w14:textId="77777777">
        <w:trPr>
          <w:trHeight w:val="373"/>
        </w:trPr>
        <w:tc>
          <w:tcPr>
            <w:tcW w:w="2469" w:type="dxa"/>
            <w:vMerge w:val="restart"/>
            <w:vAlign w:val="center"/>
          </w:tcPr>
          <w:p w14:paraId="27D1819C"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en-US" w:eastAsia="zh-CN"/>
              </w:rPr>
            </w:pPr>
            <w:r>
              <w:rPr>
                <w:rFonts w:asciiTheme="majorBidi" w:eastAsia="Calibri" w:hAnsiTheme="majorBidi" w:cstheme="majorBidi" w:hint="default"/>
                <w:b/>
                <w:bCs/>
                <w:kern w:val="0"/>
                <w:lang w:val="en-US" w:eastAsia="zh-CN" w:bidi="ar"/>
              </w:rPr>
              <w:t>Antibiotique testé</w:t>
            </w:r>
          </w:p>
        </w:tc>
        <w:tc>
          <w:tcPr>
            <w:tcW w:w="2469" w:type="dxa"/>
            <w:vMerge w:val="restart"/>
            <w:vAlign w:val="center"/>
          </w:tcPr>
          <w:p w14:paraId="2B65FC63"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eastAsia="zh-CN"/>
              </w:rPr>
            </w:pPr>
            <w:r>
              <w:rPr>
                <w:rFonts w:asciiTheme="majorBidi" w:eastAsia="TimesNewRomanPS-BoldMT" w:hAnsiTheme="majorBidi" w:cstheme="majorBidi" w:hint="default"/>
                <w:b/>
                <w:bCs/>
                <w:color w:val="000000"/>
                <w:kern w:val="0"/>
                <w:lang w:eastAsia="zh-CN"/>
              </w:rPr>
              <w:t>Abréviation</w:t>
            </w:r>
          </w:p>
        </w:tc>
        <w:tc>
          <w:tcPr>
            <w:tcW w:w="2470" w:type="dxa"/>
            <w:vMerge w:val="restart"/>
            <w:vAlign w:val="center"/>
          </w:tcPr>
          <w:p w14:paraId="02903D15"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en-US" w:eastAsia="zh-CN"/>
              </w:rPr>
            </w:pPr>
            <w:r>
              <w:rPr>
                <w:rFonts w:asciiTheme="majorBidi" w:eastAsia="Calibri" w:hAnsiTheme="majorBidi" w:cstheme="majorBidi" w:hint="default"/>
                <w:b/>
                <w:bCs/>
                <w:kern w:val="0"/>
                <w:lang w:val="en-US" w:eastAsia="zh-CN" w:bidi="ar"/>
              </w:rPr>
              <w:t>Charge des disques</w:t>
            </w:r>
          </w:p>
        </w:tc>
        <w:tc>
          <w:tcPr>
            <w:tcW w:w="2470" w:type="dxa"/>
            <w:gridSpan w:val="2"/>
            <w:vAlign w:val="center"/>
          </w:tcPr>
          <w:p w14:paraId="7283FD4E"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Diamètres (mm)</w:t>
            </w:r>
          </w:p>
        </w:tc>
      </w:tr>
      <w:tr w:rsidR="00B611D1" w14:paraId="3307F2CD" w14:textId="77777777">
        <w:trPr>
          <w:trHeight w:val="167"/>
        </w:trPr>
        <w:tc>
          <w:tcPr>
            <w:tcW w:w="2469" w:type="dxa"/>
            <w:vMerge/>
          </w:tcPr>
          <w:p w14:paraId="3C92C126" w14:textId="77777777" w:rsidR="00B611D1" w:rsidRDefault="00B611D1">
            <w:pPr>
              <w:spacing w:after="200" w:line="276" w:lineRule="auto"/>
              <w:rPr>
                <w:rFonts w:asciiTheme="majorBidi" w:eastAsia="Calibri" w:hAnsiTheme="majorBidi" w:cstheme="majorBidi" w:hint="default"/>
                <w:b/>
                <w:bCs/>
                <w:kern w:val="0"/>
                <w:lang w:val="en-US" w:eastAsia="zh-CN" w:bidi="ar"/>
              </w:rPr>
            </w:pPr>
          </w:p>
        </w:tc>
        <w:tc>
          <w:tcPr>
            <w:tcW w:w="2469" w:type="dxa"/>
            <w:vMerge/>
          </w:tcPr>
          <w:p w14:paraId="6508A951" w14:textId="77777777" w:rsidR="00B611D1" w:rsidRDefault="00B611D1">
            <w:pPr>
              <w:spacing w:after="200" w:line="276" w:lineRule="auto"/>
              <w:rPr>
                <w:rFonts w:asciiTheme="majorBidi" w:eastAsia="TimesNewRomanPS-BoldMT" w:hAnsiTheme="majorBidi" w:cstheme="majorBidi" w:hint="default"/>
                <w:b/>
                <w:bCs/>
                <w:color w:val="000000"/>
                <w:kern w:val="0"/>
                <w:lang w:eastAsia="zh-CN"/>
              </w:rPr>
            </w:pPr>
          </w:p>
        </w:tc>
        <w:tc>
          <w:tcPr>
            <w:tcW w:w="2470" w:type="dxa"/>
            <w:vMerge/>
          </w:tcPr>
          <w:p w14:paraId="18547274" w14:textId="77777777" w:rsidR="00B611D1" w:rsidRDefault="00B611D1">
            <w:pPr>
              <w:spacing w:after="200" w:line="276" w:lineRule="auto"/>
              <w:rPr>
                <w:rFonts w:asciiTheme="majorBidi" w:eastAsia="Calibri" w:hAnsiTheme="majorBidi" w:cstheme="majorBidi" w:hint="default"/>
                <w:b/>
                <w:bCs/>
                <w:kern w:val="0"/>
                <w:lang w:val="en-US" w:eastAsia="zh-CN" w:bidi="ar"/>
              </w:rPr>
            </w:pPr>
          </w:p>
        </w:tc>
        <w:tc>
          <w:tcPr>
            <w:tcW w:w="1120" w:type="dxa"/>
            <w:vAlign w:val="center"/>
          </w:tcPr>
          <w:p w14:paraId="7AB78070"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R</w:t>
            </w:r>
          </w:p>
        </w:tc>
        <w:tc>
          <w:tcPr>
            <w:tcW w:w="1350" w:type="dxa"/>
            <w:vAlign w:val="center"/>
          </w:tcPr>
          <w:p w14:paraId="6CC740A5"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S</w:t>
            </w:r>
          </w:p>
        </w:tc>
      </w:tr>
      <w:tr w:rsidR="00B611D1" w14:paraId="2CCCA385" w14:textId="77777777">
        <w:trPr>
          <w:trHeight w:val="565"/>
        </w:trPr>
        <w:tc>
          <w:tcPr>
            <w:tcW w:w="2469" w:type="dxa"/>
            <w:vAlign w:val="center"/>
          </w:tcPr>
          <w:p w14:paraId="52FA7BD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Amoxicilline + Acide Clavulanique</w:t>
            </w:r>
          </w:p>
        </w:tc>
        <w:tc>
          <w:tcPr>
            <w:tcW w:w="2469" w:type="dxa"/>
            <w:vAlign w:val="center"/>
          </w:tcPr>
          <w:p w14:paraId="6E6E9B82"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AUG</w:t>
            </w:r>
          </w:p>
        </w:tc>
        <w:tc>
          <w:tcPr>
            <w:tcW w:w="2470" w:type="dxa"/>
            <w:vAlign w:val="center"/>
          </w:tcPr>
          <w:p w14:paraId="2450BC58"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48564805"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c>
          <w:tcPr>
            <w:tcW w:w="1350" w:type="dxa"/>
          </w:tcPr>
          <w:p w14:paraId="3115CFAB" w14:textId="77777777" w:rsidR="00B611D1" w:rsidRDefault="00B611D1">
            <w:pPr>
              <w:spacing w:after="200" w:line="276" w:lineRule="auto"/>
              <w:jc w:val="both"/>
              <w:rPr>
                <w:rFonts w:asciiTheme="majorBidi" w:eastAsia="TimesNewRomanPS-BoldMT" w:hAnsiTheme="majorBidi" w:cstheme="majorBidi" w:hint="default"/>
                <w:color w:val="000000"/>
                <w:kern w:val="0"/>
                <w:lang w:val="en-US" w:eastAsia="zh-CN"/>
              </w:rPr>
            </w:pPr>
          </w:p>
        </w:tc>
      </w:tr>
      <w:tr w:rsidR="00B611D1" w14:paraId="27EF38CF" w14:textId="77777777">
        <w:trPr>
          <w:trHeight w:val="531"/>
        </w:trPr>
        <w:tc>
          <w:tcPr>
            <w:tcW w:w="2469" w:type="dxa"/>
            <w:vAlign w:val="center"/>
          </w:tcPr>
          <w:p w14:paraId="41A9FB56"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Cefotaxime</w:t>
            </w:r>
          </w:p>
        </w:tc>
        <w:tc>
          <w:tcPr>
            <w:tcW w:w="2469" w:type="dxa"/>
            <w:vAlign w:val="center"/>
          </w:tcPr>
          <w:p w14:paraId="311BD9CD"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CTX</w:t>
            </w:r>
          </w:p>
        </w:tc>
        <w:tc>
          <w:tcPr>
            <w:tcW w:w="2470" w:type="dxa"/>
            <w:vAlign w:val="center"/>
          </w:tcPr>
          <w:p w14:paraId="147F52D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739A7D0A" w14:textId="77777777" w:rsidR="00B611D1" w:rsidRDefault="00B611D1">
            <w:pPr>
              <w:spacing w:after="200" w:line="276" w:lineRule="auto"/>
              <w:jc w:val="center"/>
              <w:rPr>
                <w:rFonts w:asciiTheme="majorBidi" w:eastAsia="TimesNewRomanPS-BoldMT" w:hAnsiTheme="majorBidi" w:cstheme="majorBidi" w:hint="default"/>
                <w:color w:val="000000"/>
                <w:kern w:val="0"/>
                <w:lang w:val="fr-FR" w:eastAsia="zh-CN"/>
              </w:rPr>
            </w:pPr>
          </w:p>
        </w:tc>
        <w:tc>
          <w:tcPr>
            <w:tcW w:w="1350" w:type="dxa"/>
          </w:tcPr>
          <w:p w14:paraId="08BBCE8A" w14:textId="77777777" w:rsidR="00B611D1" w:rsidRDefault="00FB7689">
            <w:pPr>
              <w:spacing w:after="200" w:line="276" w:lineRule="auto"/>
              <w:jc w:val="both"/>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r>
      <w:tr w:rsidR="00B611D1" w14:paraId="54B638F3" w14:textId="77777777">
        <w:trPr>
          <w:trHeight w:val="531"/>
        </w:trPr>
        <w:tc>
          <w:tcPr>
            <w:tcW w:w="2469" w:type="dxa"/>
            <w:vAlign w:val="center"/>
          </w:tcPr>
          <w:p w14:paraId="1F632B47"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i/>
                <w:iCs/>
                <w:kern w:val="0"/>
                <w:lang w:val="en-US" w:eastAsia="zh-CN" w:bidi="ar"/>
              </w:rPr>
              <w:t>Cefazoline</w:t>
            </w:r>
          </w:p>
        </w:tc>
        <w:tc>
          <w:tcPr>
            <w:tcW w:w="2469" w:type="dxa"/>
            <w:vAlign w:val="center"/>
          </w:tcPr>
          <w:p w14:paraId="3A80009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i/>
                <w:iCs/>
                <w:kern w:val="0"/>
                <w:lang w:val="en-US" w:eastAsia="zh-CN" w:bidi="ar"/>
              </w:rPr>
              <w:t>KZ</w:t>
            </w:r>
          </w:p>
        </w:tc>
        <w:tc>
          <w:tcPr>
            <w:tcW w:w="2470" w:type="dxa"/>
            <w:vAlign w:val="center"/>
          </w:tcPr>
          <w:p w14:paraId="5BA434E4"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458DEEF6" w14:textId="77777777" w:rsidR="00B611D1" w:rsidRDefault="00FB7689">
            <w:pPr>
              <w:spacing w:after="200" w:line="276" w:lineRule="auto"/>
              <w:jc w:val="center"/>
              <w:rPr>
                <w:rFonts w:asciiTheme="majorBidi" w:eastAsia="TimesNewRomanPS-BoldMT" w:hAnsiTheme="majorBidi" w:cstheme="majorBidi" w:hint="default"/>
                <w:color w:val="000000"/>
                <w:kern w:val="0"/>
                <w:vertAlign w:val="subscript"/>
                <w:lang w:val="fr-FR" w:eastAsia="zh-CN"/>
              </w:rPr>
            </w:pPr>
            <w:r>
              <w:rPr>
                <w:rFonts w:asciiTheme="majorBidi" w:eastAsia="TimesNewRomanPS-BoldMT" w:hAnsiTheme="majorBidi" w:cstheme="majorBidi" w:hint="default"/>
                <w:color w:val="000000"/>
                <w:kern w:val="0"/>
                <w:lang w:val="fr-FR" w:eastAsia="zh-CN"/>
              </w:rPr>
              <w:t>+</w:t>
            </w:r>
          </w:p>
        </w:tc>
        <w:tc>
          <w:tcPr>
            <w:tcW w:w="1350" w:type="dxa"/>
          </w:tcPr>
          <w:p w14:paraId="71152EED" w14:textId="77777777" w:rsidR="00B611D1" w:rsidRDefault="00B611D1">
            <w:pPr>
              <w:spacing w:after="200" w:line="276" w:lineRule="auto"/>
              <w:jc w:val="both"/>
              <w:rPr>
                <w:rFonts w:asciiTheme="majorBidi" w:eastAsia="TimesNewRomanPS-BoldMT" w:hAnsiTheme="majorBidi" w:cstheme="majorBidi" w:hint="default"/>
                <w:color w:val="000000"/>
                <w:kern w:val="0"/>
                <w:lang w:val="en-US" w:eastAsia="zh-CN"/>
              </w:rPr>
            </w:pPr>
          </w:p>
        </w:tc>
      </w:tr>
      <w:tr w:rsidR="00B611D1" w14:paraId="47EF09E4" w14:textId="77777777">
        <w:trPr>
          <w:trHeight w:val="531"/>
        </w:trPr>
        <w:tc>
          <w:tcPr>
            <w:tcW w:w="2469" w:type="dxa"/>
            <w:vAlign w:val="center"/>
          </w:tcPr>
          <w:p w14:paraId="6DB3B00B"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Cefoxitin</w:t>
            </w:r>
          </w:p>
        </w:tc>
        <w:tc>
          <w:tcPr>
            <w:tcW w:w="2469" w:type="dxa"/>
            <w:vAlign w:val="center"/>
          </w:tcPr>
          <w:p w14:paraId="21759A2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FOX</w:t>
            </w:r>
          </w:p>
        </w:tc>
        <w:tc>
          <w:tcPr>
            <w:tcW w:w="2470" w:type="dxa"/>
            <w:vAlign w:val="center"/>
          </w:tcPr>
          <w:p w14:paraId="37A84D59"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4EAC0E1F" w14:textId="77777777" w:rsidR="00B611D1" w:rsidRDefault="00B611D1">
            <w:pPr>
              <w:spacing w:after="200" w:line="276" w:lineRule="auto"/>
              <w:jc w:val="center"/>
              <w:rPr>
                <w:rFonts w:asciiTheme="majorBidi" w:eastAsia="TimesNewRomanPS-BoldMT" w:hAnsiTheme="majorBidi" w:cstheme="majorBidi" w:hint="default"/>
                <w:color w:val="000000"/>
                <w:kern w:val="0"/>
                <w:lang w:val="fr-FR" w:eastAsia="zh-CN"/>
              </w:rPr>
            </w:pPr>
          </w:p>
        </w:tc>
        <w:tc>
          <w:tcPr>
            <w:tcW w:w="1350" w:type="dxa"/>
          </w:tcPr>
          <w:p w14:paraId="39A69D58"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TimesNewRomanPS-BoldMT" w:hAnsiTheme="majorBidi" w:cstheme="majorBidi" w:hint="default"/>
                <w:color w:val="000000"/>
                <w:kern w:val="0"/>
                <w:lang w:val="fr-FR" w:eastAsia="zh-CN"/>
              </w:rPr>
              <w:t>+</w:t>
            </w:r>
          </w:p>
        </w:tc>
      </w:tr>
      <w:tr w:rsidR="00B611D1" w14:paraId="7459BC14" w14:textId="77777777">
        <w:trPr>
          <w:trHeight w:val="531"/>
        </w:trPr>
        <w:tc>
          <w:tcPr>
            <w:tcW w:w="2469" w:type="dxa"/>
            <w:vAlign w:val="center"/>
          </w:tcPr>
          <w:p w14:paraId="385B5043"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Amikacin</w:t>
            </w:r>
          </w:p>
        </w:tc>
        <w:tc>
          <w:tcPr>
            <w:tcW w:w="2469" w:type="dxa"/>
            <w:vAlign w:val="center"/>
          </w:tcPr>
          <w:p w14:paraId="2222EB6A"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AK</w:t>
            </w:r>
          </w:p>
        </w:tc>
        <w:tc>
          <w:tcPr>
            <w:tcW w:w="2470" w:type="dxa"/>
            <w:vAlign w:val="center"/>
          </w:tcPr>
          <w:p w14:paraId="30AE0984"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30</w:t>
            </w:r>
          </w:p>
        </w:tc>
        <w:tc>
          <w:tcPr>
            <w:tcW w:w="1120" w:type="dxa"/>
          </w:tcPr>
          <w:p w14:paraId="1FAFD5C9"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c>
          <w:tcPr>
            <w:tcW w:w="1350" w:type="dxa"/>
          </w:tcPr>
          <w:p w14:paraId="37A948C7"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r>
      <w:tr w:rsidR="00B611D1" w14:paraId="043A455C" w14:textId="77777777">
        <w:trPr>
          <w:trHeight w:val="541"/>
        </w:trPr>
        <w:tc>
          <w:tcPr>
            <w:tcW w:w="2469" w:type="dxa"/>
            <w:vAlign w:val="center"/>
          </w:tcPr>
          <w:p w14:paraId="3191378A"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Ampicilline</w:t>
            </w:r>
          </w:p>
        </w:tc>
        <w:tc>
          <w:tcPr>
            <w:tcW w:w="2469" w:type="dxa"/>
            <w:vAlign w:val="center"/>
          </w:tcPr>
          <w:p w14:paraId="2B0C6EBE"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AX</w:t>
            </w:r>
          </w:p>
        </w:tc>
        <w:tc>
          <w:tcPr>
            <w:tcW w:w="2470" w:type="dxa"/>
            <w:vAlign w:val="center"/>
          </w:tcPr>
          <w:p w14:paraId="17013F0D"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eastAsia="Calibri" w:hAnsiTheme="majorBidi" w:cstheme="majorBidi" w:hint="default"/>
                <w:kern w:val="0"/>
                <w:lang w:val="en-US" w:eastAsia="zh-CN" w:bidi="ar"/>
              </w:rPr>
              <w:t>25</w:t>
            </w:r>
          </w:p>
        </w:tc>
        <w:tc>
          <w:tcPr>
            <w:tcW w:w="1120" w:type="dxa"/>
          </w:tcPr>
          <w:p w14:paraId="25DC88E7"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TimesNewRomanPS-BoldMT" w:hAnsiTheme="majorBidi" w:cstheme="majorBidi" w:hint="default"/>
                <w:color w:val="000000"/>
                <w:kern w:val="0"/>
                <w:lang w:val="fr-FR" w:eastAsia="zh-CN"/>
              </w:rPr>
              <w:t>+</w:t>
            </w:r>
          </w:p>
        </w:tc>
        <w:tc>
          <w:tcPr>
            <w:tcW w:w="1350" w:type="dxa"/>
          </w:tcPr>
          <w:p w14:paraId="187CBBB8"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bl>
    <w:p w14:paraId="4A8380C9" w14:textId="77777777" w:rsidR="00B611D1" w:rsidRDefault="00B611D1">
      <w:pPr>
        <w:spacing w:line="360" w:lineRule="auto"/>
        <w:jc w:val="both"/>
        <w:rPr>
          <w:rFonts w:eastAsia="SimSun"/>
          <w:color w:val="000000"/>
          <w:lang w:val="en-US" w:eastAsia="zh-CN" w:bidi="ar"/>
        </w:rPr>
      </w:pPr>
    </w:p>
    <w:p w14:paraId="31F078DC" w14:textId="77777777" w:rsidR="00B611D1" w:rsidRDefault="00FB7689">
      <w:pPr>
        <w:spacing w:line="360" w:lineRule="auto"/>
        <w:rPr>
          <w:rFonts w:asciiTheme="majorBidi" w:hAnsiTheme="majorBidi" w:cstheme="majorBidi"/>
          <w:i/>
          <w:iCs/>
          <w:lang w:eastAsia="zh-CN"/>
        </w:rPr>
      </w:pPr>
      <w:r>
        <w:rPr>
          <w:rFonts w:eastAsia="TimesNewRomanPS-BoldMT"/>
          <w:color w:val="000000"/>
          <w:lang w:eastAsia="zh-CN"/>
        </w:rPr>
        <w:t xml:space="preserve">Antibiotique testés contre </w:t>
      </w:r>
      <w:r>
        <w:rPr>
          <w:i/>
          <w:iCs/>
        </w:rPr>
        <w:t>Acinetobacter baumannii</w:t>
      </w:r>
      <w:r>
        <w:rPr>
          <w:i/>
          <w:iCs/>
          <w:lang w:val="fr-FR"/>
        </w:rPr>
        <w:t xml:space="preserve"> </w:t>
      </w:r>
    </w:p>
    <w:tbl>
      <w:tblPr>
        <w:tblStyle w:val="TableGrid1"/>
        <w:tblW w:w="9878" w:type="dxa"/>
        <w:tblLook w:val="04A0" w:firstRow="1" w:lastRow="0" w:firstColumn="1" w:lastColumn="0" w:noHBand="0" w:noVBand="1"/>
      </w:tblPr>
      <w:tblGrid>
        <w:gridCol w:w="2469"/>
        <w:gridCol w:w="2469"/>
        <w:gridCol w:w="2470"/>
        <w:gridCol w:w="1120"/>
        <w:gridCol w:w="1350"/>
      </w:tblGrid>
      <w:tr w:rsidR="00B611D1" w14:paraId="218BD292" w14:textId="77777777">
        <w:trPr>
          <w:trHeight w:val="373"/>
        </w:trPr>
        <w:tc>
          <w:tcPr>
            <w:tcW w:w="2469" w:type="dxa"/>
            <w:vMerge w:val="restart"/>
            <w:vAlign w:val="center"/>
          </w:tcPr>
          <w:p w14:paraId="71596197"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en-US" w:eastAsia="zh-CN"/>
              </w:rPr>
            </w:pPr>
            <w:r>
              <w:rPr>
                <w:rFonts w:asciiTheme="majorBidi" w:eastAsia="Calibri" w:hAnsiTheme="majorBidi" w:cstheme="majorBidi" w:hint="default"/>
                <w:b/>
                <w:bCs/>
                <w:kern w:val="0"/>
                <w:lang w:val="en-US" w:eastAsia="zh-CN" w:bidi="ar"/>
              </w:rPr>
              <w:t>Antibiotique testé</w:t>
            </w:r>
          </w:p>
        </w:tc>
        <w:tc>
          <w:tcPr>
            <w:tcW w:w="2469" w:type="dxa"/>
            <w:vMerge w:val="restart"/>
            <w:vAlign w:val="center"/>
          </w:tcPr>
          <w:p w14:paraId="0D01DD9D"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eastAsia="zh-CN"/>
              </w:rPr>
            </w:pPr>
            <w:r>
              <w:rPr>
                <w:rFonts w:asciiTheme="majorBidi" w:eastAsia="TimesNewRomanPS-BoldMT" w:hAnsiTheme="majorBidi" w:cstheme="majorBidi" w:hint="default"/>
                <w:b/>
                <w:bCs/>
                <w:color w:val="000000"/>
                <w:kern w:val="0"/>
                <w:lang w:eastAsia="zh-CN"/>
              </w:rPr>
              <w:t>Abréviation</w:t>
            </w:r>
          </w:p>
        </w:tc>
        <w:tc>
          <w:tcPr>
            <w:tcW w:w="2470" w:type="dxa"/>
            <w:vMerge w:val="restart"/>
            <w:vAlign w:val="center"/>
          </w:tcPr>
          <w:p w14:paraId="1B9F77F9"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en-US" w:eastAsia="zh-CN"/>
              </w:rPr>
            </w:pPr>
            <w:r>
              <w:rPr>
                <w:rFonts w:asciiTheme="majorBidi" w:eastAsia="Calibri" w:hAnsiTheme="majorBidi" w:cstheme="majorBidi" w:hint="default"/>
                <w:b/>
                <w:bCs/>
                <w:kern w:val="0"/>
                <w:lang w:val="en-US" w:eastAsia="zh-CN" w:bidi="ar"/>
              </w:rPr>
              <w:t>Charge des disques</w:t>
            </w:r>
          </w:p>
        </w:tc>
        <w:tc>
          <w:tcPr>
            <w:tcW w:w="2470" w:type="dxa"/>
            <w:gridSpan w:val="2"/>
            <w:vAlign w:val="center"/>
          </w:tcPr>
          <w:p w14:paraId="4FCA5E2D"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Diamètres (mm)</w:t>
            </w:r>
          </w:p>
        </w:tc>
      </w:tr>
      <w:tr w:rsidR="00B611D1" w14:paraId="51FBC4F2" w14:textId="77777777">
        <w:trPr>
          <w:trHeight w:val="167"/>
        </w:trPr>
        <w:tc>
          <w:tcPr>
            <w:tcW w:w="2469" w:type="dxa"/>
            <w:vMerge/>
          </w:tcPr>
          <w:p w14:paraId="0C19E5F0" w14:textId="77777777" w:rsidR="00B611D1" w:rsidRDefault="00B611D1">
            <w:pPr>
              <w:spacing w:after="200" w:line="276" w:lineRule="auto"/>
              <w:rPr>
                <w:rFonts w:asciiTheme="majorBidi" w:eastAsia="Calibri" w:hAnsiTheme="majorBidi" w:cstheme="majorBidi" w:hint="default"/>
                <w:b/>
                <w:bCs/>
                <w:kern w:val="0"/>
                <w:lang w:val="en-US" w:eastAsia="zh-CN" w:bidi="ar"/>
              </w:rPr>
            </w:pPr>
          </w:p>
        </w:tc>
        <w:tc>
          <w:tcPr>
            <w:tcW w:w="2469" w:type="dxa"/>
            <w:vMerge/>
          </w:tcPr>
          <w:p w14:paraId="5896D2D2" w14:textId="77777777" w:rsidR="00B611D1" w:rsidRDefault="00B611D1">
            <w:pPr>
              <w:spacing w:after="200" w:line="276" w:lineRule="auto"/>
              <w:rPr>
                <w:rFonts w:asciiTheme="majorBidi" w:eastAsia="TimesNewRomanPS-BoldMT" w:hAnsiTheme="majorBidi" w:cstheme="majorBidi" w:hint="default"/>
                <w:b/>
                <w:bCs/>
                <w:color w:val="000000"/>
                <w:kern w:val="0"/>
                <w:lang w:eastAsia="zh-CN"/>
              </w:rPr>
            </w:pPr>
          </w:p>
        </w:tc>
        <w:tc>
          <w:tcPr>
            <w:tcW w:w="2470" w:type="dxa"/>
            <w:vMerge/>
          </w:tcPr>
          <w:p w14:paraId="2D22A9B1" w14:textId="77777777" w:rsidR="00B611D1" w:rsidRDefault="00B611D1">
            <w:pPr>
              <w:spacing w:after="200" w:line="276" w:lineRule="auto"/>
              <w:rPr>
                <w:rFonts w:asciiTheme="majorBidi" w:eastAsia="Calibri" w:hAnsiTheme="majorBidi" w:cstheme="majorBidi" w:hint="default"/>
                <w:b/>
                <w:bCs/>
                <w:kern w:val="0"/>
                <w:lang w:val="en-US" w:eastAsia="zh-CN" w:bidi="ar"/>
              </w:rPr>
            </w:pPr>
          </w:p>
        </w:tc>
        <w:tc>
          <w:tcPr>
            <w:tcW w:w="1120" w:type="dxa"/>
            <w:vAlign w:val="center"/>
          </w:tcPr>
          <w:p w14:paraId="25D4B841"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R</w:t>
            </w:r>
          </w:p>
        </w:tc>
        <w:tc>
          <w:tcPr>
            <w:tcW w:w="1350" w:type="dxa"/>
            <w:vAlign w:val="center"/>
          </w:tcPr>
          <w:p w14:paraId="6CAD5DFE"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S</w:t>
            </w:r>
          </w:p>
        </w:tc>
      </w:tr>
      <w:tr w:rsidR="00B611D1" w14:paraId="15F93279" w14:textId="77777777">
        <w:trPr>
          <w:trHeight w:val="565"/>
        </w:trPr>
        <w:tc>
          <w:tcPr>
            <w:tcW w:w="2469" w:type="dxa"/>
          </w:tcPr>
          <w:p w14:paraId="42BF5281" w14:textId="77777777" w:rsidR="00B611D1" w:rsidRDefault="00FB7689">
            <w:pPr>
              <w:spacing w:after="200" w:line="276" w:lineRule="auto"/>
              <w:jc w:val="center"/>
              <w:rPr>
                <w:rFonts w:asciiTheme="majorBidi" w:eastAsiaTheme="minorEastAsia" w:hAnsiTheme="majorBidi" w:cstheme="majorBidi" w:hint="default"/>
              </w:rPr>
            </w:pPr>
            <w:r>
              <w:rPr>
                <w:rFonts w:asciiTheme="majorBidi" w:eastAsiaTheme="minorEastAsia" w:hAnsiTheme="majorBidi" w:cstheme="majorBidi" w:hint="default"/>
              </w:rPr>
              <w:t>Piperacilline</w:t>
            </w:r>
          </w:p>
          <w:p w14:paraId="40CCE97E" w14:textId="77777777" w:rsidR="00B611D1" w:rsidRDefault="00B611D1">
            <w:pPr>
              <w:spacing w:after="200" w:line="276" w:lineRule="auto"/>
              <w:jc w:val="center"/>
              <w:rPr>
                <w:rFonts w:asciiTheme="majorBidi" w:eastAsiaTheme="minorEastAsia" w:hAnsiTheme="majorBidi" w:cstheme="majorBidi" w:hint="default"/>
                <w:color w:val="000000"/>
                <w:kern w:val="0"/>
                <w:lang w:val="en-US" w:eastAsia="zh-CN"/>
              </w:rPr>
            </w:pPr>
          </w:p>
        </w:tc>
        <w:tc>
          <w:tcPr>
            <w:tcW w:w="2469" w:type="dxa"/>
          </w:tcPr>
          <w:p w14:paraId="10265D52" w14:textId="77777777" w:rsidR="00B611D1" w:rsidRDefault="00B611D1">
            <w:pPr>
              <w:spacing w:after="200" w:line="276" w:lineRule="auto"/>
              <w:jc w:val="center"/>
              <w:rPr>
                <w:rFonts w:asciiTheme="majorBidi" w:eastAsia="SimSun" w:hAnsiTheme="majorBidi" w:cstheme="majorBidi" w:hint="default"/>
              </w:rPr>
            </w:pPr>
          </w:p>
          <w:p w14:paraId="2AD6BE66"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eastAsia="SimSun" w:hAnsiTheme="majorBidi" w:cstheme="majorBidi" w:hint="default"/>
              </w:rPr>
              <w:t>PIR</w:t>
            </w:r>
          </w:p>
        </w:tc>
        <w:tc>
          <w:tcPr>
            <w:tcW w:w="2470" w:type="dxa"/>
          </w:tcPr>
          <w:p w14:paraId="0B531DF5"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i/>
                <w:iCs/>
                <w:lang w:val="fr-FR"/>
              </w:rPr>
              <w:t>100</w:t>
            </w:r>
          </w:p>
        </w:tc>
        <w:tc>
          <w:tcPr>
            <w:tcW w:w="1120" w:type="dxa"/>
          </w:tcPr>
          <w:p w14:paraId="0EB0FDC0"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hAnsiTheme="majorBidi" w:cstheme="majorBidi" w:hint="default"/>
                <w:i/>
                <w:iCs/>
                <w:lang w:val="fr-FR"/>
              </w:rPr>
              <w:t>+</w:t>
            </w:r>
          </w:p>
        </w:tc>
        <w:tc>
          <w:tcPr>
            <w:tcW w:w="1350" w:type="dxa"/>
          </w:tcPr>
          <w:p w14:paraId="370355A3"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r w:rsidR="00B611D1" w14:paraId="0D3DA716" w14:textId="77777777">
        <w:trPr>
          <w:trHeight w:val="531"/>
        </w:trPr>
        <w:tc>
          <w:tcPr>
            <w:tcW w:w="2469" w:type="dxa"/>
          </w:tcPr>
          <w:p w14:paraId="141200C9" w14:textId="77777777" w:rsidR="00B611D1" w:rsidRDefault="00FB7689">
            <w:pPr>
              <w:spacing w:after="200" w:line="276" w:lineRule="auto"/>
              <w:jc w:val="center"/>
              <w:rPr>
                <w:rFonts w:asciiTheme="majorBidi" w:eastAsiaTheme="minorEastAsia" w:hAnsiTheme="majorBidi" w:cstheme="majorBidi" w:hint="default"/>
                <w:color w:val="000000"/>
                <w:kern w:val="0"/>
                <w:lang w:val="en-US" w:eastAsia="zh-CN"/>
              </w:rPr>
            </w:pPr>
            <w:r>
              <w:rPr>
                <w:rStyle w:val="lev"/>
                <w:rFonts w:asciiTheme="majorBidi" w:eastAsiaTheme="minorEastAsia" w:hAnsiTheme="majorBidi" w:cstheme="majorBidi" w:hint="default"/>
                <w:b w:val="0"/>
                <w:bCs w:val="0"/>
              </w:rPr>
              <w:t>Ceftazidime</w:t>
            </w:r>
          </w:p>
        </w:tc>
        <w:tc>
          <w:tcPr>
            <w:tcW w:w="2469" w:type="dxa"/>
          </w:tcPr>
          <w:p w14:paraId="11B4D4A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Style w:val="lev"/>
                <w:rFonts w:asciiTheme="majorBidi" w:eastAsia="SimSun" w:hAnsiTheme="majorBidi" w:cstheme="majorBidi" w:hint="default"/>
                <w:b w:val="0"/>
                <w:bCs w:val="0"/>
              </w:rPr>
              <w:t>CAZ</w:t>
            </w:r>
          </w:p>
        </w:tc>
        <w:tc>
          <w:tcPr>
            <w:tcW w:w="2470" w:type="dxa"/>
          </w:tcPr>
          <w:p w14:paraId="614F800E"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i/>
                <w:iCs/>
                <w:lang w:val="fr-FR"/>
              </w:rPr>
              <w:t>30</w:t>
            </w:r>
          </w:p>
        </w:tc>
        <w:tc>
          <w:tcPr>
            <w:tcW w:w="1120" w:type="dxa"/>
          </w:tcPr>
          <w:p w14:paraId="41F0946B"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hAnsiTheme="majorBidi" w:cstheme="majorBidi" w:hint="default"/>
                <w:i/>
                <w:iCs/>
                <w:lang w:val="fr-FR"/>
              </w:rPr>
              <w:t>+</w:t>
            </w:r>
          </w:p>
        </w:tc>
        <w:tc>
          <w:tcPr>
            <w:tcW w:w="1350" w:type="dxa"/>
          </w:tcPr>
          <w:p w14:paraId="457AA5F6" w14:textId="77777777" w:rsidR="00B611D1" w:rsidRDefault="00B611D1">
            <w:pPr>
              <w:spacing w:after="200" w:line="276" w:lineRule="auto"/>
              <w:jc w:val="center"/>
              <w:rPr>
                <w:rFonts w:asciiTheme="majorBidi" w:eastAsia="TimesNewRomanPS-BoldMT" w:hAnsiTheme="majorBidi" w:cstheme="majorBidi" w:hint="default"/>
                <w:color w:val="000000"/>
                <w:kern w:val="0"/>
                <w:lang w:val="fr-FR" w:eastAsia="zh-CN"/>
              </w:rPr>
            </w:pPr>
          </w:p>
        </w:tc>
      </w:tr>
      <w:tr w:rsidR="00B611D1" w14:paraId="78D5432D" w14:textId="77777777">
        <w:trPr>
          <w:trHeight w:val="531"/>
        </w:trPr>
        <w:tc>
          <w:tcPr>
            <w:tcW w:w="2469" w:type="dxa"/>
          </w:tcPr>
          <w:p w14:paraId="113FACDE" w14:textId="77777777" w:rsidR="00B611D1" w:rsidRDefault="00FB7689">
            <w:pPr>
              <w:spacing w:after="200" w:line="276" w:lineRule="auto"/>
              <w:jc w:val="center"/>
              <w:rPr>
                <w:rFonts w:asciiTheme="majorBidi" w:eastAsiaTheme="minorEastAsia" w:hAnsiTheme="majorBidi" w:cstheme="majorBidi" w:hint="default"/>
                <w:color w:val="000000"/>
                <w:kern w:val="0"/>
                <w:lang w:val="en-US" w:eastAsia="zh-CN"/>
              </w:rPr>
            </w:pPr>
            <w:r>
              <w:rPr>
                <w:rStyle w:val="lev"/>
                <w:rFonts w:asciiTheme="majorBidi" w:eastAsiaTheme="minorEastAsia" w:hAnsiTheme="majorBidi" w:cstheme="majorBidi" w:hint="default"/>
                <w:b w:val="0"/>
                <w:bCs w:val="0"/>
              </w:rPr>
              <w:t>Ticarcilline</w:t>
            </w:r>
          </w:p>
        </w:tc>
        <w:tc>
          <w:tcPr>
            <w:tcW w:w="2469" w:type="dxa"/>
          </w:tcPr>
          <w:p w14:paraId="52D78B20"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Style w:val="lev"/>
                <w:rFonts w:asciiTheme="majorBidi" w:eastAsia="SimSun" w:hAnsiTheme="majorBidi" w:cstheme="majorBidi" w:hint="default"/>
                <w:b w:val="0"/>
                <w:bCs w:val="0"/>
              </w:rPr>
              <w:t>TCC</w:t>
            </w:r>
          </w:p>
        </w:tc>
        <w:tc>
          <w:tcPr>
            <w:tcW w:w="2470" w:type="dxa"/>
          </w:tcPr>
          <w:p w14:paraId="32013998"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i/>
                <w:iCs/>
                <w:lang w:val="fr-FR"/>
              </w:rPr>
              <w:t>85</w:t>
            </w:r>
          </w:p>
        </w:tc>
        <w:tc>
          <w:tcPr>
            <w:tcW w:w="1120" w:type="dxa"/>
          </w:tcPr>
          <w:p w14:paraId="740B566E" w14:textId="77777777" w:rsidR="00B611D1" w:rsidRDefault="00FB7689">
            <w:pPr>
              <w:spacing w:after="200" w:line="276" w:lineRule="auto"/>
              <w:jc w:val="center"/>
              <w:rPr>
                <w:rFonts w:asciiTheme="majorBidi" w:eastAsia="TimesNewRomanPS-BoldMT" w:hAnsiTheme="majorBidi" w:cstheme="majorBidi" w:hint="default"/>
                <w:color w:val="000000"/>
                <w:kern w:val="0"/>
                <w:vertAlign w:val="subscript"/>
                <w:lang w:val="fr-FR" w:eastAsia="zh-CN"/>
              </w:rPr>
            </w:pPr>
            <w:r>
              <w:rPr>
                <w:rFonts w:asciiTheme="majorBidi" w:hAnsiTheme="majorBidi" w:cstheme="majorBidi" w:hint="default"/>
                <w:i/>
                <w:iCs/>
                <w:lang w:val="fr-FR"/>
              </w:rPr>
              <w:t>+</w:t>
            </w:r>
          </w:p>
        </w:tc>
        <w:tc>
          <w:tcPr>
            <w:tcW w:w="1350" w:type="dxa"/>
          </w:tcPr>
          <w:p w14:paraId="71FFAE79"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r w:rsidR="00B611D1" w14:paraId="79EBE346" w14:textId="77777777">
        <w:trPr>
          <w:trHeight w:val="531"/>
        </w:trPr>
        <w:tc>
          <w:tcPr>
            <w:tcW w:w="2469" w:type="dxa"/>
          </w:tcPr>
          <w:p w14:paraId="287F12DB" w14:textId="77777777" w:rsidR="00B611D1" w:rsidRDefault="00FB7689">
            <w:pPr>
              <w:spacing w:after="200" w:line="276" w:lineRule="auto"/>
              <w:jc w:val="center"/>
              <w:rPr>
                <w:rFonts w:asciiTheme="majorBidi" w:eastAsiaTheme="minorEastAsia" w:hAnsiTheme="majorBidi" w:cstheme="majorBidi" w:hint="default"/>
                <w:color w:val="000000"/>
                <w:kern w:val="0"/>
                <w:lang w:val="en-US" w:eastAsia="zh-CN"/>
              </w:rPr>
            </w:pPr>
            <w:r>
              <w:rPr>
                <w:rStyle w:val="lev"/>
                <w:rFonts w:asciiTheme="majorBidi" w:eastAsiaTheme="minorEastAsia" w:hAnsiTheme="majorBidi" w:cstheme="majorBidi" w:hint="default"/>
                <w:b w:val="0"/>
                <w:bCs w:val="0"/>
              </w:rPr>
              <w:t>Ticarcilline</w:t>
            </w:r>
          </w:p>
        </w:tc>
        <w:tc>
          <w:tcPr>
            <w:tcW w:w="2469" w:type="dxa"/>
          </w:tcPr>
          <w:p w14:paraId="2E0318A0"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Style w:val="lev"/>
                <w:rFonts w:asciiTheme="majorBidi" w:eastAsia="SimSun" w:hAnsiTheme="majorBidi" w:cstheme="majorBidi" w:hint="default"/>
                <w:b w:val="0"/>
                <w:bCs w:val="0"/>
              </w:rPr>
              <w:t>TIC</w:t>
            </w:r>
          </w:p>
        </w:tc>
        <w:tc>
          <w:tcPr>
            <w:tcW w:w="2470" w:type="dxa"/>
          </w:tcPr>
          <w:p w14:paraId="47D48D63"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i/>
                <w:iCs/>
                <w:lang w:val="fr-FR"/>
              </w:rPr>
              <w:t>75</w:t>
            </w:r>
          </w:p>
        </w:tc>
        <w:tc>
          <w:tcPr>
            <w:tcW w:w="1120" w:type="dxa"/>
          </w:tcPr>
          <w:p w14:paraId="4040F1F2"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hAnsiTheme="majorBidi" w:cstheme="majorBidi" w:hint="default"/>
                <w:i/>
                <w:iCs/>
                <w:lang w:val="fr-FR"/>
              </w:rPr>
              <w:t>+</w:t>
            </w:r>
          </w:p>
        </w:tc>
        <w:tc>
          <w:tcPr>
            <w:tcW w:w="1350" w:type="dxa"/>
          </w:tcPr>
          <w:p w14:paraId="168EA8BC"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r w:rsidR="00B611D1" w14:paraId="2670300E" w14:textId="77777777">
        <w:trPr>
          <w:trHeight w:val="531"/>
        </w:trPr>
        <w:tc>
          <w:tcPr>
            <w:tcW w:w="2469" w:type="dxa"/>
          </w:tcPr>
          <w:p w14:paraId="697AF05C" w14:textId="77777777" w:rsidR="00B611D1" w:rsidRDefault="00FB7689">
            <w:pPr>
              <w:spacing w:after="200" w:line="276" w:lineRule="auto"/>
              <w:jc w:val="center"/>
              <w:rPr>
                <w:rFonts w:asciiTheme="majorBidi" w:eastAsiaTheme="minorEastAsia" w:hAnsiTheme="majorBidi" w:cstheme="majorBidi" w:hint="default"/>
                <w:color w:val="000000"/>
                <w:kern w:val="0"/>
                <w:lang w:val="en-US" w:eastAsia="zh-CN"/>
              </w:rPr>
            </w:pPr>
            <w:r>
              <w:rPr>
                <w:rStyle w:val="lev"/>
                <w:rFonts w:asciiTheme="majorBidi" w:eastAsiaTheme="minorEastAsia" w:hAnsiTheme="majorBidi" w:cstheme="majorBidi" w:hint="default"/>
                <w:b w:val="0"/>
                <w:bCs w:val="0"/>
              </w:rPr>
              <w:t>Imipénème</w:t>
            </w:r>
          </w:p>
        </w:tc>
        <w:tc>
          <w:tcPr>
            <w:tcW w:w="2469" w:type="dxa"/>
          </w:tcPr>
          <w:p w14:paraId="2C63E40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Style w:val="lev"/>
                <w:rFonts w:asciiTheme="majorBidi" w:eastAsia="SimSun" w:hAnsiTheme="majorBidi" w:cstheme="majorBidi" w:hint="default"/>
                <w:b w:val="0"/>
                <w:bCs w:val="0"/>
              </w:rPr>
              <w:t>IPM</w:t>
            </w:r>
          </w:p>
        </w:tc>
        <w:tc>
          <w:tcPr>
            <w:tcW w:w="2470" w:type="dxa"/>
          </w:tcPr>
          <w:p w14:paraId="0F30660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i/>
                <w:iCs/>
                <w:lang w:val="fr-FR"/>
              </w:rPr>
              <w:t>10</w:t>
            </w:r>
          </w:p>
        </w:tc>
        <w:tc>
          <w:tcPr>
            <w:tcW w:w="1120" w:type="dxa"/>
          </w:tcPr>
          <w:p w14:paraId="4EC78AFD"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c>
          <w:tcPr>
            <w:tcW w:w="1350" w:type="dxa"/>
          </w:tcPr>
          <w:p w14:paraId="582BE154"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hAnsiTheme="majorBidi" w:cstheme="majorBidi" w:hint="default"/>
                <w:i/>
                <w:iCs/>
                <w:lang w:val="fr-FR"/>
              </w:rPr>
              <w:t>+</w:t>
            </w:r>
          </w:p>
        </w:tc>
      </w:tr>
      <w:tr w:rsidR="00B611D1" w14:paraId="74D36BD7" w14:textId="77777777">
        <w:trPr>
          <w:trHeight w:val="541"/>
        </w:trPr>
        <w:tc>
          <w:tcPr>
            <w:tcW w:w="2469" w:type="dxa"/>
          </w:tcPr>
          <w:p w14:paraId="38F04913" w14:textId="77777777" w:rsidR="00B611D1" w:rsidRDefault="00FB7689">
            <w:pPr>
              <w:spacing w:after="200" w:line="276" w:lineRule="auto"/>
              <w:jc w:val="center"/>
              <w:rPr>
                <w:rFonts w:asciiTheme="majorBidi" w:eastAsiaTheme="minorEastAsia" w:hAnsiTheme="majorBidi" w:cstheme="majorBidi" w:hint="default"/>
                <w:color w:val="000000"/>
                <w:kern w:val="0"/>
                <w:lang w:val="en-US" w:eastAsia="zh-CN"/>
              </w:rPr>
            </w:pPr>
            <w:r>
              <w:rPr>
                <w:rStyle w:val="lev"/>
                <w:rFonts w:asciiTheme="majorBidi" w:eastAsiaTheme="minorEastAsia" w:hAnsiTheme="majorBidi" w:cstheme="majorBidi" w:hint="default"/>
                <w:b w:val="0"/>
                <w:bCs w:val="0"/>
              </w:rPr>
              <w:t>Amikacine</w:t>
            </w:r>
          </w:p>
        </w:tc>
        <w:tc>
          <w:tcPr>
            <w:tcW w:w="2469" w:type="dxa"/>
          </w:tcPr>
          <w:p w14:paraId="75303C62"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Style w:val="lev"/>
                <w:rFonts w:asciiTheme="majorBidi" w:eastAsia="SimSun" w:hAnsiTheme="majorBidi" w:cstheme="majorBidi" w:hint="default"/>
                <w:b w:val="0"/>
                <w:bCs w:val="0"/>
              </w:rPr>
              <w:t>AK</w:t>
            </w:r>
          </w:p>
        </w:tc>
        <w:tc>
          <w:tcPr>
            <w:tcW w:w="2470" w:type="dxa"/>
          </w:tcPr>
          <w:p w14:paraId="56897DAD"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i/>
                <w:iCs/>
                <w:lang w:val="fr-FR"/>
              </w:rPr>
              <w:t>30</w:t>
            </w:r>
          </w:p>
        </w:tc>
        <w:tc>
          <w:tcPr>
            <w:tcW w:w="1120" w:type="dxa"/>
          </w:tcPr>
          <w:p w14:paraId="73A73C46" w14:textId="77777777" w:rsidR="00B611D1" w:rsidRDefault="00B611D1">
            <w:pPr>
              <w:spacing w:after="200" w:line="276" w:lineRule="auto"/>
              <w:jc w:val="center"/>
              <w:rPr>
                <w:rFonts w:asciiTheme="majorBidi" w:eastAsia="TimesNewRomanPS-BoldMT" w:hAnsiTheme="majorBidi" w:cstheme="majorBidi" w:hint="default"/>
                <w:color w:val="000000"/>
                <w:kern w:val="0"/>
                <w:lang w:val="fr-FR" w:eastAsia="zh-CN"/>
              </w:rPr>
            </w:pPr>
          </w:p>
        </w:tc>
        <w:tc>
          <w:tcPr>
            <w:tcW w:w="1350" w:type="dxa"/>
          </w:tcPr>
          <w:p w14:paraId="71C02EE1"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i/>
                <w:iCs/>
                <w:lang w:val="fr-FR"/>
              </w:rPr>
              <w:t>+</w:t>
            </w:r>
          </w:p>
        </w:tc>
      </w:tr>
    </w:tbl>
    <w:p w14:paraId="6DDD0BEB" w14:textId="77777777" w:rsidR="00B611D1" w:rsidRDefault="00B611D1">
      <w:pPr>
        <w:spacing w:line="360" w:lineRule="auto"/>
        <w:rPr>
          <w:lang w:eastAsia="zh-CN"/>
        </w:rPr>
      </w:pPr>
    </w:p>
    <w:p w14:paraId="541F171A" w14:textId="77777777" w:rsidR="00B611D1" w:rsidRDefault="00FB7689">
      <w:pPr>
        <w:spacing w:line="360" w:lineRule="auto"/>
      </w:pPr>
      <w:r>
        <w:rPr>
          <w:rFonts w:eastAsia="TimesNewRomanPS-BoldMT"/>
          <w:color w:val="000000"/>
          <w:lang w:eastAsia="zh-CN"/>
        </w:rPr>
        <w:t xml:space="preserve">Antibiotique testés contre </w:t>
      </w:r>
      <w:r>
        <w:rPr>
          <w:i/>
          <w:iCs/>
        </w:rPr>
        <w:t>Staphylococcus aureus</w:t>
      </w:r>
    </w:p>
    <w:tbl>
      <w:tblPr>
        <w:tblStyle w:val="TableGrid1"/>
        <w:tblW w:w="9878" w:type="dxa"/>
        <w:tblLook w:val="04A0" w:firstRow="1" w:lastRow="0" w:firstColumn="1" w:lastColumn="0" w:noHBand="0" w:noVBand="1"/>
      </w:tblPr>
      <w:tblGrid>
        <w:gridCol w:w="2469"/>
        <w:gridCol w:w="2469"/>
        <w:gridCol w:w="2470"/>
        <w:gridCol w:w="1120"/>
        <w:gridCol w:w="1350"/>
      </w:tblGrid>
      <w:tr w:rsidR="00B611D1" w14:paraId="541A81C2" w14:textId="77777777">
        <w:trPr>
          <w:trHeight w:val="373"/>
        </w:trPr>
        <w:tc>
          <w:tcPr>
            <w:tcW w:w="2469" w:type="dxa"/>
            <w:vMerge w:val="restart"/>
            <w:vAlign w:val="center"/>
          </w:tcPr>
          <w:p w14:paraId="47C62D77"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en-US" w:eastAsia="zh-CN"/>
              </w:rPr>
            </w:pPr>
            <w:r>
              <w:rPr>
                <w:rFonts w:asciiTheme="majorBidi" w:eastAsia="Calibri" w:hAnsiTheme="majorBidi" w:cstheme="majorBidi" w:hint="default"/>
                <w:b/>
                <w:bCs/>
                <w:kern w:val="0"/>
                <w:lang w:val="en-US" w:eastAsia="zh-CN" w:bidi="ar"/>
              </w:rPr>
              <w:t>Antibiotique testé</w:t>
            </w:r>
          </w:p>
        </w:tc>
        <w:tc>
          <w:tcPr>
            <w:tcW w:w="2469" w:type="dxa"/>
            <w:vMerge w:val="restart"/>
            <w:vAlign w:val="center"/>
          </w:tcPr>
          <w:p w14:paraId="18CB1316"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eastAsia="zh-CN"/>
              </w:rPr>
            </w:pPr>
            <w:r>
              <w:rPr>
                <w:rFonts w:asciiTheme="majorBidi" w:eastAsia="TimesNewRomanPS-BoldMT" w:hAnsiTheme="majorBidi" w:cstheme="majorBidi" w:hint="default"/>
                <w:b/>
                <w:bCs/>
                <w:color w:val="000000"/>
                <w:kern w:val="0"/>
                <w:lang w:eastAsia="zh-CN"/>
              </w:rPr>
              <w:t>Abréviation</w:t>
            </w:r>
          </w:p>
        </w:tc>
        <w:tc>
          <w:tcPr>
            <w:tcW w:w="2470" w:type="dxa"/>
            <w:vMerge w:val="restart"/>
            <w:vAlign w:val="center"/>
          </w:tcPr>
          <w:p w14:paraId="41A7F933"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en-US" w:eastAsia="zh-CN"/>
              </w:rPr>
            </w:pPr>
            <w:r>
              <w:rPr>
                <w:rFonts w:asciiTheme="majorBidi" w:eastAsia="Calibri" w:hAnsiTheme="majorBidi" w:cstheme="majorBidi" w:hint="default"/>
                <w:b/>
                <w:bCs/>
                <w:kern w:val="0"/>
                <w:lang w:val="en-US" w:eastAsia="zh-CN" w:bidi="ar"/>
              </w:rPr>
              <w:t>Charge des disques</w:t>
            </w:r>
          </w:p>
        </w:tc>
        <w:tc>
          <w:tcPr>
            <w:tcW w:w="2470" w:type="dxa"/>
            <w:gridSpan w:val="2"/>
            <w:vAlign w:val="center"/>
          </w:tcPr>
          <w:p w14:paraId="640FFAEF"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Diamètres (mm)</w:t>
            </w:r>
          </w:p>
        </w:tc>
      </w:tr>
      <w:tr w:rsidR="00B611D1" w14:paraId="55885F59" w14:textId="77777777">
        <w:trPr>
          <w:trHeight w:val="167"/>
        </w:trPr>
        <w:tc>
          <w:tcPr>
            <w:tcW w:w="2469" w:type="dxa"/>
            <w:vMerge/>
          </w:tcPr>
          <w:p w14:paraId="17F0CEA3" w14:textId="77777777" w:rsidR="00B611D1" w:rsidRDefault="00B611D1">
            <w:pPr>
              <w:spacing w:after="200" w:line="276" w:lineRule="auto"/>
              <w:rPr>
                <w:rFonts w:asciiTheme="majorBidi" w:eastAsia="Calibri" w:hAnsiTheme="majorBidi" w:cstheme="majorBidi" w:hint="default"/>
                <w:b/>
                <w:bCs/>
                <w:kern w:val="0"/>
                <w:lang w:val="en-US" w:eastAsia="zh-CN" w:bidi="ar"/>
              </w:rPr>
            </w:pPr>
          </w:p>
        </w:tc>
        <w:tc>
          <w:tcPr>
            <w:tcW w:w="2469" w:type="dxa"/>
            <w:vMerge/>
          </w:tcPr>
          <w:p w14:paraId="0C3410EB" w14:textId="77777777" w:rsidR="00B611D1" w:rsidRDefault="00B611D1">
            <w:pPr>
              <w:spacing w:after="200" w:line="276" w:lineRule="auto"/>
              <w:rPr>
                <w:rFonts w:asciiTheme="majorBidi" w:eastAsia="TimesNewRomanPS-BoldMT" w:hAnsiTheme="majorBidi" w:cstheme="majorBidi" w:hint="default"/>
                <w:b/>
                <w:bCs/>
                <w:color w:val="000000"/>
                <w:kern w:val="0"/>
                <w:lang w:eastAsia="zh-CN"/>
              </w:rPr>
            </w:pPr>
          </w:p>
        </w:tc>
        <w:tc>
          <w:tcPr>
            <w:tcW w:w="2470" w:type="dxa"/>
            <w:vMerge/>
          </w:tcPr>
          <w:p w14:paraId="4479C8B5" w14:textId="77777777" w:rsidR="00B611D1" w:rsidRDefault="00B611D1">
            <w:pPr>
              <w:spacing w:after="200" w:line="276" w:lineRule="auto"/>
              <w:rPr>
                <w:rFonts w:asciiTheme="majorBidi" w:eastAsia="Calibri" w:hAnsiTheme="majorBidi" w:cstheme="majorBidi" w:hint="default"/>
                <w:b/>
                <w:bCs/>
                <w:kern w:val="0"/>
                <w:lang w:val="en-US" w:eastAsia="zh-CN" w:bidi="ar"/>
              </w:rPr>
            </w:pPr>
          </w:p>
        </w:tc>
        <w:tc>
          <w:tcPr>
            <w:tcW w:w="1120" w:type="dxa"/>
            <w:vAlign w:val="center"/>
          </w:tcPr>
          <w:p w14:paraId="0F15B095"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R</w:t>
            </w:r>
          </w:p>
        </w:tc>
        <w:tc>
          <w:tcPr>
            <w:tcW w:w="1350" w:type="dxa"/>
            <w:vAlign w:val="center"/>
          </w:tcPr>
          <w:p w14:paraId="4E23FC06" w14:textId="77777777" w:rsidR="00B611D1" w:rsidRDefault="00FB7689">
            <w:pPr>
              <w:spacing w:after="200" w:line="276" w:lineRule="auto"/>
              <w:jc w:val="center"/>
              <w:rPr>
                <w:rFonts w:asciiTheme="majorBidi" w:eastAsia="TimesNewRomanPS-BoldMT" w:hAnsiTheme="majorBidi" w:cstheme="majorBidi" w:hint="default"/>
                <w:b/>
                <w:bCs/>
                <w:color w:val="000000"/>
                <w:kern w:val="0"/>
                <w:lang w:val="fr-FR" w:eastAsia="zh-CN"/>
              </w:rPr>
            </w:pPr>
            <w:r>
              <w:rPr>
                <w:rFonts w:asciiTheme="majorBidi" w:eastAsia="TimesNewRomanPS-BoldMT" w:hAnsiTheme="majorBidi" w:cstheme="majorBidi" w:hint="default"/>
                <w:b/>
                <w:bCs/>
                <w:color w:val="000000"/>
                <w:kern w:val="0"/>
                <w:lang w:val="fr-FR" w:eastAsia="zh-CN"/>
              </w:rPr>
              <w:t>S</w:t>
            </w:r>
          </w:p>
        </w:tc>
      </w:tr>
      <w:tr w:rsidR="00B611D1" w14:paraId="4CB57CDC" w14:textId="77777777">
        <w:trPr>
          <w:trHeight w:val="565"/>
        </w:trPr>
        <w:tc>
          <w:tcPr>
            <w:tcW w:w="2469" w:type="dxa"/>
          </w:tcPr>
          <w:p w14:paraId="6BBECC1F"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Oxacilline</w:t>
            </w:r>
          </w:p>
        </w:tc>
        <w:tc>
          <w:tcPr>
            <w:tcW w:w="2469" w:type="dxa"/>
          </w:tcPr>
          <w:p w14:paraId="11A9A598"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OX</w:t>
            </w:r>
          </w:p>
        </w:tc>
        <w:tc>
          <w:tcPr>
            <w:tcW w:w="2470" w:type="dxa"/>
          </w:tcPr>
          <w:p w14:paraId="34427416"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5</w:t>
            </w:r>
          </w:p>
        </w:tc>
        <w:tc>
          <w:tcPr>
            <w:tcW w:w="1120" w:type="dxa"/>
          </w:tcPr>
          <w:p w14:paraId="746C4ED9"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hAnsiTheme="majorBidi" w:cstheme="majorBidi" w:hint="default"/>
              </w:rPr>
              <w:t>+</w:t>
            </w:r>
          </w:p>
        </w:tc>
        <w:tc>
          <w:tcPr>
            <w:tcW w:w="1350" w:type="dxa"/>
          </w:tcPr>
          <w:p w14:paraId="7A19D962"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r w:rsidR="00B611D1" w14:paraId="1E4912E6" w14:textId="77777777">
        <w:trPr>
          <w:trHeight w:val="531"/>
        </w:trPr>
        <w:tc>
          <w:tcPr>
            <w:tcW w:w="2469" w:type="dxa"/>
          </w:tcPr>
          <w:p w14:paraId="6983F24A"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Piperacilline-Tazobactam</w:t>
            </w:r>
          </w:p>
        </w:tc>
        <w:tc>
          <w:tcPr>
            <w:tcW w:w="2469" w:type="dxa"/>
          </w:tcPr>
          <w:p w14:paraId="05F2F015"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PT</w:t>
            </w:r>
          </w:p>
        </w:tc>
        <w:tc>
          <w:tcPr>
            <w:tcW w:w="2470" w:type="dxa"/>
          </w:tcPr>
          <w:p w14:paraId="53F0F805"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15</w:t>
            </w:r>
          </w:p>
        </w:tc>
        <w:tc>
          <w:tcPr>
            <w:tcW w:w="1120" w:type="dxa"/>
          </w:tcPr>
          <w:p w14:paraId="5E67BFF7"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hAnsiTheme="majorBidi" w:cstheme="majorBidi" w:hint="default"/>
              </w:rPr>
              <w:t>+</w:t>
            </w:r>
          </w:p>
        </w:tc>
        <w:tc>
          <w:tcPr>
            <w:tcW w:w="1350" w:type="dxa"/>
          </w:tcPr>
          <w:p w14:paraId="4D3C5300" w14:textId="77777777" w:rsidR="00B611D1" w:rsidRDefault="00B611D1">
            <w:pPr>
              <w:spacing w:after="200" w:line="276" w:lineRule="auto"/>
              <w:jc w:val="center"/>
              <w:rPr>
                <w:rFonts w:asciiTheme="majorBidi" w:eastAsia="TimesNewRomanPS-BoldMT" w:hAnsiTheme="majorBidi" w:cstheme="majorBidi" w:hint="default"/>
                <w:color w:val="000000"/>
                <w:kern w:val="0"/>
                <w:lang w:val="fr-FR" w:eastAsia="zh-CN"/>
              </w:rPr>
            </w:pPr>
          </w:p>
        </w:tc>
      </w:tr>
      <w:tr w:rsidR="00B611D1" w14:paraId="1A7752E0" w14:textId="77777777">
        <w:trPr>
          <w:trHeight w:val="531"/>
        </w:trPr>
        <w:tc>
          <w:tcPr>
            <w:tcW w:w="2469" w:type="dxa"/>
          </w:tcPr>
          <w:p w14:paraId="7466CA9B"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Cefoxitine</w:t>
            </w:r>
          </w:p>
        </w:tc>
        <w:tc>
          <w:tcPr>
            <w:tcW w:w="2469" w:type="dxa"/>
          </w:tcPr>
          <w:p w14:paraId="2677A056"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FOX</w:t>
            </w:r>
          </w:p>
        </w:tc>
        <w:tc>
          <w:tcPr>
            <w:tcW w:w="2470" w:type="dxa"/>
          </w:tcPr>
          <w:p w14:paraId="564EB8D1"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30</w:t>
            </w:r>
          </w:p>
        </w:tc>
        <w:tc>
          <w:tcPr>
            <w:tcW w:w="1120" w:type="dxa"/>
          </w:tcPr>
          <w:p w14:paraId="2514FEE5" w14:textId="77777777" w:rsidR="00B611D1" w:rsidRDefault="00FB7689">
            <w:pPr>
              <w:spacing w:after="200" w:line="276" w:lineRule="auto"/>
              <w:jc w:val="center"/>
              <w:rPr>
                <w:rFonts w:asciiTheme="majorBidi" w:eastAsia="TimesNewRomanPS-BoldMT" w:hAnsiTheme="majorBidi" w:cstheme="majorBidi" w:hint="default"/>
                <w:color w:val="000000"/>
                <w:kern w:val="0"/>
                <w:vertAlign w:val="subscript"/>
                <w:lang w:val="fr-FR" w:eastAsia="zh-CN"/>
              </w:rPr>
            </w:pPr>
            <w:r>
              <w:rPr>
                <w:rFonts w:asciiTheme="majorBidi" w:hAnsiTheme="majorBidi" w:cstheme="majorBidi" w:hint="default"/>
              </w:rPr>
              <w:t>+</w:t>
            </w:r>
          </w:p>
        </w:tc>
        <w:tc>
          <w:tcPr>
            <w:tcW w:w="1350" w:type="dxa"/>
          </w:tcPr>
          <w:p w14:paraId="31837048"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r w:rsidR="00B611D1" w14:paraId="5D95CA3C" w14:textId="77777777">
        <w:trPr>
          <w:trHeight w:val="531"/>
        </w:trPr>
        <w:tc>
          <w:tcPr>
            <w:tcW w:w="2469" w:type="dxa"/>
          </w:tcPr>
          <w:p w14:paraId="6EB3113F"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Gentamicine</w:t>
            </w:r>
          </w:p>
        </w:tc>
        <w:tc>
          <w:tcPr>
            <w:tcW w:w="2469" w:type="dxa"/>
          </w:tcPr>
          <w:p w14:paraId="66A98EBA"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CN</w:t>
            </w:r>
          </w:p>
        </w:tc>
        <w:tc>
          <w:tcPr>
            <w:tcW w:w="2470" w:type="dxa"/>
          </w:tcPr>
          <w:p w14:paraId="11D564B1"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10</w:t>
            </w:r>
          </w:p>
        </w:tc>
        <w:tc>
          <w:tcPr>
            <w:tcW w:w="1120" w:type="dxa"/>
          </w:tcPr>
          <w:p w14:paraId="42849C17" w14:textId="77777777" w:rsidR="00B611D1" w:rsidRDefault="00B611D1">
            <w:pPr>
              <w:spacing w:after="200" w:line="276" w:lineRule="auto"/>
              <w:jc w:val="center"/>
              <w:rPr>
                <w:rFonts w:asciiTheme="majorBidi" w:eastAsia="TimesNewRomanPS-BoldMT" w:hAnsiTheme="majorBidi" w:cstheme="majorBidi" w:hint="default"/>
                <w:color w:val="000000"/>
                <w:kern w:val="0"/>
                <w:lang w:val="fr-FR" w:eastAsia="zh-CN"/>
              </w:rPr>
            </w:pPr>
          </w:p>
        </w:tc>
        <w:tc>
          <w:tcPr>
            <w:tcW w:w="1350" w:type="dxa"/>
          </w:tcPr>
          <w:p w14:paraId="7464E443"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w:t>
            </w:r>
          </w:p>
        </w:tc>
      </w:tr>
      <w:tr w:rsidR="00B611D1" w14:paraId="19CCB3DB" w14:textId="77777777">
        <w:trPr>
          <w:trHeight w:val="531"/>
        </w:trPr>
        <w:tc>
          <w:tcPr>
            <w:tcW w:w="2469" w:type="dxa"/>
          </w:tcPr>
          <w:p w14:paraId="567C4F37"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Amikacine</w:t>
            </w:r>
          </w:p>
        </w:tc>
        <w:tc>
          <w:tcPr>
            <w:tcW w:w="2469" w:type="dxa"/>
          </w:tcPr>
          <w:p w14:paraId="79F7CEA3"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AK</w:t>
            </w:r>
          </w:p>
        </w:tc>
        <w:tc>
          <w:tcPr>
            <w:tcW w:w="2470" w:type="dxa"/>
          </w:tcPr>
          <w:p w14:paraId="32BF455E"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30</w:t>
            </w:r>
          </w:p>
        </w:tc>
        <w:tc>
          <w:tcPr>
            <w:tcW w:w="1120" w:type="dxa"/>
          </w:tcPr>
          <w:p w14:paraId="6ED4EE41"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c>
          <w:tcPr>
            <w:tcW w:w="1350" w:type="dxa"/>
          </w:tcPr>
          <w:p w14:paraId="79C51BE9"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hAnsiTheme="majorBidi" w:cstheme="majorBidi" w:hint="default"/>
              </w:rPr>
              <w:t>+</w:t>
            </w:r>
          </w:p>
        </w:tc>
      </w:tr>
      <w:tr w:rsidR="00B611D1" w14:paraId="5378B510" w14:textId="77777777">
        <w:trPr>
          <w:trHeight w:val="541"/>
        </w:trPr>
        <w:tc>
          <w:tcPr>
            <w:tcW w:w="2469" w:type="dxa"/>
          </w:tcPr>
          <w:p w14:paraId="5D1C95EC"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Pénicilline</w:t>
            </w:r>
          </w:p>
        </w:tc>
        <w:tc>
          <w:tcPr>
            <w:tcW w:w="2469" w:type="dxa"/>
          </w:tcPr>
          <w:p w14:paraId="2CB075DF" w14:textId="77777777" w:rsidR="00B611D1" w:rsidRDefault="00FB7689">
            <w:pPr>
              <w:spacing w:after="200" w:line="276" w:lineRule="auto"/>
              <w:jc w:val="center"/>
              <w:rPr>
                <w:rFonts w:asciiTheme="majorBidi" w:eastAsia="TimesNewRomanPS-BoldMT" w:hAnsiTheme="majorBidi" w:cstheme="majorBidi" w:hint="default"/>
                <w:color w:val="000000"/>
                <w:kern w:val="0"/>
                <w:lang w:val="en-US" w:eastAsia="zh-CN"/>
              </w:rPr>
            </w:pPr>
            <w:r>
              <w:rPr>
                <w:rFonts w:asciiTheme="majorBidi" w:hAnsiTheme="majorBidi" w:cstheme="majorBidi" w:hint="default"/>
              </w:rPr>
              <w:t>PEN</w:t>
            </w:r>
          </w:p>
        </w:tc>
        <w:tc>
          <w:tcPr>
            <w:tcW w:w="2470" w:type="dxa"/>
            <w:vAlign w:val="center"/>
          </w:tcPr>
          <w:p w14:paraId="08A6BE83"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c>
          <w:tcPr>
            <w:tcW w:w="1120" w:type="dxa"/>
          </w:tcPr>
          <w:p w14:paraId="7FE75A8A" w14:textId="77777777" w:rsidR="00B611D1" w:rsidRDefault="00FB7689">
            <w:pPr>
              <w:spacing w:after="200" w:line="276" w:lineRule="auto"/>
              <w:jc w:val="center"/>
              <w:rPr>
                <w:rFonts w:asciiTheme="majorBidi" w:eastAsia="TimesNewRomanPS-BoldMT" w:hAnsiTheme="majorBidi" w:cstheme="majorBidi" w:hint="default"/>
                <w:color w:val="000000"/>
                <w:kern w:val="0"/>
                <w:lang w:val="fr-FR" w:eastAsia="zh-CN"/>
              </w:rPr>
            </w:pPr>
            <w:r>
              <w:rPr>
                <w:rFonts w:asciiTheme="majorBidi" w:hAnsiTheme="majorBidi" w:cstheme="majorBidi" w:hint="default"/>
              </w:rPr>
              <w:t>+</w:t>
            </w:r>
          </w:p>
        </w:tc>
        <w:tc>
          <w:tcPr>
            <w:tcW w:w="1350" w:type="dxa"/>
          </w:tcPr>
          <w:p w14:paraId="69894DC0" w14:textId="77777777" w:rsidR="00B611D1" w:rsidRDefault="00B611D1">
            <w:pPr>
              <w:spacing w:after="200" w:line="276" w:lineRule="auto"/>
              <w:jc w:val="center"/>
              <w:rPr>
                <w:rFonts w:asciiTheme="majorBidi" w:eastAsia="TimesNewRomanPS-BoldMT" w:hAnsiTheme="majorBidi" w:cstheme="majorBidi" w:hint="default"/>
                <w:color w:val="000000"/>
                <w:kern w:val="0"/>
                <w:lang w:val="en-US" w:eastAsia="zh-CN"/>
              </w:rPr>
            </w:pPr>
          </w:p>
        </w:tc>
      </w:tr>
    </w:tbl>
    <w:p w14:paraId="58C6F962" w14:textId="77777777" w:rsidR="00B611D1" w:rsidRDefault="00B611D1"/>
    <w:p w14:paraId="645A04E2" w14:textId="77777777" w:rsidR="00B611D1" w:rsidRDefault="00B611D1"/>
    <w:p w14:paraId="6C7A3B99" w14:textId="77777777" w:rsidR="00B611D1" w:rsidRDefault="00B611D1"/>
    <w:p w14:paraId="284D5332" w14:textId="77777777" w:rsidR="00B611D1" w:rsidRDefault="00B611D1"/>
    <w:p w14:paraId="397D6D52" w14:textId="77777777" w:rsidR="00B611D1" w:rsidRDefault="00B611D1"/>
    <w:p w14:paraId="1BD7B98F" w14:textId="77777777" w:rsidR="00B611D1" w:rsidRDefault="00B611D1"/>
    <w:sectPr w:rsidR="00B611D1">
      <w:headerReference w:type="default" r:id="rId195"/>
      <w:footerReference w:type="default" r:id="rId196"/>
      <w:pgSz w:w="11910" w:h="17340"/>
      <w:pgMar w:top="1180" w:right="720" w:bottom="1220" w:left="1080" w:header="725" w:footer="1037" w:gutter="0"/>
      <w:pgNumType w:start="6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12E45A" w14:textId="77777777" w:rsidR="00CD2B93" w:rsidRDefault="00CD2B93">
      <w:r>
        <w:separator/>
      </w:r>
    </w:p>
  </w:endnote>
  <w:endnote w:type="continuationSeparator" w:id="0">
    <w:p w14:paraId="6F123F3F" w14:textId="77777777" w:rsidR="00CD2B93" w:rsidRDefault="00CD2B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Bell MT">
    <w:panose1 w:val="02020503060305020303"/>
    <w:charset w:val="00"/>
    <w:family w:val="roman"/>
    <w:pitch w:val="variable"/>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Calisto MT">
    <w:panose1 w:val="02040603050505030304"/>
    <w:charset w:val="00"/>
    <w:family w:val="roman"/>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imesNewRomanPS-BoldMT">
    <w:altName w:val="Segoe Print"/>
    <w:charset w:val="00"/>
    <w:family w:val="auto"/>
    <w:pitch w:val="default"/>
  </w:font>
  <w:font w:name="Georgia">
    <w:panose1 w:val="02040502050405020303"/>
    <w:charset w:val="00"/>
    <w:family w:val="roman"/>
    <w:pitch w:val="variable"/>
    <w:sig w:usb0="00000287" w:usb1="00000000" w:usb2="00000000" w:usb3="00000000" w:csb0="0000009F" w:csb1="00000000"/>
  </w:font>
  <w:font w:name="serif">
    <w:altName w:val="Segoe Print"/>
    <w:charset w:val="00"/>
    <w:family w:val="auto"/>
    <w:pitch w:val="default"/>
  </w:font>
  <w:font w:name="TimesNewRomanPS-ItalicMT">
    <w:altName w:val="Segoe Print"/>
    <w:charset w:val="00"/>
    <w:family w:val="auto"/>
    <w:pitch w:val="default"/>
  </w:font>
  <w:font w:name="sans-serif">
    <w:altName w:val="Segoe Print"/>
    <w:charset w:val="00"/>
    <w:family w:val="auto"/>
    <w:pitch w:val="default"/>
  </w:font>
  <w:font w:name="TimesNewRomanPS-BoldItalicMT">
    <w:altName w:val="Segoe Print"/>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945111019"/>
    </w:sdtPr>
    <w:sdtEndPr>
      <w:rPr>
        <w:rStyle w:val="Numrodepage"/>
      </w:rPr>
    </w:sdtEndPr>
    <w:sdtContent>
      <w:p w14:paraId="3A75C283" w14:textId="77777777" w:rsidR="00B611D1" w:rsidRDefault="00FB7689">
        <w:pPr>
          <w:pStyle w:val="Pieddepage"/>
          <w:framePr w:wrap="auto"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rPr>
          <w:t>2</w:t>
        </w:r>
        <w:r>
          <w:rPr>
            <w:rStyle w:val="Numrodepage"/>
          </w:rPr>
          <w:fldChar w:fldCharType="end"/>
        </w:r>
      </w:p>
    </w:sdtContent>
  </w:sdt>
  <w:p w14:paraId="52B3ECE3" w14:textId="77777777" w:rsidR="00B611D1" w:rsidRDefault="00B611D1">
    <w:pPr>
      <w:pStyle w:val="Pieddepage"/>
      <w:ind w:right="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B9273" w14:textId="77777777" w:rsidR="00B611D1" w:rsidRDefault="00B611D1">
    <w:pPr>
      <w:pStyle w:val="Corpsdetexte"/>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774733" w14:textId="77777777" w:rsidR="00B611D1" w:rsidRDefault="00B611D1">
    <w:pPr>
      <w:pStyle w:val="Corpsdetexte"/>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059396572"/>
    </w:sdtPr>
    <w:sdtEndPr>
      <w:rPr>
        <w:rStyle w:val="Numrodepage"/>
      </w:rPr>
    </w:sdtEndPr>
    <w:sdtContent>
      <w:p w14:paraId="06EE3577" w14:textId="77777777" w:rsidR="00B611D1" w:rsidRDefault="00FB7689">
        <w:pPr>
          <w:pStyle w:val="Pieddepage"/>
          <w:framePr w:wrap="auto" w:vAnchor="text" w:hAnchor="page" w:x="10081" w:y="-2"/>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rPr>
          <w:t>1</w:t>
        </w:r>
        <w:r>
          <w:rPr>
            <w:rStyle w:val="Numrodepage"/>
          </w:rPr>
          <w:fldChar w:fldCharType="end"/>
        </w:r>
      </w:p>
    </w:sdtContent>
  </w:sdt>
  <w:p w14:paraId="7B85BCE4" w14:textId="77777777" w:rsidR="00B611D1" w:rsidRDefault="00B611D1">
    <w:pPr>
      <w:pStyle w:val="Corpsdetexte"/>
      <w:spacing w:line="14" w:lineRule="auto"/>
      <w:ind w:right="360"/>
      <w:rPr>
        <w:sz w:val="20"/>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402803464"/>
    </w:sdtPr>
    <w:sdtEndPr>
      <w:rPr>
        <w:rStyle w:val="Numrodepage"/>
      </w:rPr>
    </w:sdtEndPr>
    <w:sdtContent>
      <w:p w14:paraId="56AC5C69" w14:textId="77777777" w:rsidR="00B611D1" w:rsidRDefault="00FB7689">
        <w:pPr>
          <w:pStyle w:val="Pieddepage"/>
          <w:framePr w:wrap="auto"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rPr>
          <w:t>4</w:t>
        </w:r>
        <w:r>
          <w:rPr>
            <w:rStyle w:val="Numrodepage"/>
          </w:rPr>
          <w:fldChar w:fldCharType="end"/>
        </w:r>
      </w:p>
    </w:sdtContent>
  </w:sdt>
  <w:p w14:paraId="2D61FC84" w14:textId="77777777" w:rsidR="00B611D1" w:rsidRDefault="00B611D1">
    <w:pPr>
      <w:pStyle w:val="Corpsdetexte"/>
      <w:spacing w:line="14" w:lineRule="auto"/>
      <w:ind w:right="360"/>
      <w:rPr>
        <w:sz w:val="20"/>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809380979"/>
    </w:sdtPr>
    <w:sdtEndPr>
      <w:rPr>
        <w:rStyle w:val="Numrodepage"/>
      </w:rPr>
    </w:sdtEndPr>
    <w:sdtContent>
      <w:p w14:paraId="15C6E780" w14:textId="77777777" w:rsidR="00B611D1" w:rsidRDefault="00FB7689">
        <w:pPr>
          <w:pStyle w:val="Pieddepage"/>
          <w:framePr w:wrap="auto"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rPr>
          <w:t>31</w:t>
        </w:r>
        <w:r>
          <w:rPr>
            <w:rStyle w:val="Numrodepage"/>
          </w:rPr>
          <w:fldChar w:fldCharType="end"/>
        </w:r>
      </w:p>
    </w:sdtContent>
  </w:sdt>
  <w:p w14:paraId="0AABC723" w14:textId="77777777" w:rsidR="00B611D1" w:rsidRDefault="00B611D1">
    <w:pPr>
      <w:pStyle w:val="Corpsdetexte"/>
      <w:spacing w:line="14" w:lineRule="auto"/>
      <w:ind w:right="360"/>
      <w:rPr>
        <w:sz w:val="20"/>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809130936"/>
    </w:sdtPr>
    <w:sdtEndPr>
      <w:rPr>
        <w:rStyle w:val="Numrodepage"/>
      </w:rPr>
    </w:sdtEndPr>
    <w:sdtContent>
      <w:p w14:paraId="72EAE69F" w14:textId="77777777" w:rsidR="00B611D1" w:rsidRDefault="00FB7689">
        <w:pPr>
          <w:pStyle w:val="Pieddepage"/>
          <w:framePr w:wrap="auto"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rPr>
          <w:t>62</w:t>
        </w:r>
        <w:r>
          <w:rPr>
            <w:rStyle w:val="Numrodepage"/>
          </w:rPr>
          <w:fldChar w:fldCharType="end"/>
        </w:r>
      </w:p>
    </w:sdtContent>
  </w:sdt>
  <w:p w14:paraId="389E4CC3" w14:textId="77777777" w:rsidR="00B611D1" w:rsidRDefault="00B611D1">
    <w:pPr>
      <w:pStyle w:val="Corpsdetexte"/>
      <w:spacing w:line="14" w:lineRule="auto"/>
      <w:ind w:right="360"/>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094EB5" w14:textId="77777777" w:rsidR="00B611D1" w:rsidRDefault="00B611D1">
    <w:pPr>
      <w:pStyle w:val="Pieddepage"/>
      <w:tabs>
        <w:tab w:val="clear" w:pos="4536"/>
        <w:tab w:val="clear" w:pos="9072"/>
        <w:tab w:val="left" w:pos="5228"/>
      </w:tabs>
      <w:jc w:val="center"/>
      <w:rPr>
        <w:rFonts w:ascii="Times New Roman" w:hAnsi="Times New Roman" w:cs="Times New Roman"/>
        <w:b/>
        <w:bCs/>
        <w:lang w:val="fr-FR"/>
      </w:rPr>
    </w:pPr>
    <w:bookmarkStart w:id="2" w:name="_Hlk166882163"/>
    <w:bookmarkStart w:id="3" w:name="_Hlk166882162"/>
  </w:p>
  <w:p w14:paraId="051D3FA3" w14:textId="77777777" w:rsidR="00B611D1" w:rsidRDefault="00B611D1">
    <w:pPr>
      <w:pStyle w:val="Pieddepage"/>
      <w:tabs>
        <w:tab w:val="clear" w:pos="4536"/>
        <w:tab w:val="clear" w:pos="9072"/>
        <w:tab w:val="left" w:pos="5228"/>
      </w:tabs>
      <w:jc w:val="center"/>
      <w:rPr>
        <w:rFonts w:ascii="Times New Roman" w:hAnsi="Times New Roman" w:cs="Times New Roman"/>
        <w:b/>
        <w:bCs/>
        <w:lang w:val="fr-FR"/>
      </w:rPr>
    </w:pPr>
  </w:p>
  <w:bookmarkEnd w:id="2"/>
  <w:bookmarkEnd w:id="3"/>
  <w:p w14:paraId="4E1F0770" w14:textId="77777777" w:rsidR="00B611D1" w:rsidRDefault="00B611D1">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2C99A8" w14:textId="77777777" w:rsidR="00B611D1" w:rsidRDefault="00B611D1">
    <w:pPr>
      <w:pStyle w:val="Corpsdetexte"/>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5750A2" w14:textId="77777777" w:rsidR="00B611D1" w:rsidRDefault="00B611D1">
    <w:pPr>
      <w:pStyle w:val="Corpsdetexte"/>
      <w:spacing w:line="14" w:lineRule="auto"/>
      <w:rPr>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EE0BB2" w14:textId="77777777" w:rsidR="00B611D1" w:rsidRDefault="00B611D1">
    <w:pPr>
      <w:pStyle w:val="Corpsdetexte"/>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362537" w14:textId="77777777" w:rsidR="00B611D1" w:rsidRDefault="00B611D1">
    <w:pPr>
      <w:pStyle w:val="Corpsdetexte"/>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1E8D9F" w14:textId="77777777" w:rsidR="00B611D1" w:rsidRDefault="00B611D1">
    <w:pPr>
      <w:pStyle w:val="Corpsdetexte"/>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9D574" w14:textId="77777777" w:rsidR="00B611D1" w:rsidRDefault="00B611D1">
    <w:pPr>
      <w:pStyle w:val="Corpsdetexte"/>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552CB8" w14:textId="77777777" w:rsidR="00B611D1" w:rsidRDefault="00B611D1">
    <w:pPr>
      <w:pStyle w:val="Corpsdetex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9516B6" w14:textId="77777777" w:rsidR="00CD2B93" w:rsidRDefault="00CD2B93">
      <w:r>
        <w:separator/>
      </w:r>
    </w:p>
  </w:footnote>
  <w:footnote w:type="continuationSeparator" w:id="0">
    <w:p w14:paraId="1C29607A" w14:textId="77777777" w:rsidR="00CD2B93" w:rsidRDefault="00CD2B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2445FB" w14:textId="77777777" w:rsidR="00B611D1" w:rsidRDefault="00B611D1">
    <w:pPr>
      <w:pStyle w:val="Corpsdetexte"/>
      <w:spacing w:line="14" w:lineRule="auto"/>
      <w:rPr>
        <w:sz w:val="2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E40245" w14:textId="77777777" w:rsidR="00B611D1" w:rsidRDefault="00B611D1">
    <w:pPr>
      <w:pStyle w:val="Corpsdetexte"/>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642E92" w14:textId="77777777" w:rsidR="00B611D1" w:rsidRDefault="00FB7689">
    <w:pPr>
      <w:pStyle w:val="Corpsdetexte"/>
      <w:spacing w:line="14" w:lineRule="auto"/>
      <w:rPr>
        <w:sz w:val="20"/>
      </w:rPr>
    </w:pPr>
    <w:r>
      <w:rPr>
        <w:noProof/>
      </w:rPr>
      <mc:AlternateContent>
        <mc:Choice Requires="wps">
          <w:drawing>
            <wp:anchor distT="0" distB="0" distL="114300" distR="114300" simplePos="0" relativeHeight="251666432" behindDoc="1" locked="0" layoutInCell="1" allowOverlap="1" wp14:anchorId="5B06740A" wp14:editId="219E94ED">
              <wp:simplePos x="0" y="0"/>
              <wp:positionH relativeFrom="page">
                <wp:posOffset>697230</wp:posOffset>
              </wp:positionH>
              <wp:positionV relativeFrom="page">
                <wp:posOffset>685165</wp:posOffset>
              </wp:positionV>
              <wp:extent cx="5976620" cy="27305"/>
              <wp:effectExtent l="0" t="0" r="5080" b="0"/>
              <wp:wrapNone/>
              <wp:docPr id="207" name="Rectangle 102"/>
              <wp:cNvGraphicFramePr/>
              <a:graphic xmlns:a="http://schemas.openxmlformats.org/drawingml/2006/main">
                <a:graphicData uri="http://schemas.microsoft.com/office/word/2010/wordprocessingShape">
                  <wps:wsp>
                    <wps:cNvSpPr/>
                    <wps:spPr bwMode="auto">
                      <a:xfrm>
                        <a:off x="0" y="0"/>
                        <a:ext cx="5976620" cy="27305"/>
                      </a:xfrm>
                      <a:prstGeom prst="rect">
                        <a:avLst/>
                      </a:prstGeom>
                      <a:solidFill>
                        <a:srgbClr val="5F4879"/>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rect id="Rectangle 102" o:spid="_x0000_s1026" o:spt="1" style="position:absolute;left:0pt;margin-left:54.9pt;margin-top:53.95pt;height:2.15pt;width:470.6pt;mso-position-horizontal-relative:page;mso-position-vertical-relative:page;z-index:-251650048;mso-width-relative:page;mso-height-relative:page;" fillcolor="#5F4879" filled="t" stroked="f" coordsize="21600,21600" o:gfxdata="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DsVRoHWAAAADAEAAA8AAAAAAAAAAQAgAAAAIgAAAGRycy9kb3ducmV2Lnht&#10;bFBLAQIUABQAAAAIAIdO4kDGTM5d+wEAAPwDAAAOAAAAAAAAAAEAIAAAACUBAABkcnMvZTJvRG9j&#10;LnhtbFBLBQYAAAAABgAGAFkBAACSBQAAAAA=&#10;">
              <v:fill on="t" focussize="0,0"/>
              <v:stroke on="f"/>
              <v:imagedata o:title=""/>
              <o:lock v:ext="edit" aspectratio="f"/>
            </v:rect>
          </w:pict>
        </mc:Fallback>
      </mc:AlternateContent>
    </w:r>
    <w:r>
      <w:rPr>
        <w:noProof/>
      </w:rPr>
      <mc:AlternateContent>
        <mc:Choice Requires="wps">
          <w:drawing>
            <wp:anchor distT="0" distB="0" distL="114300" distR="114300" simplePos="0" relativeHeight="251665408" behindDoc="1" locked="0" layoutInCell="1" allowOverlap="1" wp14:anchorId="5BC41426" wp14:editId="0C45DDA9">
              <wp:simplePos x="0" y="0"/>
              <wp:positionH relativeFrom="page">
                <wp:posOffset>701675</wp:posOffset>
              </wp:positionH>
              <wp:positionV relativeFrom="page">
                <wp:posOffset>389255</wp:posOffset>
              </wp:positionV>
              <wp:extent cx="1323340" cy="325755"/>
              <wp:effectExtent l="0" t="0" r="10160" b="4445"/>
              <wp:wrapNone/>
              <wp:docPr id="208" name="Text Box 103"/>
              <wp:cNvGraphicFramePr/>
              <a:graphic xmlns:a="http://schemas.openxmlformats.org/drawingml/2006/main">
                <a:graphicData uri="http://schemas.microsoft.com/office/word/2010/wordprocessingShape">
                  <wps:wsp>
                    <wps:cNvSpPr txBox="1"/>
                    <wps:spPr bwMode="auto">
                      <a:xfrm>
                        <a:off x="0" y="0"/>
                        <a:ext cx="1323340" cy="325755"/>
                      </a:xfrm>
                      <a:prstGeom prst="rect">
                        <a:avLst/>
                      </a:prstGeom>
                      <a:noFill/>
                      <a:ln>
                        <a:noFill/>
                      </a:ln>
                    </wps:spPr>
                    <wps:txbx>
                      <w:txbxContent>
                        <w:p w14:paraId="08455E73" w14:textId="77777777" w:rsidR="00B611D1" w:rsidRDefault="00FB7689">
                          <w:pPr>
                            <w:spacing w:before="9"/>
                            <w:ind w:left="20"/>
                            <w:rPr>
                              <w:b/>
                              <w:bCs/>
                              <w:sz w:val="32"/>
                              <w:szCs w:val="32"/>
                            </w:rPr>
                          </w:pPr>
                          <w:r>
                            <w:rPr>
                              <w:b/>
                              <w:bCs/>
                              <w:sz w:val="32"/>
                              <w:szCs w:val="32"/>
                            </w:rPr>
                            <w:t>Introduction</w:t>
                          </w: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type w14:anchorId="5BC41426" id="_x0000_t202" coordsize="21600,21600" o:spt="202" path="m,l,21600r21600,l21600,xe">
              <v:stroke joinstyle="miter"/>
              <v:path gradientshapeok="t" o:connecttype="rect"/>
            </v:shapetype>
            <v:shape id="Text Box 103" o:spid="_x0000_s1034" type="#_x0000_t202" style="position:absolute;margin-left:55.25pt;margin-top:30.65pt;width:104.2pt;height:25.65pt;z-index:-25165107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" filled="f" stroked="f">
              <v:textbox inset="0,0,0,0">
                <w:txbxContent>
                  <w:p w14:paraId="08455E73" w14:textId="77777777" w:rsidR="00B611D1" w:rsidRDefault="00000000">
                    <w:pPr>
                      <w:spacing w:before="9"/>
                      <w:ind w:left="20"/>
                      <w:rPr>
                        <w:b/>
                        <w:bCs/>
                        <w:sz w:val="32"/>
                        <w:szCs w:val="32"/>
                      </w:rPr>
                    </w:pPr>
                    <w:r>
                      <w:rPr>
                        <w:b/>
                        <w:bCs/>
                        <w:sz w:val="32"/>
                        <w:szCs w:val="32"/>
                      </w:rPr>
                      <w:t>Introduction</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CCD1C1" w14:textId="77777777" w:rsidR="00B611D1" w:rsidRDefault="00FB7689">
    <w:pPr>
      <w:pStyle w:val="Corpsdetexte"/>
      <w:spacing w:line="14" w:lineRule="auto"/>
      <w:rPr>
        <w:sz w:val="20"/>
      </w:rPr>
    </w:pPr>
    <w:r>
      <w:rPr>
        <w:noProof/>
      </w:rPr>
      <mc:AlternateContent>
        <mc:Choice Requires="wps">
          <w:drawing>
            <wp:anchor distT="0" distB="0" distL="114300" distR="114300" simplePos="0" relativeHeight="251667456" behindDoc="1" locked="0" layoutInCell="1" allowOverlap="1" wp14:anchorId="6F55466D" wp14:editId="357BBFFB">
              <wp:simplePos x="0" y="0"/>
              <wp:positionH relativeFrom="page">
                <wp:posOffset>890270</wp:posOffset>
              </wp:positionH>
              <wp:positionV relativeFrom="page">
                <wp:posOffset>348615</wp:posOffset>
              </wp:positionV>
              <wp:extent cx="3091815" cy="312420"/>
              <wp:effectExtent l="0" t="0" r="6985" b="5080"/>
              <wp:wrapNone/>
              <wp:docPr id="203" name="Text Box 98"/>
              <wp:cNvGraphicFramePr/>
              <a:graphic xmlns:a="http://schemas.openxmlformats.org/drawingml/2006/main">
                <a:graphicData uri="http://schemas.microsoft.com/office/word/2010/wordprocessingShape">
                  <wps:wsp>
                    <wps:cNvSpPr txBox="1"/>
                    <wps:spPr bwMode="auto">
                      <a:xfrm>
                        <a:off x="0" y="0"/>
                        <a:ext cx="3091815" cy="312420"/>
                      </a:xfrm>
                      <a:prstGeom prst="rect">
                        <a:avLst/>
                      </a:prstGeom>
                      <a:noFill/>
                      <a:ln>
                        <a:noFill/>
                      </a:ln>
                    </wps:spPr>
                    <wps:txbx>
                      <w:txbxContent>
                        <w:p w14:paraId="3C7E3999" w14:textId="77777777" w:rsidR="00B611D1" w:rsidRDefault="00FB7689">
                          <w:pPr>
                            <w:pStyle w:val="Corpsdetexte"/>
                            <w:spacing w:before="10"/>
                            <w:ind w:left="20"/>
                            <w:rPr>
                              <w:b/>
                              <w:bCs/>
                              <w:sz w:val="32"/>
                              <w:szCs w:val="32"/>
                            </w:rPr>
                          </w:pPr>
                          <w:r>
                            <w:rPr>
                              <w:b/>
                              <w:bCs/>
                              <w:sz w:val="32"/>
                              <w:szCs w:val="32"/>
                            </w:rPr>
                            <w:t>Partie</w:t>
                          </w:r>
                          <w:r>
                            <w:rPr>
                              <w:b/>
                              <w:bCs/>
                              <w:spacing w:val="-2"/>
                              <w:sz w:val="32"/>
                              <w:szCs w:val="32"/>
                            </w:rPr>
                            <w:t xml:space="preserve"> </w:t>
                          </w:r>
                          <w:r>
                            <w:rPr>
                              <w:b/>
                              <w:bCs/>
                              <w:sz w:val="32"/>
                              <w:szCs w:val="32"/>
                            </w:rPr>
                            <w:t>1.</w:t>
                          </w:r>
                          <w:r>
                            <w:rPr>
                              <w:b/>
                              <w:bCs/>
                              <w:spacing w:val="-1"/>
                              <w:sz w:val="32"/>
                              <w:szCs w:val="32"/>
                            </w:rPr>
                            <w:t xml:space="preserve"> </w:t>
                          </w:r>
                          <w:r>
                            <w:rPr>
                              <w:b/>
                              <w:bCs/>
                              <w:sz w:val="32"/>
                              <w:szCs w:val="32"/>
                            </w:rPr>
                            <w:t>Revue</w:t>
                          </w:r>
                          <w:r>
                            <w:rPr>
                              <w:b/>
                              <w:bCs/>
                              <w:spacing w:val="-1"/>
                              <w:sz w:val="32"/>
                              <w:szCs w:val="32"/>
                            </w:rPr>
                            <w:t xml:space="preserve"> </w:t>
                          </w:r>
                          <w:r>
                            <w:rPr>
                              <w:b/>
                              <w:bCs/>
                              <w:sz w:val="32"/>
                              <w:szCs w:val="32"/>
                            </w:rPr>
                            <w:t>de</w:t>
                          </w:r>
                          <w:r>
                            <w:rPr>
                              <w:b/>
                              <w:bCs/>
                              <w:spacing w:val="-2"/>
                              <w:sz w:val="32"/>
                              <w:szCs w:val="32"/>
                            </w:rPr>
                            <w:t xml:space="preserve"> </w:t>
                          </w:r>
                          <w:r>
                            <w:rPr>
                              <w:b/>
                              <w:bCs/>
                              <w:sz w:val="32"/>
                              <w:szCs w:val="32"/>
                            </w:rPr>
                            <w:t>la littérature</w:t>
                          </w: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type w14:anchorId="6F55466D" id="_x0000_t202" coordsize="21600,21600" o:spt="202" path="m,l,21600r21600,l21600,xe">
              <v:stroke joinstyle="miter"/>
              <v:path gradientshapeok="t" o:connecttype="rect"/>
            </v:shapetype>
            <v:shape id="Text Box 98" o:spid="_x0000_s1035" type="#_x0000_t202" style="position:absolute;margin-left:70.1pt;margin-top:27.45pt;width:243.45pt;height:24.6pt;z-index:-25164902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" filled="f" stroked="f">
              <v:textbox inset="0,0,0,0">
                <w:txbxContent>
                  <w:p w14:paraId="3C7E3999" w14:textId="77777777" w:rsidR="00B611D1" w:rsidRDefault="00000000">
                    <w:pPr>
                      <w:pStyle w:val="Corpsdetexte"/>
                      <w:spacing w:before="10"/>
                      <w:ind w:left="20"/>
                      <w:rPr>
                        <w:b/>
                        <w:bCs/>
                        <w:sz w:val="32"/>
                        <w:szCs w:val="32"/>
                      </w:rPr>
                    </w:pPr>
                    <w:r>
                      <w:rPr>
                        <w:b/>
                        <w:bCs/>
                        <w:sz w:val="32"/>
                        <w:szCs w:val="32"/>
                      </w:rPr>
                      <w:t>Partie</w:t>
                    </w:r>
                    <w:r>
                      <w:rPr>
                        <w:b/>
                        <w:bCs/>
                        <w:spacing w:val="-2"/>
                        <w:sz w:val="32"/>
                        <w:szCs w:val="32"/>
                      </w:rPr>
                      <w:t xml:space="preserve"> </w:t>
                    </w:r>
                    <w:r>
                      <w:rPr>
                        <w:b/>
                        <w:bCs/>
                        <w:sz w:val="32"/>
                        <w:szCs w:val="32"/>
                      </w:rPr>
                      <w:t>1.</w:t>
                    </w:r>
                    <w:r>
                      <w:rPr>
                        <w:b/>
                        <w:bCs/>
                        <w:spacing w:val="-1"/>
                        <w:sz w:val="32"/>
                        <w:szCs w:val="32"/>
                      </w:rPr>
                      <w:t xml:space="preserve"> </w:t>
                    </w:r>
                    <w:r>
                      <w:rPr>
                        <w:b/>
                        <w:bCs/>
                        <w:sz w:val="32"/>
                        <w:szCs w:val="32"/>
                      </w:rPr>
                      <w:t>Revue</w:t>
                    </w:r>
                    <w:r>
                      <w:rPr>
                        <w:b/>
                        <w:bCs/>
                        <w:spacing w:val="-1"/>
                        <w:sz w:val="32"/>
                        <w:szCs w:val="32"/>
                      </w:rPr>
                      <w:t xml:space="preserve"> </w:t>
                    </w:r>
                    <w:r>
                      <w:rPr>
                        <w:b/>
                        <w:bCs/>
                        <w:sz w:val="32"/>
                        <w:szCs w:val="32"/>
                      </w:rPr>
                      <w:t>de</w:t>
                    </w:r>
                    <w:r>
                      <w:rPr>
                        <w:b/>
                        <w:bCs/>
                        <w:spacing w:val="-2"/>
                        <w:sz w:val="32"/>
                        <w:szCs w:val="32"/>
                      </w:rPr>
                      <w:t xml:space="preserve"> </w:t>
                    </w:r>
                    <w:r>
                      <w:rPr>
                        <w:b/>
                        <w:bCs/>
                        <w:sz w:val="32"/>
                        <w:szCs w:val="32"/>
                      </w:rPr>
                      <w:t>la littérature</w:t>
                    </w:r>
                  </w:p>
                </w:txbxContent>
              </v:textbox>
              <w10:wrap anchorx="page" anchory="page"/>
            </v:shape>
          </w:pict>
        </mc:Fallback>
      </mc:AlternateContent>
    </w:r>
    <w:r>
      <w:rPr>
        <w:noProof/>
      </w:rPr>
      <mc:AlternateContent>
        <mc:Choice Requires="wps">
          <w:drawing>
            <wp:anchor distT="0" distB="0" distL="114300" distR="114300" simplePos="0" relativeHeight="251668480" behindDoc="1" locked="0" layoutInCell="1" allowOverlap="1" wp14:anchorId="6780C7BD" wp14:editId="527B8968">
              <wp:simplePos x="0" y="0"/>
              <wp:positionH relativeFrom="page">
                <wp:posOffset>881380</wp:posOffset>
              </wp:positionH>
              <wp:positionV relativeFrom="page">
                <wp:posOffset>626110</wp:posOffset>
              </wp:positionV>
              <wp:extent cx="5798185" cy="27305"/>
              <wp:effectExtent l="0" t="0" r="5715" b="0"/>
              <wp:wrapNone/>
              <wp:docPr id="202" name="Rectangle 97"/>
              <wp:cNvGraphicFramePr/>
              <a:graphic xmlns:a="http://schemas.openxmlformats.org/drawingml/2006/main">
                <a:graphicData uri="http://schemas.microsoft.com/office/word/2010/wordprocessingShape">
                  <wps:wsp>
                    <wps:cNvSpPr/>
                    <wps:spPr bwMode="auto">
                      <a:xfrm>
                        <a:off x="0" y="0"/>
                        <a:ext cx="5798185" cy="27305"/>
                      </a:xfrm>
                      <a:prstGeom prst="rect">
                        <a:avLst/>
                      </a:prstGeom>
                      <a:solidFill>
                        <a:srgbClr val="5F4879"/>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rect id="Rectangle 97" o:spid="_x0000_s1026" o:spt="1" style="position:absolute;left:0pt;margin-left:69.4pt;margin-top:49.3pt;height:2.15pt;width:456.55pt;mso-position-horizontal-relative:page;mso-position-vertical-relative:page;z-index:-251648000;mso-width-relative:page;mso-height-relative:page;" fillcolor="#5F4879" filled="t" stroked="f" coordsize="21600,21600" o:gfxdata="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BMpX7rXAAAACwEAAA8AAAAAAAAAAQAgAAAAIgAAAGRycy9kb3ducmV2Lnht&#10;bFBLAQIUABQAAAAIAIdO4kD0ADcl+gEAAPsDAAAOAAAAAAAAAAEAIAAAACYBAABkcnMvZTJvRG9j&#10;LnhtbFBLBQYAAAAABgAGAFkBAACSBQAAAAA=&#10;">
              <v:fill on="t" focussize="0,0"/>
              <v:stroke on="f"/>
              <v:imagedata o:title=""/>
              <o:lock v:ext="edit" aspectratio="f"/>
            </v:rect>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2EF5B7" w14:textId="77777777" w:rsidR="00B611D1" w:rsidRDefault="00FB7689">
    <w:pPr>
      <w:pStyle w:val="Corpsdetexte"/>
      <w:spacing w:line="14" w:lineRule="auto"/>
      <w:rPr>
        <w:sz w:val="20"/>
      </w:rPr>
    </w:pPr>
    <w:r>
      <w:rPr>
        <w:noProof/>
      </w:rPr>
      <mc:AlternateContent>
        <mc:Choice Requires="wps">
          <w:drawing>
            <wp:anchor distT="0" distB="0" distL="114300" distR="114300" simplePos="0" relativeHeight="251670528" behindDoc="1" locked="0" layoutInCell="1" allowOverlap="1" wp14:anchorId="68533C43" wp14:editId="5C3BBC3E">
              <wp:simplePos x="0" y="0"/>
              <wp:positionH relativeFrom="page">
                <wp:posOffset>733425</wp:posOffset>
              </wp:positionH>
              <wp:positionV relativeFrom="page">
                <wp:posOffset>324485</wp:posOffset>
              </wp:positionV>
              <wp:extent cx="3982720" cy="431800"/>
              <wp:effectExtent l="0" t="0" r="5715" b="635"/>
              <wp:wrapNone/>
              <wp:docPr id="193" name="Text Box 88"/>
              <wp:cNvGraphicFramePr/>
              <a:graphic xmlns:a="http://schemas.openxmlformats.org/drawingml/2006/main">
                <a:graphicData uri="http://schemas.microsoft.com/office/word/2010/wordprocessingShape">
                  <wps:wsp>
                    <wps:cNvSpPr txBox="1"/>
                    <wps:spPr bwMode="auto">
                      <a:xfrm>
                        <a:off x="0" y="0"/>
                        <a:ext cx="3982453" cy="431551"/>
                      </a:xfrm>
                      <a:prstGeom prst="rect">
                        <a:avLst/>
                      </a:prstGeom>
                      <a:noFill/>
                      <a:ln>
                        <a:noFill/>
                      </a:ln>
                    </wps:spPr>
                    <wps:txbx>
                      <w:txbxContent>
                        <w:p w14:paraId="7B3DDF44" w14:textId="77777777" w:rsidR="00B611D1" w:rsidRDefault="00FB7689">
                          <w:pPr>
                            <w:pStyle w:val="Corpsdetexte"/>
                            <w:spacing w:before="10"/>
                            <w:ind w:left="20"/>
                            <w:rPr>
                              <w:b/>
                              <w:bCs/>
                              <w:sz w:val="32"/>
                              <w:szCs w:val="32"/>
                            </w:rPr>
                          </w:pPr>
                          <w:r>
                            <w:rPr>
                              <w:b/>
                              <w:bCs/>
                              <w:sz w:val="32"/>
                              <w:szCs w:val="32"/>
                            </w:rPr>
                            <w:t>Partie</w:t>
                          </w:r>
                          <w:r>
                            <w:rPr>
                              <w:b/>
                              <w:bCs/>
                              <w:spacing w:val="-2"/>
                              <w:sz w:val="32"/>
                              <w:szCs w:val="32"/>
                            </w:rPr>
                            <w:t xml:space="preserve"> </w:t>
                          </w:r>
                          <w:r>
                            <w:rPr>
                              <w:b/>
                              <w:bCs/>
                              <w:sz w:val="32"/>
                              <w:szCs w:val="32"/>
                            </w:rPr>
                            <w:t>2. Étude expérimentale</w:t>
                          </w:r>
                        </w:p>
                        <w:p w14:paraId="0FAB3D33" w14:textId="77777777" w:rsidR="00B611D1" w:rsidRDefault="00B611D1">
                          <w:pPr>
                            <w:pStyle w:val="Corpsdetexte"/>
                            <w:spacing w:before="10"/>
                            <w:ind w:left="20"/>
                            <w:rPr>
                              <w:b/>
                              <w:bCs/>
                              <w:sz w:val="32"/>
                              <w:szCs w:val="32"/>
                            </w:rPr>
                          </w:pP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type w14:anchorId="68533C43" id="_x0000_t202" coordsize="21600,21600" o:spt="202" path="m,l,21600r21600,l21600,xe">
              <v:stroke joinstyle="miter"/>
              <v:path gradientshapeok="t" o:connecttype="rect"/>
            </v:shapetype>
            <v:shape id="Text Box 88" o:spid="_x0000_s1036" type="#_x0000_t202" style="position:absolute;margin-left:57.75pt;margin-top:25.55pt;width:313.6pt;height:34pt;z-index:-25164595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" filled="f" stroked="f">
              <v:textbox inset="0,0,0,0">
                <w:txbxContent>
                  <w:p w14:paraId="7B3DDF44" w14:textId="77777777" w:rsidR="00B611D1" w:rsidRDefault="00000000">
                    <w:pPr>
                      <w:pStyle w:val="Corpsdetexte"/>
                      <w:spacing w:before="10"/>
                      <w:ind w:left="20"/>
                      <w:rPr>
                        <w:b/>
                        <w:bCs/>
                        <w:sz w:val="32"/>
                        <w:szCs w:val="32"/>
                      </w:rPr>
                    </w:pPr>
                    <w:r>
                      <w:rPr>
                        <w:b/>
                        <w:bCs/>
                        <w:sz w:val="32"/>
                        <w:szCs w:val="32"/>
                      </w:rPr>
                      <w:t>Partie</w:t>
                    </w:r>
                    <w:r>
                      <w:rPr>
                        <w:b/>
                        <w:bCs/>
                        <w:spacing w:val="-2"/>
                        <w:sz w:val="32"/>
                        <w:szCs w:val="32"/>
                      </w:rPr>
                      <w:t xml:space="preserve"> </w:t>
                    </w:r>
                    <w:r>
                      <w:rPr>
                        <w:b/>
                        <w:bCs/>
                        <w:sz w:val="32"/>
                        <w:szCs w:val="32"/>
                      </w:rPr>
                      <w:t>2. Étude expérimentale</w:t>
                    </w:r>
                  </w:p>
                  <w:p w14:paraId="0FAB3D33" w14:textId="77777777" w:rsidR="00B611D1" w:rsidRDefault="00B611D1">
                    <w:pPr>
                      <w:pStyle w:val="Corpsdetexte"/>
                      <w:spacing w:before="10"/>
                      <w:ind w:left="20"/>
                      <w:rPr>
                        <w:b/>
                        <w:bCs/>
                        <w:sz w:val="32"/>
                        <w:szCs w:val="32"/>
                      </w:rPr>
                    </w:pPr>
                  </w:p>
                </w:txbxContent>
              </v:textbox>
              <w10:wrap anchorx="page" anchory="page"/>
            </v:shape>
          </w:pict>
        </mc:Fallback>
      </mc:AlternateContent>
    </w:r>
    <w:r>
      <w:rPr>
        <w:noProof/>
      </w:rPr>
      <mc:AlternateContent>
        <mc:Choice Requires="wps">
          <w:drawing>
            <wp:anchor distT="0" distB="0" distL="114300" distR="114300" simplePos="0" relativeHeight="251671552" behindDoc="1" locked="0" layoutInCell="1" allowOverlap="1" wp14:anchorId="7AB1718F" wp14:editId="045E6F64">
              <wp:simplePos x="0" y="0"/>
              <wp:positionH relativeFrom="page">
                <wp:posOffset>736600</wp:posOffset>
              </wp:positionH>
              <wp:positionV relativeFrom="page">
                <wp:posOffset>633730</wp:posOffset>
              </wp:positionV>
              <wp:extent cx="6310630" cy="27305"/>
              <wp:effectExtent l="0" t="0" r="1270" b="0"/>
              <wp:wrapNone/>
              <wp:docPr id="194" name="Rectangle 89"/>
              <wp:cNvGraphicFramePr/>
              <a:graphic xmlns:a="http://schemas.openxmlformats.org/drawingml/2006/main">
                <a:graphicData uri="http://schemas.microsoft.com/office/word/2010/wordprocessingShape">
                  <wps:wsp>
                    <wps:cNvSpPr/>
                    <wps:spPr bwMode="auto">
                      <a:xfrm>
                        <a:off x="0" y="0"/>
                        <a:ext cx="6310630" cy="27305"/>
                      </a:xfrm>
                      <a:prstGeom prst="rect">
                        <a:avLst/>
                      </a:prstGeom>
                      <a:solidFill>
                        <a:srgbClr val="5F4879"/>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rect id="Rectangle 89" o:spid="_x0000_s1026" o:spt="1" style="position:absolute;left:0pt;margin-left:58pt;margin-top:49.9pt;height:2.15pt;width:496.9pt;mso-position-horizontal-relative:page;mso-position-vertical-relative:page;z-index:-251644928;mso-width-relative:page;mso-height-relative:page;" fillcolor="#5F4879" filled="t" stroked="f" coordsize="21600,21600" o:gfxdata="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44QIW9UAAAALAQAADwAAAAAAAAABACAAAAAiAAAAZHJzL2Rvd25yZXYueG1s&#10;UEsBAhQAFAAAAAgAh07iQPZKAlb7AQAA+wMAAA4AAAAAAAAAAQAgAAAAJAEAAGRycy9lMm9Eb2Mu&#10;eG1sUEsFBgAAAAAGAAYAWQEAAJEFAAAAAA==&#10;">
              <v:fill on="t" focussize="0,0"/>
              <v:stroke on="f"/>
              <v:imagedata o:title=""/>
              <o:lock v:ext="edit" aspectratio="f"/>
            </v:rect>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1ECBB1" w14:textId="77777777" w:rsidR="00B611D1" w:rsidRDefault="00FB7689">
    <w:pPr>
      <w:pStyle w:val="Corpsdetexte"/>
      <w:spacing w:line="14" w:lineRule="auto"/>
      <w:rPr>
        <w:sz w:val="20"/>
      </w:rPr>
    </w:pPr>
    <w:r>
      <w:rPr>
        <w:noProof/>
      </w:rPr>
      <mc:AlternateContent>
        <mc:Choice Requires="wps">
          <w:drawing>
            <wp:anchor distT="0" distB="0" distL="114300" distR="114300" simplePos="0" relativeHeight="251674624" behindDoc="1" locked="0" layoutInCell="1" allowOverlap="1" wp14:anchorId="35E40D4B" wp14:editId="08DED868">
              <wp:simplePos x="0" y="0"/>
              <wp:positionH relativeFrom="page">
                <wp:posOffset>733425</wp:posOffset>
              </wp:positionH>
              <wp:positionV relativeFrom="page">
                <wp:posOffset>324485</wp:posOffset>
              </wp:positionV>
              <wp:extent cx="3982720" cy="431800"/>
              <wp:effectExtent l="0" t="0" r="5715" b="635"/>
              <wp:wrapNone/>
              <wp:docPr id="1450841342" name="Text Box 88"/>
              <wp:cNvGraphicFramePr/>
              <a:graphic xmlns:a="http://schemas.openxmlformats.org/drawingml/2006/main">
                <a:graphicData uri="http://schemas.microsoft.com/office/word/2010/wordprocessingShape">
                  <wps:wsp>
                    <wps:cNvSpPr txBox="1"/>
                    <wps:spPr bwMode="auto">
                      <a:xfrm>
                        <a:off x="0" y="0"/>
                        <a:ext cx="3982453" cy="431551"/>
                      </a:xfrm>
                      <a:prstGeom prst="rect">
                        <a:avLst/>
                      </a:prstGeom>
                      <a:noFill/>
                      <a:ln>
                        <a:noFill/>
                      </a:ln>
                    </wps:spPr>
                    <wps:txbx>
                      <w:txbxContent>
                        <w:p w14:paraId="34C8C058" w14:textId="77777777" w:rsidR="00B611D1" w:rsidRDefault="00FB7689">
                          <w:pPr>
                            <w:pStyle w:val="Titre1"/>
                            <w:ind w:left="0"/>
                            <w:rPr>
                              <w:sz w:val="28"/>
                              <w:szCs w:val="28"/>
                              <w:lang w:val="fr-FR" w:eastAsia="zh-CN"/>
                            </w:rPr>
                          </w:pPr>
                          <w:r>
                            <w:rPr>
                              <w:sz w:val="28"/>
                              <w:szCs w:val="28"/>
                              <w:lang w:val="fr-FR"/>
                            </w:rPr>
                            <w:t>Conclusion</w:t>
                          </w:r>
                        </w:p>
                        <w:p w14:paraId="1487C22B" w14:textId="77777777" w:rsidR="00B611D1" w:rsidRDefault="00B611D1">
                          <w:pPr>
                            <w:pStyle w:val="Corpsdetexte"/>
                            <w:spacing w:before="10"/>
                            <w:ind w:left="20"/>
                            <w:rPr>
                              <w:b/>
                              <w:bCs/>
                              <w:sz w:val="32"/>
                              <w:szCs w:val="32"/>
                            </w:rPr>
                          </w:pP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type w14:anchorId="35E40D4B" id="_x0000_t202" coordsize="21600,21600" o:spt="202" path="m,l,21600r21600,l21600,xe">
              <v:stroke joinstyle="miter"/>
              <v:path gradientshapeok="t" o:connecttype="rect"/>
            </v:shapetype>
            <v:shape id="_x0000_s1037" type="#_x0000_t202" style="position:absolute;margin-left:57.75pt;margin-top:25.55pt;width:313.6pt;height:34pt;z-index:-25164185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" filled="f" stroked="f">
              <v:textbox inset="0,0,0,0">
                <w:txbxContent>
                  <w:p w14:paraId="34C8C058" w14:textId="77777777" w:rsidR="00B611D1" w:rsidRDefault="00000000">
                    <w:pPr>
                      <w:pStyle w:val="Titre1"/>
                      <w:ind w:left="0"/>
                      <w:rPr>
                        <w:sz w:val="28"/>
                        <w:szCs w:val="28"/>
                        <w:lang w:val="fr-FR" w:eastAsia="zh-CN"/>
                      </w:rPr>
                    </w:pPr>
                    <w:r>
                      <w:rPr>
                        <w:sz w:val="28"/>
                        <w:szCs w:val="28"/>
                        <w:lang w:val="fr-FR"/>
                      </w:rPr>
                      <w:t>Conclusion</w:t>
                    </w:r>
                  </w:p>
                  <w:p w14:paraId="1487C22B" w14:textId="77777777" w:rsidR="00B611D1" w:rsidRDefault="00B611D1">
                    <w:pPr>
                      <w:pStyle w:val="Corpsdetexte"/>
                      <w:spacing w:before="10"/>
                      <w:ind w:left="20"/>
                      <w:rPr>
                        <w:b/>
                        <w:bCs/>
                        <w:sz w:val="32"/>
                        <w:szCs w:val="32"/>
                      </w:rPr>
                    </w:pPr>
                  </w:p>
                </w:txbxContent>
              </v:textbox>
              <w10:wrap anchorx="page" anchory="page"/>
            </v:shape>
          </w:pict>
        </mc:Fallback>
      </mc:AlternateContent>
    </w:r>
    <w:r>
      <w:rPr>
        <w:noProof/>
      </w:rPr>
      <mc:AlternateContent>
        <mc:Choice Requires="wps">
          <w:drawing>
            <wp:anchor distT="0" distB="0" distL="114300" distR="114300" simplePos="0" relativeHeight="251675648" behindDoc="1" locked="0" layoutInCell="1" allowOverlap="1" wp14:anchorId="6820BF4F" wp14:editId="4B581603">
              <wp:simplePos x="0" y="0"/>
              <wp:positionH relativeFrom="page">
                <wp:posOffset>736600</wp:posOffset>
              </wp:positionH>
              <wp:positionV relativeFrom="page">
                <wp:posOffset>633730</wp:posOffset>
              </wp:positionV>
              <wp:extent cx="6310630" cy="27305"/>
              <wp:effectExtent l="0" t="0" r="1270" b="0"/>
              <wp:wrapNone/>
              <wp:docPr id="473417976" name="Rectangle 89"/>
              <wp:cNvGraphicFramePr/>
              <a:graphic xmlns:a="http://schemas.openxmlformats.org/drawingml/2006/main">
                <a:graphicData uri="http://schemas.microsoft.com/office/word/2010/wordprocessingShape">
                  <wps:wsp>
                    <wps:cNvSpPr/>
                    <wps:spPr bwMode="auto">
                      <a:xfrm>
                        <a:off x="0" y="0"/>
                        <a:ext cx="6310630" cy="27305"/>
                      </a:xfrm>
                      <a:prstGeom prst="rect">
                        <a:avLst/>
                      </a:prstGeom>
                      <a:solidFill>
                        <a:srgbClr val="5F4879"/>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rect id="Rectangle 89" o:spid="_x0000_s1026" o:spt="1" style="position:absolute;left:0pt;margin-left:58pt;margin-top:49.9pt;height:2.15pt;width:496.9pt;mso-position-horizontal-relative:page;mso-position-vertical-relative:page;z-index:-251640832;mso-width-relative:page;mso-height-relative:page;" fillcolor="#5F4879" filled="t" stroked="f" coordsize="21600,21600" o:gfxdata="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OOECFvVAAAACwEAAA8AAAAAAAAAAQAgAAAAIgAAAGRycy9kb3du&#10;cmV2LnhtbFBLAQIUABQAAAAIAIdO4kAFJ8B0AgIAAAEEAAAOAAAAAAAAAAEAIAAAACQBAABkcnMv&#10;ZTJvRG9jLnhtbFBLBQYAAAAABgAGAFkBAACYBQAAAAA=&#10;">
              <v:fill on="t" focussize="0,0"/>
              <v:stroke on="f"/>
              <v:imagedata o:title=""/>
              <o:lock v:ext="edit" aspectratio="f"/>
            </v:rect>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507DE3" w14:textId="77777777" w:rsidR="00B611D1" w:rsidRDefault="00FB7689">
    <w:pPr>
      <w:pStyle w:val="Corpsdetexte"/>
      <w:spacing w:line="14" w:lineRule="auto"/>
      <w:rPr>
        <w:sz w:val="20"/>
      </w:rPr>
    </w:pPr>
    <w:r>
      <w:rPr>
        <w:noProof/>
      </w:rPr>
      <mc:AlternateContent>
        <mc:Choice Requires="wps">
          <w:drawing>
            <wp:anchor distT="0" distB="0" distL="114300" distR="114300" simplePos="0" relativeHeight="251676672" behindDoc="1" locked="0" layoutInCell="1" allowOverlap="1" wp14:anchorId="0D51428A" wp14:editId="01726C9F">
              <wp:simplePos x="0" y="0"/>
              <wp:positionH relativeFrom="page">
                <wp:posOffset>733425</wp:posOffset>
              </wp:positionH>
              <wp:positionV relativeFrom="page">
                <wp:posOffset>324485</wp:posOffset>
              </wp:positionV>
              <wp:extent cx="3982720" cy="431800"/>
              <wp:effectExtent l="0" t="0" r="5715" b="635"/>
              <wp:wrapNone/>
              <wp:docPr id="56407009" name="Text Box 88"/>
              <wp:cNvGraphicFramePr/>
              <a:graphic xmlns:a="http://schemas.openxmlformats.org/drawingml/2006/main">
                <a:graphicData uri="http://schemas.microsoft.com/office/word/2010/wordprocessingShape">
                  <wps:wsp>
                    <wps:cNvSpPr txBox="1"/>
                    <wps:spPr bwMode="auto">
                      <a:xfrm>
                        <a:off x="0" y="0"/>
                        <a:ext cx="3982453" cy="431551"/>
                      </a:xfrm>
                      <a:prstGeom prst="rect">
                        <a:avLst/>
                      </a:prstGeom>
                      <a:noFill/>
                      <a:ln>
                        <a:noFill/>
                      </a:ln>
                    </wps:spPr>
                    <wps:txbx>
                      <w:txbxContent>
                        <w:p w14:paraId="60D2A28D" w14:textId="77777777" w:rsidR="00B611D1" w:rsidRDefault="00FB7689">
                          <w:pPr>
                            <w:pStyle w:val="Titre1"/>
                            <w:ind w:left="0"/>
                            <w:rPr>
                              <w:sz w:val="28"/>
                              <w:szCs w:val="28"/>
                              <w:lang w:val="fr-FR"/>
                            </w:rPr>
                          </w:pPr>
                          <w:r>
                            <w:rPr>
                              <w:sz w:val="28"/>
                              <w:szCs w:val="28"/>
                              <w:lang w:val="fr-FR"/>
                            </w:rPr>
                            <w:t>Références</w:t>
                          </w:r>
                          <w:r>
                            <w:rPr>
                              <w:spacing w:val="-6"/>
                              <w:sz w:val="28"/>
                              <w:szCs w:val="28"/>
                              <w:lang w:val="fr-FR"/>
                            </w:rPr>
                            <w:t xml:space="preserve"> </w:t>
                          </w:r>
                          <w:r>
                            <w:rPr>
                              <w:sz w:val="28"/>
                              <w:szCs w:val="28"/>
                              <w:lang w:val="fr-FR"/>
                            </w:rPr>
                            <w:t>Bibliographiques</w:t>
                          </w:r>
                        </w:p>
                        <w:p w14:paraId="0BB2EFF7" w14:textId="77777777" w:rsidR="00B611D1" w:rsidRDefault="00B611D1">
                          <w:pPr>
                            <w:pStyle w:val="Corpsdetexte"/>
                            <w:spacing w:before="10"/>
                            <w:ind w:left="20"/>
                            <w:rPr>
                              <w:b/>
                              <w:bCs/>
                              <w:sz w:val="32"/>
                              <w:szCs w:val="32"/>
                            </w:rPr>
                          </w:pP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type w14:anchorId="0D51428A" id="_x0000_t202" coordsize="21600,21600" o:spt="202" path="m,l,21600r21600,l21600,xe">
              <v:stroke joinstyle="miter"/>
              <v:path gradientshapeok="t" o:connecttype="rect"/>
            </v:shapetype>
            <v:shape id="_x0000_s1038" type="#_x0000_t202" style="position:absolute;margin-left:57.75pt;margin-top:25.55pt;width:313.6pt;height:34pt;z-index:-25163980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" filled="f" stroked="f">
              <v:textbox inset="0,0,0,0">
                <w:txbxContent>
                  <w:p w14:paraId="60D2A28D" w14:textId="77777777" w:rsidR="00B611D1" w:rsidRDefault="00000000">
                    <w:pPr>
                      <w:pStyle w:val="Titre1"/>
                      <w:ind w:left="0"/>
                      <w:rPr>
                        <w:sz w:val="28"/>
                        <w:szCs w:val="28"/>
                        <w:lang w:val="fr-FR"/>
                      </w:rPr>
                    </w:pPr>
                    <w:r>
                      <w:rPr>
                        <w:sz w:val="28"/>
                        <w:szCs w:val="28"/>
                        <w:lang w:val="fr-FR"/>
                      </w:rPr>
                      <w:t>Références</w:t>
                    </w:r>
                    <w:r>
                      <w:rPr>
                        <w:spacing w:val="-6"/>
                        <w:sz w:val="28"/>
                        <w:szCs w:val="28"/>
                        <w:lang w:val="fr-FR"/>
                      </w:rPr>
                      <w:t xml:space="preserve"> </w:t>
                    </w:r>
                    <w:r>
                      <w:rPr>
                        <w:sz w:val="28"/>
                        <w:szCs w:val="28"/>
                        <w:lang w:val="fr-FR"/>
                      </w:rPr>
                      <w:t>Bibliographiques</w:t>
                    </w:r>
                  </w:p>
                  <w:p w14:paraId="0BB2EFF7" w14:textId="77777777" w:rsidR="00B611D1" w:rsidRDefault="00B611D1">
                    <w:pPr>
                      <w:pStyle w:val="Corpsdetexte"/>
                      <w:spacing w:before="10"/>
                      <w:ind w:left="20"/>
                      <w:rPr>
                        <w:b/>
                        <w:bCs/>
                        <w:sz w:val="32"/>
                        <w:szCs w:val="32"/>
                      </w:rPr>
                    </w:pPr>
                  </w:p>
                </w:txbxContent>
              </v:textbox>
              <w10:wrap anchorx="page" anchory="page"/>
            </v:shape>
          </w:pict>
        </mc:Fallback>
      </mc:AlternateContent>
    </w:r>
    <w:r>
      <w:rPr>
        <w:noProof/>
      </w:rPr>
      <mc:AlternateContent>
        <mc:Choice Requires="wps">
          <w:drawing>
            <wp:anchor distT="0" distB="0" distL="114300" distR="114300" simplePos="0" relativeHeight="251677696" behindDoc="1" locked="0" layoutInCell="1" allowOverlap="1" wp14:anchorId="1DBDC3FD" wp14:editId="14148B8B">
              <wp:simplePos x="0" y="0"/>
              <wp:positionH relativeFrom="page">
                <wp:posOffset>736600</wp:posOffset>
              </wp:positionH>
              <wp:positionV relativeFrom="page">
                <wp:posOffset>633730</wp:posOffset>
              </wp:positionV>
              <wp:extent cx="6310630" cy="27305"/>
              <wp:effectExtent l="0" t="0" r="1270" b="0"/>
              <wp:wrapNone/>
              <wp:docPr id="1085430004" name="Rectangle 89"/>
              <wp:cNvGraphicFramePr/>
              <a:graphic xmlns:a="http://schemas.openxmlformats.org/drawingml/2006/main">
                <a:graphicData uri="http://schemas.microsoft.com/office/word/2010/wordprocessingShape">
                  <wps:wsp>
                    <wps:cNvSpPr/>
                    <wps:spPr bwMode="auto">
                      <a:xfrm>
                        <a:off x="0" y="0"/>
                        <a:ext cx="6310630" cy="27305"/>
                      </a:xfrm>
                      <a:prstGeom prst="rect">
                        <a:avLst/>
                      </a:prstGeom>
                      <a:solidFill>
                        <a:srgbClr val="5F4879"/>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rect id="Rectangle 89" o:spid="_x0000_s1026" o:spt="1" style="position:absolute;left:0pt;margin-left:58pt;margin-top:49.9pt;height:2.15pt;width:496.9pt;mso-position-horizontal-relative:page;mso-position-vertical-relative:page;z-index:-251638784;mso-width-relative:page;mso-height-relative:page;" fillcolor="#5F4879" filled="t" stroked="f" coordsize="21600,21600" o:gfxdata="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OOECFvVAAAACwEAAA8AAAAAAAAAAQAgAAAAIgAAAGRycy9kb3du&#10;cmV2LnhtbFBLAQIUABQAAAAIAIdO4kB6vfl2AgIAAAIEAAAOAAAAAAAAAAEAIAAAACQBAABkcnMv&#10;ZTJvRG9jLnhtbFBLBQYAAAAABgAGAFkBAACYBQAAAAA=&#10;">
              <v:fill on="t" focussize="0,0"/>
              <v:stroke on="f"/>
              <v:imagedata o:title=""/>
              <o:lock v:ext="edit" aspectratio="f"/>
            </v:rect>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06B0A3" w14:textId="77777777" w:rsidR="00B611D1" w:rsidRDefault="00FB7689">
    <w:pPr>
      <w:pStyle w:val="Corpsdetexte"/>
      <w:spacing w:line="14" w:lineRule="auto"/>
      <w:rPr>
        <w:sz w:val="20"/>
      </w:rPr>
    </w:pPr>
    <w:r>
      <w:rPr>
        <w:noProof/>
      </w:rPr>
      <mc:AlternateContent>
        <mc:Choice Requires="wps">
          <w:drawing>
            <wp:anchor distT="0" distB="0" distL="114300" distR="114300" simplePos="0" relativeHeight="251672576" behindDoc="1" locked="0" layoutInCell="1" allowOverlap="1" wp14:anchorId="733A0F2C" wp14:editId="156511F8">
              <wp:simplePos x="0" y="0"/>
              <wp:positionH relativeFrom="page">
                <wp:posOffset>745490</wp:posOffset>
              </wp:positionH>
              <wp:positionV relativeFrom="page">
                <wp:posOffset>360680</wp:posOffset>
              </wp:positionV>
              <wp:extent cx="1179195" cy="457835"/>
              <wp:effectExtent l="0" t="0" r="2540" b="12065"/>
              <wp:wrapNone/>
              <wp:docPr id="190" name="Text Box 85"/>
              <wp:cNvGraphicFramePr/>
              <a:graphic xmlns:a="http://schemas.openxmlformats.org/drawingml/2006/main">
                <a:graphicData uri="http://schemas.microsoft.com/office/word/2010/wordprocessingShape">
                  <wps:wsp>
                    <wps:cNvSpPr txBox="1"/>
                    <wps:spPr bwMode="auto">
                      <a:xfrm>
                        <a:off x="0" y="0"/>
                        <a:ext cx="1179095" cy="457872"/>
                      </a:xfrm>
                      <a:prstGeom prst="rect">
                        <a:avLst/>
                      </a:prstGeom>
                      <a:noFill/>
                      <a:ln>
                        <a:noFill/>
                      </a:ln>
                    </wps:spPr>
                    <wps:txbx>
                      <w:txbxContent>
                        <w:p w14:paraId="7839252E" w14:textId="77777777" w:rsidR="00B611D1" w:rsidRDefault="00FB7689">
                          <w:pPr>
                            <w:pStyle w:val="Corpsdetexte"/>
                            <w:spacing w:before="10"/>
                            <w:ind w:left="20"/>
                            <w:rPr>
                              <w:b/>
                              <w:bCs/>
                              <w:sz w:val="32"/>
                              <w:szCs w:val="32"/>
                            </w:rPr>
                          </w:pPr>
                          <w:r>
                            <w:rPr>
                              <w:b/>
                              <w:bCs/>
                              <w:sz w:val="32"/>
                              <w:szCs w:val="32"/>
                            </w:rPr>
                            <w:t>Annexe</w:t>
                          </w:r>
                        </w:p>
                      </w:txbxContent>
                    </wps:txbx>
                    <wps:bodyPr rot="0" vert="horz" wrap="square" lIns="0" tIns="0" rIns="0" bIns="0" anchor="t" anchorCtr="0" upright="1">
                      <a:noAutofit/>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shapetype w14:anchorId="733A0F2C" id="_x0000_t202" coordsize="21600,21600" o:spt="202" path="m,l,21600r21600,l21600,xe">
              <v:stroke joinstyle="miter"/>
              <v:path gradientshapeok="t" o:connecttype="rect"/>
            </v:shapetype>
            <v:shape id="Text Box 85" o:spid="_x0000_s1039" type="#_x0000_t202" style="position:absolute;margin-left:58.7pt;margin-top:28.4pt;width:92.85pt;height:36.05pt;z-index:-25164390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" filled="f" stroked="f">
              <v:textbox inset="0,0,0,0">
                <w:txbxContent>
                  <w:p w14:paraId="7839252E" w14:textId="77777777" w:rsidR="00B611D1" w:rsidRDefault="00000000">
                    <w:pPr>
                      <w:pStyle w:val="Corpsdetexte"/>
                      <w:spacing w:before="10"/>
                      <w:ind w:left="20"/>
                      <w:rPr>
                        <w:b/>
                        <w:bCs/>
                        <w:sz w:val="32"/>
                        <w:szCs w:val="32"/>
                      </w:rPr>
                    </w:pPr>
                    <w:r>
                      <w:rPr>
                        <w:b/>
                        <w:bCs/>
                        <w:sz w:val="32"/>
                        <w:szCs w:val="32"/>
                      </w:rPr>
                      <w:t>Annexe</w:t>
                    </w:r>
                  </w:p>
                </w:txbxContent>
              </v:textbox>
              <w10:wrap anchorx="page" anchory="page"/>
            </v:shape>
          </w:pict>
        </mc:Fallback>
      </mc:AlternateContent>
    </w:r>
    <w:r>
      <w:rPr>
        <w:noProof/>
      </w:rPr>
      <mc:AlternateContent>
        <mc:Choice Requires="wps">
          <w:drawing>
            <wp:anchor distT="0" distB="0" distL="114300" distR="114300" simplePos="0" relativeHeight="251673600" behindDoc="1" locked="0" layoutInCell="1" allowOverlap="1" wp14:anchorId="616F2671" wp14:editId="0022A49B">
              <wp:simplePos x="0" y="0"/>
              <wp:positionH relativeFrom="page">
                <wp:posOffset>736600</wp:posOffset>
              </wp:positionH>
              <wp:positionV relativeFrom="page">
                <wp:posOffset>633730</wp:posOffset>
              </wp:positionV>
              <wp:extent cx="6310630" cy="27305"/>
              <wp:effectExtent l="0" t="0" r="1270" b="0"/>
              <wp:wrapNone/>
              <wp:docPr id="191" name="Rectangle 86"/>
              <wp:cNvGraphicFramePr/>
              <a:graphic xmlns:a="http://schemas.openxmlformats.org/drawingml/2006/main">
                <a:graphicData uri="http://schemas.microsoft.com/office/word/2010/wordprocessingShape">
                  <wps:wsp>
                    <wps:cNvSpPr/>
                    <wps:spPr bwMode="auto">
                      <a:xfrm>
                        <a:off x="0" y="0"/>
                        <a:ext cx="6310630" cy="27305"/>
                      </a:xfrm>
                      <a:prstGeom prst="rect">
                        <a:avLst/>
                      </a:prstGeom>
                      <a:solidFill>
                        <a:srgbClr val="5F4879"/>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xmlns:w16sdtfl="http://schemas.microsoft.com/office/word/2024/wordml/sdtformatlock" xmlns:w16du="http://schemas.microsoft.com/office/word/2023/wordml/word16du" xmlns:w16sdtdh="http://schemas.microsoft.com/office/word/2020/wordml/sdtdatahash" xmlns:w16="http://schemas.microsoft.com/office/word/2018/wordml" xmlns:w16cex="http://schemas.microsoft.com/office/word/2018/wordml/cex" xmlns:oel="http://schemas.microsoft.com/office/2019/extlst">
          <w:pict>
            <v:rect id="Rectangle 86" o:spid="_x0000_s1026" o:spt="1" style="position:absolute;left:0pt;margin-left:58pt;margin-top:49.9pt;height:2.15pt;width:496.9pt;mso-position-horizontal-relative:page;mso-position-vertical-relative:page;z-index:-251642880;mso-width-relative:page;mso-height-relative:page;" fillcolor="#5F4879" filled="t" stroked="f" coordsize="21600,21600" o:gfxdata="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jhAhb1QAAAAsBAAAPAAAAAAAAAAEAIAAAACIAAABkcnMvZG93bnJldi54bWxQ&#10;SwECFAAUAAAACACHTuJAuGzzC/oBAAD7AwAADgAAAAAAAAABACAAAAAkAQAAZHJzL2Uyb0RvYy54&#10;bWxQSwUGAAAAAAYABgBZAQAAkAUAAAAA&#10;">
              <v:fill on="t" focussize="0,0"/>
              <v:stroke on="f"/>
              <v:imagedata o:title=""/>
              <o:lock v:ext="edit" aspectratio="f"/>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B7CE61" w14:textId="77777777" w:rsidR="00B611D1" w:rsidRDefault="00B611D1">
    <w:pPr>
      <w:pStyle w:val="Corpsdetexte"/>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DCBC42" w14:textId="77777777" w:rsidR="00B611D1" w:rsidRDefault="00B611D1">
    <w:pPr>
      <w:pStyle w:val="Corpsdetexte"/>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B56FE4" w14:textId="77777777" w:rsidR="00B611D1" w:rsidRDefault="00B611D1">
    <w:pPr>
      <w:pStyle w:val="Corpsdetexte"/>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663113" w14:textId="77777777" w:rsidR="00B611D1" w:rsidRDefault="00B611D1">
    <w:pPr>
      <w:pStyle w:val="Corpsdetexte"/>
      <w:spacing w:line="14" w:lineRule="auto"/>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2D39C7" w14:textId="77777777" w:rsidR="00B611D1" w:rsidRDefault="00B611D1">
    <w:pPr>
      <w:pStyle w:val="Corpsdetexte"/>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2C96CB" w14:textId="77777777" w:rsidR="00B611D1" w:rsidRDefault="00B611D1">
    <w:pPr>
      <w:pStyle w:val="Corpsdetexte"/>
      <w:spacing w:line="14" w:lineRule="auto"/>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5E7319" w14:textId="77777777" w:rsidR="00B611D1" w:rsidRDefault="00B611D1">
    <w:pPr>
      <w:pStyle w:val="Corpsdetexte"/>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FB4421" w14:textId="77777777" w:rsidR="00B611D1" w:rsidRDefault="00B611D1">
    <w:pPr>
      <w:pStyle w:val="Corpsdetex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5BE6"/>
    <w:multiLevelType w:val="multilevel"/>
    <w:tmpl w:val="0C555BE6"/>
    <w:lvl w:ilvl="0">
      <w:start w:val="1"/>
      <w:numFmt w:val="decimal"/>
      <w:lvlText w:val="%1."/>
      <w:lvlJc w:val="left"/>
      <w:pPr>
        <w:ind w:left="420" w:hanging="420"/>
      </w:pPr>
      <w:rPr>
        <w:rFonts w:hint="default"/>
      </w:rPr>
    </w:lvl>
    <w:lvl w:ilvl="1">
      <w:start w:val="1"/>
      <w:numFmt w:val="decimal"/>
      <w:lvlText w:val="%1.%2."/>
      <w:lvlJc w:val="left"/>
      <w:pPr>
        <w:ind w:left="992" w:hanging="720"/>
      </w:pPr>
      <w:rPr>
        <w:rFonts w:hint="default"/>
      </w:rPr>
    </w:lvl>
    <w:lvl w:ilvl="2">
      <w:start w:val="1"/>
      <w:numFmt w:val="decimal"/>
      <w:lvlText w:val="%1.%2.%3."/>
      <w:lvlJc w:val="left"/>
      <w:pPr>
        <w:ind w:left="1264" w:hanging="720"/>
      </w:pPr>
      <w:rPr>
        <w:rFonts w:hint="default"/>
      </w:rPr>
    </w:lvl>
    <w:lvl w:ilvl="3">
      <w:start w:val="1"/>
      <w:numFmt w:val="decimal"/>
      <w:lvlText w:val="%1.%2.%3.%4."/>
      <w:lvlJc w:val="left"/>
      <w:pPr>
        <w:ind w:left="1896" w:hanging="1080"/>
      </w:pPr>
      <w:rPr>
        <w:rFonts w:hint="default"/>
        <w:i w:val="0"/>
        <w:iCs w:val="0"/>
      </w:rPr>
    </w:lvl>
    <w:lvl w:ilvl="4">
      <w:start w:val="1"/>
      <w:numFmt w:val="upperLetter"/>
      <w:lvlText w:val="%5."/>
      <w:lvlJc w:val="left"/>
      <w:pPr>
        <w:ind w:left="1448" w:hanging="360"/>
      </w:pPr>
      <w:rPr>
        <w:rFonts w:hint="default"/>
        <w:b/>
        <w:bCs/>
      </w:rPr>
    </w:lvl>
    <w:lvl w:ilvl="5">
      <w:start w:val="1"/>
      <w:numFmt w:val="decimal"/>
      <w:lvlText w:val="%1.%2.%3.%4.%5.%6."/>
      <w:lvlJc w:val="left"/>
      <w:pPr>
        <w:ind w:left="2800" w:hanging="1440"/>
      </w:pPr>
      <w:rPr>
        <w:rFonts w:hint="default"/>
        <w:b/>
        <w:bCs/>
      </w:rPr>
    </w:lvl>
    <w:lvl w:ilvl="6">
      <w:start w:val="1"/>
      <w:numFmt w:val="decimal"/>
      <w:lvlText w:val="%1.%2.%3.%4.%5.%6.%7."/>
      <w:lvlJc w:val="left"/>
      <w:pPr>
        <w:ind w:left="3432" w:hanging="1800"/>
      </w:pPr>
      <w:rPr>
        <w:rFonts w:hint="default"/>
      </w:rPr>
    </w:lvl>
    <w:lvl w:ilvl="7">
      <w:start w:val="1"/>
      <w:numFmt w:val="decimal"/>
      <w:lvlText w:val="%1.%2.%3.%4.%5.%6.%7.%8."/>
      <w:lvlJc w:val="left"/>
      <w:pPr>
        <w:ind w:left="3704" w:hanging="1800"/>
      </w:pPr>
      <w:rPr>
        <w:rFonts w:hint="default"/>
      </w:rPr>
    </w:lvl>
    <w:lvl w:ilvl="8">
      <w:start w:val="1"/>
      <w:numFmt w:val="decimal"/>
      <w:lvlText w:val="%1.%2.%3.%4.%5.%6.%7.%8.%9."/>
      <w:lvlJc w:val="left"/>
      <w:pPr>
        <w:ind w:left="4336" w:hanging="2160"/>
      </w:pPr>
      <w:rPr>
        <w:rFonts w:hint="default"/>
      </w:rPr>
    </w:lvl>
  </w:abstractNum>
  <w:abstractNum w:abstractNumId="1" w15:restartNumberingAfterBreak="0">
    <w:nsid w:val="14070C7B"/>
    <w:multiLevelType w:val="multilevel"/>
    <w:tmpl w:val="14070C7B"/>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F86FC4"/>
    <w:multiLevelType w:val="multilevel"/>
    <w:tmpl w:val="15F86FC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 w15:restartNumberingAfterBreak="0">
    <w:nsid w:val="179574B0"/>
    <w:multiLevelType w:val="multilevel"/>
    <w:tmpl w:val="179574B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15:restartNumberingAfterBreak="0">
    <w:nsid w:val="205F04D3"/>
    <w:multiLevelType w:val="multilevel"/>
    <w:tmpl w:val="205F04D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8"/>
        <w:szCs w:val="28"/>
      </w:rPr>
    </w:lvl>
    <w:lvl w:ilvl="3">
      <w:start w:val="1"/>
      <w:numFmt w:val="decimal"/>
      <w:lvlText w:val="%1.%2.%3.%4."/>
      <w:lvlJc w:val="left"/>
      <w:pPr>
        <w:ind w:left="1728" w:hanging="648"/>
      </w:pPr>
      <w:rPr>
        <w:rFonts w:ascii="Times New Roman" w:hAnsi="Times New Roman" w:cs="Times New Roman" w:hint="default"/>
        <w:b/>
        <w:bCs/>
        <w:i w:val="0"/>
        <w:iCs w:val="0"/>
        <w:color w:val="auto"/>
      </w:rPr>
    </w:lvl>
    <w:lvl w:ilvl="4">
      <w:start w:val="1"/>
      <w:numFmt w:val="decimal"/>
      <w:lvlText w:val="%1.%2.%3.%4.%5."/>
      <w:lvlJc w:val="left"/>
      <w:pPr>
        <w:ind w:left="2232" w:hanging="792"/>
      </w:pPr>
      <w:rPr>
        <w:i w:val="0"/>
        <w:i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1336736"/>
    <w:multiLevelType w:val="multilevel"/>
    <w:tmpl w:val="2133673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15:restartNumberingAfterBreak="0">
    <w:nsid w:val="23872AE6"/>
    <w:multiLevelType w:val="multilevel"/>
    <w:tmpl w:val="23872AE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imes New Roman" w:hAnsi="Times New Roman" w:cs="Times New Roman" w:hint="default"/>
        <w:b/>
        <w:bCs/>
        <w:i w:val="0"/>
        <w:iCs w:val="0"/>
        <w:color w:val="auto"/>
      </w:rPr>
    </w:lvl>
    <w:lvl w:ilvl="4">
      <w:start w:val="1"/>
      <w:numFmt w:val="decimal"/>
      <w:lvlText w:val="%1.%2.%3.%4.%5."/>
      <w:lvlJc w:val="left"/>
      <w:pPr>
        <w:ind w:left="2232" w:hanging="792"/>
      </w:pPr>
      <w:rPr>
        <w:rFonts w:ascii="Times New Roman" w:hAnsi="Times New Roman" w:cs="Times New Roman" w:hint="default"/>
        <w:b/>
        <w:bCs/>
        <w:i w:val="0"/>
        <w:iCs w:val="0"/>
        <w:color w:val="auto"/>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93A4FCF"/>
    <w:multiLevelType w:val="multilevel"/>
    <w:tmpl w:val="293A4FC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46126262"/>
    <w:multiLevelType w:val="multilevel"/>
    <w:tmpl w:val="4612626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imes New Roman" w:hAnsi="Times New Roman" w:cs="Times New Roman" w:hint="default"/>
        <w:b/>
        <w:bCs/>
        <w:i w:val="0"/>
        <w:i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8A47EDB"/>
    <w:multiLevelType w:val="multilevel"/>
    <w:tmpl w:val="48A47ED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15:restartNumberingAfterBreak="0">
    <w:nsid w:val="4ADC14DA"/>
    <w:multiLevelType w:val="multilevel"/>
    <w:tmpl w:val="4ADC14D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8"/>
        <w:szCs w:val="28"/>
      </w:rPr>
    </w:lvl>
    <w:lvl w:ilvl="3">
      <w:start w:val="1"/>
      <w:numFmt w:val="decimal"/>
      <w:lvlText w:val="%1.%2.%3.%4."/>
      <w:lvlJc w:val="left"/>
      <w:pPr>
        <w:ind w:left="1728" w:hanging="648"/>
      </w:pPr>
      <w:rPr>
        <w:rFonts w:ascii="Times New Roman" w:hAnsi="Times New Roman" w:cs="Times New Roman" w:hint="default"/>
        <w:b/>
        <w:bCs/>
        <w:i w:val="0"/>
        <w:iCs w:val="0"/>
        <w:color w:val="auto"/>
      </w:rPr>
    </w:lvl>
    <w:lvl w:ilvl="4">
      <w:start w:val="1"/>
      <w:numFmt w:val="decimal"/>
      <w:lvlText w:val="%1.%2.%3.%4.%5."/>
      <w:lvlJc w:val="left"/>
      <w:pPr>
        <w:ind w:left="2232" w:hanging="792"/>
      </w:pPr>
      <w:rPr>
        <w:i w:val="0"/>
        <w:i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D3E0187"/>
    <w:multiLevelType w:val="multilevel"/>
    <w:tmpl w:val="4D3E018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imes New Roman" w:hAnsi="Times New Roman" w:cs="Times New Roman" w:hint="default"/>
        <w:b/>
        <w:bCs/>
        <w:i w:val="0"/>
        <w:iCs w:val="0"/>
      </w:rPr>
    </w:lvl>
    <w:lvl w:ilvl="4">
      <w:start w:val="1"/>
      <w:numFmt w:val="decimal"/>
      <w:lvlText w:val="%1.%2.%3.%4.%5."/>
      <w:lvlJc w:val="left"/>
      <w:pPr>
        <w:ind w:left="2232" w:hanging="792"/>
      </w:pPr>
      <w:rPr>
        <w:rFonts w:ascii="Times New Roman" w:hAnsi="Times New Roman" w:cs="Times New Roman" w:hint="default"/>
        <w:b/>
        <w:bCs/>
        <w:i w:val="0"/>
        <w:iCs w:val="0"/>
        <w:color w:val="auto"/>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4214E25"/>
    <w:multiLevelType w:val="multilevel"/>
    <w:tmpl w:val="54214E2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3" w15:restartNumberingAfterBreak="0">
    <w:nsid w:val="542F576E"/>
    <w:multiLevelType w:val="multilevel"/>
    <w:tmpl w:val="542F57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imes New Roman" w:hAnsi="Times New Roman" w:cs="Times New Roman" w:hint="default"/>
        <w:b/>
        <w:bCs/>
        <w:i w:val="0"/>
        <w:iCs w:val="0"/>
        <w:color w:val="auto"/>
      </w:rPr>
    </w:lvl>
    <w:lvl w:ilvl="4">
      <w:start w:val="1"/>
      <w:numFmt w:val="decimal"/>
      <w:lvlText w:val="%1.%2.%3.%4.%5."/>
      <w:lvlJc w:val="left"/>
      <w:pPr>
        <w:ind w:left="2232" w:hanging="792"/>
      </w:pPr>
      <w:rPr>
        <w:rFonts w:ascii="Times New Roman" w:hAnsi="Times New Roman" w:cs="Times New Roman" w:hint="default"/>
        <w:b/>
        <w:bCs/>
        <w:i w:val="0"/>
        <w:iCs w:val="0"/>
        <w:color w:val="auto"/>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ADB562D"/>
    <w:multiLevelType w:val="multilevel"/>
    <w:tmpl w:val="5ADB562D"/>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imes New Roman" w:hAnsi="Times New Roman" w:cs="Times New Roman" w:hint="default"/>
        <w:b/>
        <w:bCs/>
        <w:i w:val="0"/>
        <w:i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AEF3F28"/>
    <w:multiLevelType w:val="multilevel"/>
    <w:tmpl w:val="5AEF3F2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6" w15:restartNumberingAfterBreak="0">
    <w:nsid w:val="67E17B90"/>
    <w:multiLevelType w:val="multilevel"/>
    <w:tmpl w:val="67E17B9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rFonts w:asciiTheme="majorBidi" w:hAnsiTheme="majorBidi" w:cstheme="majorBidi" w:hint="default"/>
        <w:i w:val="0"/>
        <w:i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7EC1D4A"/>
    <w:multiLevelType w:val="multilevel"/>
    <w:tmpl w:val="67EC1D4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8" w15:restartNumberingAfterBreak="0">
    <w:nsid w:val="723954B0"/>
    <w:multiLevelType w:val="multilevel"/>
    <w:tmpl w:val="723954B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 w15:restartNumberingAfterBreak="0">
    <w:nsid w:val="79FB72D2"/>
    <w:multiLevelType w:val="multilevel"/>
    <w:tmpl w:val="79FB72D2"/>
    <w:lvl w:ilvl="0">
      <w:start w:val="1"/>
      <w:numFmt w:val="bullet"/>
      <w:lvlText w:val=""/>
      <w:lvlJc w:val="left"/>
      <w:pPr>
        <w:ind w:left="720" w:hanging="360"/>
      </w:pPr>
      <w:rPr>
        <w:rFonts w:ascii="Wingdings" w:hAnsi="Wingdings"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 w15:restartNumberingAfterBreak="0">
    <w:nsid w:val="7AB706CE"/>
    <w:multiLevelType w:val="multilevel"/>
    <w:tmpl w:val="7AB706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imes New Roman" w:hAnsi="Times New Roman" w:cs="Times New Roman" w:hint="default"/>
        <w:b/>
        <w:bCs/>
        <w:i w:val="0"/>
        <w:iCs w:val="0"/>
        <w:color w:val="auto"/>
      </w:rPr>
    </w:lvl>
    <w:lvl w:ilvl="4">
      <w:start w:val="1"/>
      <w:numFmt w:val="decimal"/>
      <w:lvlText w:val="%1.%2.%3.%4.%5."/>
      <w:lvlJc w:val="left"/>
      <w:pPr>
        <w:ind w:left="2232" w:hanging="792"/>
      </w:pPr>
      <w:rPr>
        <w:rFonts w:ascii="Times New Roman" w:hAnsi="Times New Roman" w:cs="Times New Roman" w:hint="default"/>
        <w:b/>
        <w:bCs/>
        <w:i w:val="0"/>
        <w:iCs w:val="0"/>
        <w:color w:val="auto"/>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EDC0B77"/>
    <w:multiLevelType w:val="multilevel"/>
    <w:tmpl w:val="7EDC0B7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imes New Roman" w:hAnsi="Times New Roman" w:cs="Times New Roman" w:hint="default"/>
        <w:b/>
        <w:bCs/>
        <w:i w:val="0"/>
        <w:i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9"/>
  </w:num>
  <w:num w:numId="3">
    <w:abstractNumId w:val="16"/>
  </w:num>
  <w:num w:numId="4">
    <w:abstractNumId w:val="11"/>
  </w:num>
  <w:num w:numId="5">
    <w:abstractNumId w:val="6"/>
  </w:num>
  <w:num w:numId="6">
    <w:abstractNumId w:val="13"/>
  </w:num>
  <w:num w:numId="7">
    <w:abstractNumId w:val="20"/>
  </w:num>
  <w:num w:numId="8">
    <w:abstractNumId w:val="1"/>
  </w:num>
  <w:num w:numId="9">
    <w:abstractNumId w:val="21"/>
  </w:num>
  <w:num w:numId="10">
    <w:abstractNumId w:val="8"/>
  </w:num>
  <w:num w:numId="11">
    <w:abstractNumId w:val="14"/>
  </w:num>
  <w:num w:numId="12">
    <w:abstractNumId w:val="4"/>
  </w:num>
  <w:num w:numId="13">
    <w:abstractNumId w:val="7"/>
  </w:num>
  <w:num w:numId="14">
    <w:abstractNumId w:val="3"/>
  </w:num>
  <w:num w:numId="15">
    <w:abstractNumId w:val="2"/>
  </w:num>
  <w:num w:numId="16">
    <w:abstractNumId w:val="18"/>
  </w:num>
  <w:num w:numId="17">
    <w:abstractNumId w:val="9"/>
  </w:num>
  <w:num w:numId="18">
    <w:abstractNumId w:val="12"/>
  </w:num>
  <w:num w:numId="19">
    <w:abstractNumId w:val="15"/>
  </w:num>
  <w:num w:numId="20">
    <w:abstractNumId w:val="5"/>
  </w:num>
  <w:num w:numId="21">
    <w:abstractNumId w:val="17"/>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drawingGridHorizontalSpacing w:val="110"/>
  <w:characterSpacingControl w:val="doNotCompres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40B9"/>
    <w:rsid w:val="00007057"/>
    <w:rsid w:val="00023FC0"/>
    <w:rsid w:val="000272BB"/>
    <w:rsid w:val="00030520"/>
    <w:rsid w:val="00044BCB"/>
    <w:rsid w:val="000467D5"/>
    <w:rsid w:val="000474BB"/>
    <w:rsid w:val="000474FF"/>
    <w:rsid w:val="00060022"/>
    <w:rsid w:val="00073E28"/>
    <w:rsid w:val="000748A4"/>
    <w:rsid w:val="00077282"/>
    <w:rsid w:val="00085ADA"/>
    <w:rsid w:val="000937EA"/>
    <w:rsid w:val="000A2DC9"/>
    <w:rsid w:val="000A42F6"/>
    <w:rsid w:val="000B027A"/>
    <w:rsid w:val="000B0C4C"/>
    <w:rsid w:val="000B1CFB"/>
    <w:rsid w:val="000C5804"/>
    <w:rsid w:val="000D27CA"/>
    <w:rsid w:val="000F4721"/>
    <w:rsid w:val="000F5E6F"/>
    <w:rsid w:val="00101A7B"/>
    <w:rsid w:val="00113FE9"/>
    <w:rsid w:val="00116D55"/>
    <w:rsid w:val="00121EC0"/>
    <w:rsid w:val="00132553"/>
    <w:rsid w:val="0013395B"/>
    <w:rsid w:val="00136638"/>
    <w:rsid w:val="00143C8F"/>
    <w:rsid w:val="00150B5D"/>
    <w:rsid w:val="00160551"/>
    <w:rsid w:val="0016453E"/>
    <w:rsid w:val="001653D1"/>
    <w:rsid w:val="00175225"/>
    <w:rsid w:val="00185310"/>
    <w:rsid w:val="00186CF0"/>
    <w:rsid w:val="00187776"/>
    <w:rsid w:val="00190671"/>
    <w:rsid w:val="00190BC2"/>
    <w:rsid w:val="0019123C"/>
    <w:rsid w:val="0019288E"/>
    <w:rsid w:val="00197A5F"/>
    <w:rsid w:val="001A2489"/>
    <w:rsid w:val="001B3428"/>
    <w:rsid w:val="001B3A86"/>
    <w:rsid w:val="001B455B"/>
    <w:rsid w:val="001B4E60"/>
    <w:rsid w:val="001B5ED5"/>
    <w:rsid w:val="001C324E"/>
    <w:rsid w:val="001C3FCA"/>
    <w:rsid w:val="001E03F2"/>
    <w:rsid w:val="001E0E3A"/>
    <w:rsid w:val="001E4A62"/>
    <w:rsid w:val="001E60C6"/>
    <w:rsid w:val="001E64D1"/>
    <w:rsid w:val="001F2F7F"/>
    <w:rsid w:val="002072B1"/>
    <w:rsid w:val="00215A03"/>
    <w:rsid w:val="002264BF"/>
    <w:rsid w:val="002268F0"/>
    <w:rsid w:val="00226B76"/>
    <w:rsid w:val="0023153F"/>
    <w:rsid w:val="00233327"/>
    <w:rsid w:val="00255198"/>
    <w:rsid w:val="0026484F"/>
    <w:rsid w:val="002704C1"/>
    <w:rsid w:val="00280ADA"/>
    <w:rsid w:val="00280FD4"/>
    <w:rsid w:val="00290948"/>
    <w:rsid w:val="0029333D"/>
    <w:rsid w:val="002954E8"/>
    <w:rsid w:val="002A2F1C"/>
    <w:rsid w:val="002A41BF"/>
    <w:rsid w:val="002D53C3"/>
    <w:rsid w:val="002D6894"/>
    <w:rsid w:val="002F085D"/>
    <w:rsid w:val="002F1242"/>
    <w:rsid w:val="002F7739"/>
    <w:rsid w:val="002F7C8A"/>
    <w:rsid w:val="00302B95"/>
    <w:rsid w:val="003175FC"/>
    <w:rsid w:val="00320876"/>
    <w:rsid w:val="00337E17"/>
    <w:rsid w:val="00342DC0"/>
    <w:rsid w:val="00357C44"/>
    <w:rsid w:val="00364831"/>
    <w:rsid w:val="00376A76"/>
    <w:rsid w:val="00376F70"/>
    <w:rsid w:val="0038473D"/>
    <w:rsid w:val="003A2303"/>
    <w:rsid w:val="003A5410"/>
    <w:rsid w:val="003B21BF"/>
    <w:rsid w:val="003B64A7"/>
    <w:rsid w:val="003C1A5C"/>
    <w:rsid w:val="003D3F03"/>
    <w:rsid w:val="003D5C22"/>
    <w:rsid w:val="003E0033"/>
    <w:rsid w:val="003F74FD"/>
    <w:rsid w:val="004000AC"/>
    <w:rsid w:val="00403AB2"/>
    <w:rsid w:val="0041400C"/>
    <w:rsid w:val="004155A1"/>
    <w:rsid w:val="00420C56"/>
    <w:rsid w:val="0042122E"/>
    <w:rsid w:val="00426DA9"/>
    <w:rsid w:val="00436D87"/>
    <w:rsid w:val="00437F6C"/>
    <w:rsid w:val="00442E78"/>
    <w:rsid w:val="00445818"/>
    <w:rsid w:val="00446181"/>
    <w:rsid w:val="00450442"/>
    <w:rsid w:val="00453CFC"/>
    <w:rsid w:val="00476B8F"/>
    <w:rsid w:val="004808BB"/>
    <w:rsid w:val="004811EB"/>
    <w:rsid w:val="004929DB"/>
    <w:rsid w:val="0049547A"/>
    <w:rsid w:val="004A1B47"/>
    <w:rsid w:val="004B6EA0"/>
    <w:rsid w:val="004B720B"/>
    <w:rsid w:val="004B775D"/>
    <w:rsid w:val="004B7E76"/>
    <w:rsid w:val="004C023B"/>
    <w:rsid w:val="004C3757"/>
    <w:rsid w:val="004D714F"/>
    <w:rsid w:val="004F1B41"/>
    <w:rsid w:val="004F3875"/>
    <w:rsid w:val="00501E4A"/>
    <w:rsid w:val="0050547F"/>
    <w:rsid w:val="0051356D"/>
    <w:rsid w:val="00525786"/>
    <w:rsid w:val="00530F26"/>
    <w:rsid w:val="00534417"/>
    <w:rsid w:val="00540C03"/>
    <w:rsid w:val="0054329A"/>
    <w:rsid w:val="005453D6"/>
    <w:rsid w:val="005565D5"/>
    <w:rsid w:val="00556A9B"/>
    <w:rsid w:val="005574B4"/>
    <w:rsid w:val="005740D4"/>
    <w:rsid w:val="005748C9"/>
    <w:rsid w:val="00581D81"/>
    <w:rsid w:val="005820C8"/>
    <w:rsid w:val="00596AA0"/>
    <w:rsid w:val="005A19E2"/>
    <w:rsid w:val="005A2D52"/>
    <w:rsid w:val="005A4663"/>
    <w:rsid w:val="005A4974"/>
    <w:rsid w:val="005B3311"/>
    <w:rsid w:val="005D32F3"/>
    <w:rsid w:val="005D5B47"/>
    <w:rsid w:val="005D6A79"/>
    <w:rsid w:val="005E370A"/>
    <w:rsid w:val="005F3214"/>
    <w:rsid w:val="006034A0"/>
    <w:rsid w:val="00603768"/>
    <w:rsid w:val="00604618"/>
    <w:rsid w:val="00604B2A"/>
    <w:rsid w:val="00610FB8"/>
    <w:rsid w:val="00611FD3"/>
    <w:rsid w:val="00616A81"/>
    <w:rsid w:val="00624234"/>
    <w:rsid w:val="00632DBC"/>
    <w:rsid w:val="00637130"/>
    <w:rsid w:val="006377C4"/>
    <w:rsid w:val="006424F9"/>
    <w:rsid w:val="0065053F"/>
    <w:rsid w:val="00652504"/>
    <w:rsid w:val="00653AD1"/>
    <w:rsid w:val="006549D9"/>
    <w:rsid w:val="0066372B"/>
    <w:rsid w:val="006643EE"/>
    <w:rsid w:val="00664E00"/>
    <w:rsid w:val="0066683A"/>
    <w:rsid w:val="006717C6"/>
    <w:rsid w:val="006A083A"/>
    <w:rsid w:val="006A3522"/>
    <w:rsid w:val="006B01F2"/>
    <w:rsid w:val="006B3936"/>
    <w:rsid w:val="006B41FC"/>
    <w:rsid w:val="006C0C2B"/>
    <w:rsid w:val="006C4C02"/>
    <w:rsid w:val="006C57E0"/>
    <w:rsid w:val="006C71AD"/>
    <w:rsid w:val="006C728D"/>
    <w:rsid w:val="006C73F7"/>
    <w:rsid w:val="006D0B3E"/>
    <w:rsid w:val="006D2C43"/>
    <w:rsid w:val="006D3923"/>
    <w:rsid w:val="006E6078"/>
    <w:rsid w:val="006F7EEA"/>
    <w:rsid w:val="007048F6"/>
    <w:rsid w:val="0070583E"/>
    <w:rsid w:val="00710C18"/>
    <w:rsid w:val="00712D41"/>
    <w:rsid w:val="0071436B"/>
    <w:rsid w:val="00721A96"/>
    <w:rsid w:val="00731BC2"/>
    <w:rsid w:val="007343EF"/>
    <w:rsid w:val="007402D3"/>
    <w:rsid w:val="00743B0B"/>
    <w:rsid w:val="00746C26"/>
    <w:rsid w:val="00767874"/>
    <w:rsid w:val="00771DB6"/>
    <w:rsid w:val="0078040E"/>
    <w:rsid w:val="0078249F"/>
    <w:rsid w:val="007840B9"/>
    <w:rsid w:val="00784248"/>
    <w:rsid w:val="007846AD"/>
    <w:rsid w:val="007A51D7"/>
    <w:rsid w:val="007A61FB"/>
    <w:rsid w:val="007B1A59"/>
    <w:rsid w:val="007B6A99"/>
    <w:rsid w:val="007C7AB3"/>
    <w:rsid w:val="007E6C52"/>
    <w:rsid w:val="007F1063"/>
    <w:rsid w:val="007F205A"/>
    <w:rsid w:val="007F6D34"/>
    <w:rsid w:val="008020A9"/>
    <w:rsid w:val="00803275"/>
    <w:rsid w:val="00807CDE"/>
    <w:rsid w:val="0081583D"/>
    <w:rsid w:val="00816FCB"/>
    <w:rsid w:val="00822285"/>
    <w:rsid w:val="00823567"/>
    <w:rsid w:val="0083547F"/>
    <w:rsid w:val="00837779"/>
    <w:rsid w:val="00842FE6"/>
    <w:rsid w:val="00844CE5"/>
    <w:rsid w:val="0085105A"/>
    <w:rsid w:val="00855AAA"/>
    <w:rsid w:val="00861C3D"/>
    <w:rsid w:val="008711F0"/>
    <w:rsid w:val="008738D0"/>
    <w:rsid w:val="0087478B"/>
    <w:rsid w:val="0088243F"/>
    <w:rsid w:val="00883D49"/>
    <w:rsid w:val="00886125"/>
    <w:rsid w:val="00891091"/>
    <w:rsid w:val="00892C0D"/>
    <w:rsid w:val="00896723"/>
    <w:rsid w:val="008A0688"/>
    <w:rsid w:val="008A66BD"/>
    <w:rsid w:val="008B59B2"/>
    <w:rsid w:val="008B6BAA"/>
    <w:rsid w:val="008C12E4"/>
    <w:rsid w:val="008C6413"/>
    <w:rsid w:val="008C6AE9"/>
    <w:rsid w:val="008D39B9"/>
    <w:rsid w:val="008E78EF"/>
    <w:rsid w:val="008F07DF"/>
    <w:rsid w:val="008F2551"/>
    <w:rsid w:val="008F2E84"/>
    <w:rsid w:val="00901E74"/>
    <w:rsid w:val="00905B07"/>
    <w:rsid w:val="009072A2"/>
    <w:rsid w:val="00913394"/>
    <w:rsid w:val="00924FDC"/>
    <w:rsid w:val="00941098"/>
    <w:rsid w:val="0094632E"/>
    <w:rsid w:val="00952151"/>
    <w:rsid w:val="00953E05"/>
    <w:rsid w:val="00961D99"/>
    <w:rsid w:val="009655E4"/>
    <w:rsid w:val="00966136"/>
    <w:rsid w:val="00967D87"/>
    <w:rsid w:val="00970517"/>
    <w:rsid w:val="00970E04"/>
    <w:rsid w:val="009761C5"/>
    <w:rsid w:val="00976497"/>
    <w:rsid w:val="009A4832"/>
    <w:rsid w:val="009A59E4"/>
    <w:rsid w:val="009A6223"/>
    <w:rsid w:val="009A654B"/>
    <w:rsid w:val="009B269B"/>
    <w:rsid w:val="009B50A7"/>
    <w:rsid w:val="009C11FC"/>
    <w:rsid w:val="009D02AC"/>
    <w:rsid w:val="009D28A8"/>
    <w:rsid w:val="009D6562"/>
    <w:rsid w:val="009E245D"/>
    <w:rsid w:val="009E660B"/>
    <w:rsid w:val="00A03802"/>
    <w:rsid w:val="00A063CD"/>
    <w:rsid w:val="00A07502"/>
    <w:rsid w:val="00A3140E"/>
    <w:rsid w:val="00A423E8"/>
    <w:rsid w:val="00A43A90"/>
    <w:rsid w:val="00A45CEE"/>
    <w:rsid w:val="00A4694B"/>
    <w:rsid w:val="00A47325"/>
    <w:rsid w:val="00A55252"/>
    <w:rsid w:val="00A5572A"/>
    <w:rsid w:val="00A76196"/>
    <w:rsid w:val="00A77E0A"/>
    <w:rsid w:val="00A8008A"/>
    <w:rsid w:val="00A86C7E"/>
    <w:rsid w:val="00A86F23"/>
    <w:rsid w:val="00A940C0"/>
    <w:rsid w:val="00A95257"/>
    <w:rsid w:val="00A978E6"/>
    <w:rsid w:val="00AA217F"/>
    <w:rsid w:val="00AA45B8"/>
    <w:rsid w:val="00AB3705"/>
    <w:rsid w:val="00AC0AC5"/>
    <w:rsid w:val="00AC343B"/>
    <w:rsid w:val="00AC54E3"/>
    <w:rsid w:val="00AD380A"/>
    <w:rsid w:val="00AD5789"/>
    <w:rsid w:val="00AF12D8"/>
    <w:rsid w:val="00B0047D"/>
    <w:rsid w:val="00B03457"/>
    <w:rsid w:val="00B0365F"/>
    <w:rsid w:val="00B038FC"/>
    <w:rsid w:val="00B0466F"/>
    <w:rsid w:val="00B11300"/>
    <w:rsid w:val="00B14228"/>
    <w:rsid w:val="00B27253"/>
    <w:rsid w:val="00B32071"/>
    <w:rsid w:val="00B530CF"/>
    <w:rsid w:val="00B55617"/>
    <w:rsid w:val="00B611D1"/>
    <w:rsid w:val="00B616A2"/>
    <w:rsid w:val="00B71224"/>
    <w:rsid w:val="00B71246"/>
    <w:rsid w:val="00B76B6B"/>
    <w:rsid w:val="00B8598E"/>
    <w:rsid w:val="00B86352"/>
    <w:rsid w:val="00B901F4"/>
    <w:rsid w:val="00B968EF"/>
    <w:rsid w:val="00BC0759"/>
    <w:rsid w:val="00BC23B6"/>
    <w:rsid w:val="00BC5BC8"/>
    <w:rsid w:val="00BD205E"/>
    <w:rsid w:val="00BD40B2"/>
    <w:rsid w:val="00BE16D6"/>
    <w:rsid w:val="00BF4512"/>
    <w:rsid w:val="00BF4B6C"/>
    <w:rsid w:val="00C00CC1"/>
    <w:rsid w:val="00C0135A"/>
    <w:rsid w:val="00C365C8"/>
    <w:rsid w:val="00C4422B"/>
    <w:rsid w:val="00C564DE"/>
    <w:rsid w:val="00C65C44"/>
    <w:rsid w:val="00C677F2"/>
    <w:rsid w:val="00C84528"/>
    <w:rsid w:val="00CA1F17"/>
    <w:rsid w:val="00CA419B"/>
    <w:rsid w:val="00CA48C8"/>
    <w:rsid w:val="00CC2233"/>
    <w:rsid w:val="00CC3F76"/>
    <w:rsid w:val="00CC7009"/>
    <w:rsid w:val="00CD1BA8"/>
    <w:rsid w:val="00CD2B93"/>
    <w:rsid w:val="00CD50F8"/>
    <w:rsid w:val="00CF259A"/>
    <w:rsid w:val="00D07974"/>
    <w:rsid w:val="00D101EC"/>
    <w:rsid w:val="00D12AD1"/>
    <w:rsid w:val="00D17C23"/>
    <w:rsid w:val="00D22158"/>
    <w:rsid w:val="00D229C3"/>
    <w:rsid w:val="00D23700"/>
    <w:rsid w:val="00D35524"/>
    <w:rsid w:val="00D420F0"/>
    <w:rsid w:val="00D4463B"/>
    <w:rsid w:val="00D46CAC"/>
    <w:rsid w:val="00D556C9"/>
    <w:rsid w:val="00D76C86"/>
    <w:rsid w:val="00D85191"/>
    <w:rsid w:val="00D85E31"/>
    <w:rsid w:val="00D90A13"/>
    <w:rsid w:val="00D972A2"/>
    <w:rsid w:val="00DA4638"/>
    <w:rsid w:val="00DC6942"/>
    <w:rsid w:val="00DD208C"/>
    <w:rsid w:val="00DD7787"/>
    <w:rsid w:val="00DF0BCB"/>
    <w:rsid w:val="00E005A2"/>
    <w:rsid w:val="00E055DA"/>
    <w:rsid w:val="00E10C47"/>
    <w:rsid w:val="00E13F3A"/>
    <w:rsid w:val="00E24EF5"/>
    <w:rsid w:val="00E25CC0"/>
    <w:rsid w:val="00E373C8"/>
    <w:rsid w:val="00E44830"/>
    <w:rsid w:val="00E450E5"/>
    <w:rsid w:val="00E53678"/>
    <w:rsid w:val="00E55D9E"/>
    <w:rsid w:val="00E62520"/>
    <w:rsid w:val="00E75ADD"/>
    <w:rsid w:val="00E85945"/>
    <w:rsid w:val="00E92C1B"/>
    <w:rsid w:val="00EB0DFB"/>
    <w:rsid w:val="00EC3E1A"/>
    <w:rsid w:val="00EC57B1"/>
    <w:rsid w:val="00EC6399"/>
    <w:rsid w:val="00ED021D"/>
    <w:rsid w:val="00ED4A67"/>
    <w:rsid w:val="00EE0A6B"/>
    <w:rsid w:val="00EE44D7"/>
    <w:rsid w:val="00EE7B99"/>
    <w:rsid w:val="00EF22E2"/>
    <w:rsid w:val="00EF6AA8"/>
    <w:rsid w:val="00F05CD4"/>
    <w:rsid w:val="00F15335"/>
    <w:rsid w:val="00F17774"/>
    <w:rsid w:val="00F17F65"/>
    <w:rsid w:val="00F20362"/>
    <w:rsid w:val="00F2593E"/>
    <w:rsid w:val="00F30F2D"/>
    <w:rsid w:val="00F35643"/>
    <w:rsid w:val="00F40EF4"/>
    <w:rsid w:val="00F41C91"/>
    <w:rsid w:val="00F46DE0"/>
    <w:rsid w:val="00F47CAB"/>
    <w:rsid w:val="00F5238C"/>
    <w:rsid w:val="00F672E2"/>
    <w:rsid w:val="00F770A7"/>
    <w:rsid w:val="00F77383"/>
    <w:rsid w:val="00F80B34"/>
    <w:rsid w:val="00F820CE"/>
    <w:rsid w:val="00F915F9"/>
    <w:rsid w:val="00FA037C"/>
    <w:rsid w:val="00FA4FFF"/>
    <w:rsid w:val="00FA51E9"/>
    <w:rsid w:val="00FA551E"/>
    <w:rsid w:val="00FA6225"/>
    <w:rsid w:val="00FA731D"/>
    <w:rsid w:val="00FB296A"/>
    <w:rsid w:val="00FB351B"/>
    <w:rsid w:val="00FB7689"/>
    <w:rsid w:val="00FD348E"/>
    <w:rsid w:val="00FD5A70"/>
    <w:rsid w:val="00FD7054"/>
    <w:rsid w:val="00FE1B07"/>
    <w:rsid w:val="00FE63B3"/>
    <w:rsid w:val="00FF20B8"/>
    <w:rsid w:val="011E5E63"/>
    <w:rsid w:val="01D74064"/>
    <w:rsid w:val="02873AEF"/>
    <w:rsid w:val="028F6B91"/>
    <w:rsid w:val="036A4F8B"/>
    <w:rsid w:val="04644907"/>
    <w:rsid w:val="04665998"/>
    <w:rsid w:val="048540F1"/>
    <w:rsid w:val="04AD635E"/>
    <w:rsid w:val="051738D4"/>
    <w:rsid w:val="05324110"/>
    <w:rsid w:val="069E5930"/>
    <w:rsid w:val="078E50D7"/>
    <w:rsid w:val="07961CA9"/>
    <w:rsid w:val="08445DFD"/>
    <w:rsid w:val="08801A5E"/>
    <w:rsid w:val="0BC5691B"/>
    <w:rsid w:val="0C2251C4"/>
    <w:rsid w:val="0C551F2E"/>
    <w:rsid w:val="0DA47F1A"/>
    <w:rsid w:val="0E0A77DF"/>
    <w:rsid w:val="0F682DA1"/>
    <w:rsid w:val="10A84261"/>
    <w:rsid w:val="11C731C4"/>
    <w:rsid w:val="12196BA5"/>
    <w:rsid w:val="123A638F"/>
    <w:rsid w:val="12591F4B"/>
    <w:rsid w:val="15462E3A"/>
    <w:rsid w:val="15544101"/>
    <w:rsid w:val="15947786"/>
    <w:rsid w:val="16566BC8"/>
    <w:rsid w:val="16A87600"/>
    <w:rsid w:val="16BF53E3"/>
    <w:rsid w:val="16DB0B4D"/>
    <w:rsid w:val="188216EA"/>
    <w:rsid w:val="188510C0"/>
    <w:rsid w:val="18E11945"/>
    <w:rsid w:val="18E83B4C"/>
    <w:rsid w:val="194E3468"/>
    <w:rsid w:val="19AA0DC9"/>
    <w:rsid w:val="1A3D31A9"/>
    <w:rsid w:val="1AD52940"/>
    <w:rsid w:val="1B5868B3"/>
    <w:rsid w:val="1D5E4F23"/>
    <w:rsid w:val="1DAB62AD"/>
    <w:rsid w:val="1E31502A"/>
    <w:rsid w:val="1E521935"/>
    <w:rsid w:val="1E8A3CCC"/>
    <w:rsid w:val="20075BF3"/>
    <w:rsid w:val="202E49E3"/>
    <w:rsid w:val="20646641"/>
    <w:rsid w:val="210434D0"/>
    <w:rsid w:val="2269311C"/>
    <w:rsid w:val="227E6F2B"/>
    <w:rsid w:val="24675BB4"/>
    <w:rsid w:val="248729F7"/>
    <w:rsid w:val="248D35F0"/>
    <w:rsid w:val="25F12CDB"/>
    <w:rsid w:val="265E7C5C"/>
    <w:rsid w:val="268B509B"/>
    <w:rsid w:val="28B068DF"/>
    <w:rsid w:val="29067580"/>
    <w:rsid w:val="297F367D"/>
    <w:rsid w:val="2AF81FA6"/>
    <w:rsid w:val="2B004AA6"/>
    <w:rsid w:val="2B05317F"/>
    <w:rsid w:val="2B220728"/>
    <w:rsid w:val="2B6934D7"/>
    <w:rsid w:val="2C06238E"/>
    <w:rsid w:val="2D2F3579"/>
    <w:rsid w:val="2E037F72"/>
    <w:rsid w:val="2E0B190F"/>
    <w:rsid w:val="2E236DD7"/>
    <w:rsid w:val="2E311F07"/>
    <w:rsid w:val="2EEA40DD"/>
    <w:rsid w:val="2F36471A"/>
    <w:rsid w:val="2FF929EC"/>
    <w:rsid w:val="3001100B"/>
    <w:rsid w:val="3123651F"/>
    <w:rsid w:val="31EA1B32"/>
    <w:rsid w:val="32A931A9"/>
    <w:rsid w:val="33324BFB"/>
    <w:rsid w:val="3401626F"/>
    <w:rsid w:val="34781E25"/>
    <w:rsid w:val="348059F0"/>
    <w:rsid w:val="34B5690F"/>
    <w:rsid w:val="34F641D4"/>
    <w:rsid w:val="35B31665"/>
    <w:rsid w:val="35C33AD3"/>
    <w:rsid w:val="35E51E9C"/>
    <w:rsid w:val="36847ABC"/>
    <w:rsid w:val="37C83A76"/>
    <w:rsid w:val="37DF059B"/>
    <w:rsid w:val="392D51E1"/>
    <w:rsid w:val="39956D42"/>
    <w:rsid w:val="3BEA061A"/>
    <w:rsid w:val="3C357DB2"/>
    <w:rsid w:val="3C83574E"/>
    <w:rsid w:val="3D230181"/>
    <w:rsid w:val="3D405E99"/>
    <w:rsid w:val="3D41567D"/>
    <w:rsid w:val="3D6F1FE2"/>
    <w:rsid w:val="3E6F35B9"/>
    <w:rsid w:val="3EC366CC"/>
    <w:rsid w:val="3EF97F3D"/>
    <w:rsid w:val="3F1015F7"/>
    <w:rsid w:val="3F8A198E"/>
    <w:rsid w:val="40655D62"/>
    <w:rsid w:val="41297BCB"/>
    <w:rsid w:val="41663914"/>
    <w:rsid w:val="41BB6050"/>
    <w:rsid w:val="41EA4136"/>
    <w:rsid w:val="42274413"/>
    <w:rsid w:val="431C16DC"/>
    <w:rsid w:val="441063E3"/>
    <w:rsid w:val="45951ADA"/>
    <w:rsid w:val="45F317F2"/>
    <w:rsid w:val="46222E35"/>
    <w:rsid w:val="477015B9"/>
    <w:rsid w:val="479F315E"/>
    <w:rsid w:val="47E46A9F"/>
    <w:rsid w:val="4840455B"/>
    <w:rsid w:val="48DC330D"/>
    <w:rsid w:val="4A503741"/>
    <w:rsid w:val="4A6E54A0"/>
    <w:rsid w:val="4A7A085D"/>
    <w:rsid w:val="4A8A2931"/>
    <w:rsid w:val="4AD277B3"/>
    <w:rsid w:val="4AE15CF5"/>
    <w:rsid w:val="4B1A1E41"/>
    <w:rsid w:val="4B9C62F7"/>
    <w:rsid w:val="4BA97F3E"/>
    <w:rsid w:val="4C980C18"/>
    <w:rsid w:val="4D0B2C56"/>
    <w:rsid w:val="4F21635B"/>
    <w:rsid w:val="4F284B15"/>
    <w:rsid w:val="50A82625"/>
    <w:rsid w:val="51545141"/>
    <w:rsid w:val="519E4ABE"/>
    <w:rsid w:val="52FC5B5B"/>
    <w:rsid w:val="53B343B0"/>
    <w:rsid w:val="54E459CB"/>
    <w:rsid w:val="57D43F0B"/>
    <w:rsid w:val="59F36068"/>
    <w:rsid w:val="5AE92B19"/>
    <w:rsid w:val="5B7B5F49"/>
    <w:rsid w:val="5D0C7923"/>
    <w:rsid w:val="5D39233D"/>
    <w:rsid w:val="5E402D2A"/>
    <w:rsid w:val="5EE34556"/>
    <w:rsid w:val="609B537E"/>
    <w:rsid w:val="61767E12"/>
    <w:rsid w:val="61BB4526"/>
    <w:rsid w:val="61E820E7"/>
    <w:rsid w:val="61E85CE2"/>
    <w:rsid w:val="622A6BA5"/>
    <w:rsid w:val="62683621"/>
    <w:rsid w:val="62802A5F"/>
    <w:rsid w:val="62835FE8"/>
    <w:rsid w:val="62922A5D"/>
    <w:rsid w:val="63740A0D"/>
    <w:rsid w:val="64026E0D"/>
    <w:rsid w:val="6449159E"/>
    <w:rsid w:val="64D2583C"/>
    <w:rsid w:val="65C45E08"/>
    <w:rsid w:val="66587E60"/>
    <w:rsid w:val="66DE6EF3"/>
    <w:rsid w:val="67A56DD2"/>
    <w:rsid w:val="67A75AB2"/>
    <w:rsid w:val="68752B2E"/>
    <w:rsid w:val="68780E56"/>
    <w:rsid w:val="68B56A42"/>
    <w:rsid w:val="6A361D1B"/>
    <w:rsid w:val="6A5B3ED0"/>
    <w:rsid w:val="6AEF4B70"/>
    <w:rsid w:val="6B4375B7"/>
    <w:rsid w:val="6C831912"/>
    <w:rsid w:val="6CC35F27"/>
    <w:rsid w:val="6E304EA5"/>
    <w:rsid w:val="6EA70375"/>
    <w:rsid w:val="6EB5015A"/>
    <w:rsid w:val="6EF5075A"/>
    <w:rsid w:val="6F163A37"/>
    <w:rsid w:val="6F995354"/>
    <w:rsid w:val="706E394B"/>
    <w:rsid w:val="71681CD4"/>
    <w:rsid w:val="718A61E0"/>
    <w:rsid w:val="71AB348B"/>
    <w:rsid w:val="71DC509E"/>
    <w:rsid w:val="71E66FD5"/>
    <w:rsid w:val="72634025"/>
    <w:rsid w:val="7340326D"/>
    <w:rsid w:val="73AD4C3A"/>
    <w:rsid w:val="7433729D"/>
    <w:rsid w:val="74760044"/>
    <w:rsid w:val="75B3731F"/>
    <w:rsid w:val="760D4937"/>
    <w:rsid w:val="76213485"/>
    <w:rsid w:val="77471E7C"/>
    <w:rsid w:val="77755BC9"/>
    <w:rsid w:val="77D52688"/>
    <w:rsid w:val="79393B03"/>
    <w:rsid w:val="79893E52"/>
    <w:rsid w:val="799B418F"/>
    <w:rsid w:val="79E575AA"/>
    <w:rsid w:val="7A1018AB"/>
    <w:rsid w:val="7ACA7CE3"/>
    <w:rsid w:val="7ADB3A63"/>
    <w:rsid w:val="7B2857ED"/>
    <w:rsid w:val="7B96424D"/>
    <w:rsid w:val="7D9479A4"/>
    <w:rsid w:val="7E35490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1716B827"/>
  <w15:docId w15:val="{A3538518-CDA9-4BEF-9C65-FB76DE7B2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Mincho" w:hAnsi="Cambria" w:cs="Arial"/>
        <w:lang w:val="fr-FR"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qFormat="1"/>
    <w:lsdException w:name="header" w:uiPriority="0" w:qFormat="1"/>
    <w:lsdException w:name="footer"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1"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sz w:val="24"/>
      <w:szCs w:val="24"/>
      <w:lang w:val="zh-CN" w:eastAsia="en-US"/>
    </w:rPr>
  </w:style>
  <w:style w:type="paragraph" w:styleId="Titre1">
    <w:name w:val="heading 1"/>
    <w:basedOn w:val="Normal"/>
    <w:uiPriority w:val="9"/>
    <w:qFormat/>
    <w:pPr>
      <w:spacing w:before="90"/>
      <w:ind w:left="241"/>
      <w:outlineLvl w:val="0"/>
    </w:pPr>
    <w:rPr>
      <w:b/>
      <w:bCs/>
      <w:sz w:val="40"/>
      <w:szCs w:val="40"/>
    </w:rPr>
  </w:style>
  <w:style w:type="paragraph" w:styleId="Titre2">
    <w:name w:val="heading 2"/>
    <w:basedOn w:val="Normal"/>
    <w:link w:val="Titre2Car"/>
    <w:uiPriority w:val="9"/>
    <w:unhideWhenUsed/>
    <w:qFormat/>
    <w:pPr>
      <w:spacing w:before="89"/>
      <w:ind w:left="272"/>
      <w:outlineLvl w:val="1"/>
    </w:pPr>
    <w:rPr>
      <w:b/>
      <w:bCs/>
      <w:sz w:val="28"/>
      <w:szCs w:val="28"/>
    </w:rPr>
  </w:style>
  <w:style w:type="paragraph" w:styleId="Titre3">
    <w:name w:val="heading 3"/>
    <w:basedOn w:val="Normal"/>
    <w:uiPriority w:val="9"/>
    <w:unhideWhenUsed/>
    <w:qFormat/>
    <w:pPr>
      <w:ind w:left="1096" w:hanging="781"/>
      <w:jc w:val="both"/>
      <w:outlineLvl w:val="2"/>
    </w:pPr>
    <w:rPr>
      <w:b/>
      <w:bCs/>
    </w:rPr>
  </w:style>
  <w:style w:type="paragraph" w:styleId="Titre4">
    <w:name w:val="heading 4"/>
    <w:basedOn w:val="Normal"/>
    <w:next w:val="Normal"/>
    <w:link w:val="Titre4Car"/>
    <w:uiPriority w:val="9"/>
    <w:unhideWhenUsed/>
    <w:qFormat/>
    <w:pPr>
      <w:keepNext/>
      <w:keepLines/>
      <w:spacing w:before="40"/>
      <w:outlineLvl w:val="3"/>
    </w:pPr>
    <w:rPr>
      <w:rFonts w:asciiTheme="majorHAnsi" w:eastAsiaTheme="majorEastAsia" w:hAnsiTheme="majorHAnsi" w:cstheme="majorBidi"/>
      <w:i/>
      <w:iCs/>
      <w:color w:val="365F91" w:themeColor="accent1" w:themeShade="BF"/>
    </w:rPr>
  </w:style>
  <w:style w:type="paragraph" w:styleId="Titre5">
    <w:name w:val="heading 5"/>
    <w:next w:val="Normal"/>
    <w:uiPriority w:val="9"/>
    <w:unhideWhenUsed/>
    <w:qFormat/>
    <w:pPr>
      <w:spacing w:beforeAutospacing="1" w:afterAutospacing="1"/>
      <w:outlineLvl w:val="4"/>
    </w:pPr>
    <w:rPr>
      <w:rFonts w:ascii="SimSun" w:eastAsia="SimSun" w:hAnsi="SimSun" w:cs="Times New Roman" w:hint="eastAsia"/>
      <w:b/>
      <w:bCs/>
      <w:lang w:val="en-US"/>
    </w:rPr>
  </w:style>
  <w:style w:type="paragraph" w:styleId="Titre6">
    <w:name w:val="heading 6"/>
    <w:basedOn w:val="Normal"/>
    <w:next w:val="Normal"/>
    <w:link w:val="Titre6Car"/>
    <w:uiPriority w:val="9"/>
    <w:unhideWhenUsed/>
    <w:qFormat/>
    <w:pPr>
      <w:keepNext/>
      <w:keepLines/>
      <w:spacing w:before="40"/>
      <w:outlineLvl w:val="5"/>
    </w:pPr>
    <w:rPr>
      <w:rFonts w:asciiTheme="majorHAnsi" w:eastAsiaTheme="majorEastAsia" w:hAnsiTheme="majorHAnsi" w:cstheme="majorBidi"/>
      <w:color w:val="244061" w:themeColor="accent1" w:themeShade="8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qFormat/>
    <w:rPr>
      <w:color w:val="0000FF" w:themeColor="hyperlink"/>
      <w:u w:val="single"/>
    </w:rPr>
  </w:style>
  <w:style w:type="character" w:styleId="lev">
    <w:name w:val="Strong"/>
    <w:basedOn w:val="Policepardfaut"/>
    <w:uiPriority w:val="22"/>
    <w:qFormat/>
    <w:rPr>
      <w:b/>
      <w:bCs/>
    </w:rPr>
  </w:style>
  <w:style w:type="character" w:styleId="Marquedecommentaire">
    <w:name w:val="annotation reference"/>
    <w:basedOn w:val="Policepardfaut"/>
    <w:uiPriority w:val="99"/>
    <w:semiHidden/>
    <w:unhideWhenUsed/>
    <w:qFormat/>
    <w:rPr>
      <w:sz w:val="16"/>
      <w:szCs w:val="16"/>
    </w:rPr>
  </w:style>
  <w:style w:type="character" w:styleId="Numrodepage">
    <w:name w:val="page number"/>
    <w:basedOn w:val="Policepardfaut"/>
    <w:uiPriority w:val="99"/>
    <w:semiHidden/>
    <w:unhideWhenUsed/>
  </w:style>
  <w:style w:type="character" w:styleId="Accentuation">
    <w:name w:val="Emphasis"/>
    <w:basedOn w:val="Policepardfaut"/>
    <w:uiPriority w:val="20"/>
    <w:qFormat/>
    <w:rPr>
      <w:i/>
      <w:iCs/>
    </w:rPr>
  </w:style>
  <w:style w:type="paragraph" w:styleId="TM9">
    <w:name w:val="toc 9"/>
    <w:basedOn w:val="Normal"/>
    <w:next w:val="Normal"/>
    <w:autoRedefine/>
    <w:uiPriority w:val="39"/>
    <w:unhideWhenUsed/>
    <w:qFormat/>
    <w:pPr>
      <w:ind w:left="1920"/>
    </w:pPr>
    <w:rPr>
      <w:rFonts w:asciiTheme="minorHAnsi" w:hAnsiTheme="minorHAnsi" w:cstheme="minorHAnsi"/>
      <w:sz w:val="20"/>
    </w:rPr>
  </w:style>
  <w:style w:type="paragraph" w:styleId="TM5">
    <w:name w:val="toc 5"/>
    <w:basedOn w:val="Normal"/>
    <w:next w:val="Normal"/>
    <w:autoRedefine/>
    <w:uiPriority w:val="39"/>
    <w:unhideWhenUsed/>
    <w:qFormat/>
    <w:pPr>
      <w:ind w:left="960"/>
    </w:pPr>
    <w:rPr>
      <w:rFonts w:asciiTheme="minorHAnsi" w:hAnsiTheme="minorHAnsi" w:cstheme="minorHAnsi"/>
      <w:sz w:val="20"/>
    </w:rPr>
  </w:style>
  <w:style w:type="paragraph" w:styleId="Objetducommentaire">
    <w:name w:val="annotation subject"/>
    <w:basedOn w:val="Commentaire"/>
    <w:next w:val="Commentaire"/>
    <w:link w:val="ObjetducommentaireCar"/>
    <w:uiPriority w:val="99"/>
    <w:semiHidden/>
    <w:unhideWhenUsed/>
    <w:qFormat/>
    <w:rPr>
      <w:b/>
      <w:bCs/>
    </w:rPr>
  </w:style>
  <w:style w:type="paragraph" w:styleId="Commentaire">
    <w:name w:val="annotation text"/>
    <w:basedOn w:val="Normal"/>
    <w:link w:val="CommentaireCar"/>
    <w:uiPriority w:val="99"/>
    <w:semiHidden/>
    <w:unhideWhenUsed/>
    <w:qFormat/>
    <w:rPr>
      <w:sz w:val="20"/>
      <w:szCs w:val="20"/>
    </w:rPr>
  </w:style>
  <w:style w:type="paragraph" w:styleId="Lgende">
    <w:name w:val="caption"/>
    <w:basedOn w:val="Normal"/>
    <w:next w:val="Normal"/>
    <w:uiPriority w:val="35"/>
    <w:unhideWhenUsed/>
    <w:qFormat/>
    <w:pPr>
      <w:spacing w:after="200"/>
    </w:pPr>
    <w:rPr>
      <w:i/>
      <w:iCs/>
      <w:color w:val="1F497D" w:themeColor="text2"/>
      <w:sz w:val="18"/>
      <w:szCs w:val="18"/>
    </w:rPr>
  </w:style>
  <w:style w:type="paragraph" w:styleId="Corpsdetexte">
    <w:name w:val="Body Text"/>
    <w:basedOn w:val="Normal"/>
    <w:link w:val="CorpsdetexteCar"/>
    <w:uiPriority w:val="1"/>
    <w:qFormat/>
  </w:style>
  <w:style w:type="paragraph" w:styleId="TM8">
    <w:name w:val="toc 8"/>
    <w:basedOn w:val="Normal"/>
    <w:next w:val="Normal"/>
    <w:autoRedefine/>
    <w:uiPriority w:val="39"/>
    <w:unhideWhenUsed/>
    <w:qFormat/>
    <w:pPr>
      <w:ind w:left="1680"/>
    </w:pPr>
    <w:rPr>
      <w:rFonts w:asciiTheme="minorHAnsi" w:hAnsiTheme="minorHAnsi" w:cstheme="minorHAnsi"/>
      <w:sz w:val="20"/>
    </w:rPr>
  </w:style>
  <w:style w:type="paragraph" w:styleId="TM4">
    <w:name w:val="toc 4"/>
    <w:basedOn w:val="Normal"/>
    <w:uiPriority w:val="39"/>
    <w:qFormat/>
    <w:pPr>
      <w:ind w:left="720"/>
    </w:pPr>
    <w:rPr>
      <w:rFonts w:asciiTheme="minorHAnsi" w:hAnsiTheme="minorHAnsi" w:cstheme="minorHAnsi"/>
      <w:sz w:val="20"/>
    </w:rPr>
  </w:style>
  <w:style w:type="paragraph" w:styleId="TM7">
    <w:name w:val="toc 7"/>
    <w:basedOn w:val="Normal"/>
    <w:next w:val="Normal"/>
    <w:autoRedefine/>
    <w:uiPriority w:val="39"/>
    <w:unhideWhenUsed/>
    <w:qFormat/>
    <w:pPr>
      <w:ind w:left="1440"/>
    </w:pPr>
    <w:rPr>
      <w:rFonts w:asciiTheme="minorHAnsi" w:hAnsiTheme="minorHAnsi" w:cstheme="minorHAnsi"/>
      <w:sz w:val="20"/>
    </w:rPr>
  </w:style>
  <w:style w:type="paragraph" w:styleId="TM3">
    <w:name w:val="toc 3"/>
    <w:basedOn w:val="Normal"/>
    <w:uiPriority w:val="39"/>
    <w:qFormat/>
    <w:pPr>
      <w:ind w:left="480"/>
    </w:pPr>
    <w:rPr>
      <w:rFonts w:asciiTheme="minorHAnsi" w:hAnsiTheme="minorHAnsi" w:cstheme="minorHAnsi"/>
      <w:sz w:val="20"/>
    </w:rPr>
  </w:style>
  <w:style w:type="paragraph" w:styleId="NormalWeb">
    <w:name w:val="Normal (Web)"/>
    <w:basedOn w:val="Normal"/>
    <w:uiPriority w:val="99"/>
    <w:unhideWhenUsed/>
    <w:qFormat/>
    <w:pPr>
      <w:spacing w:before="100" w:beforeAutospacing="1" w:after="100" w:afterAutospacing="1"/>
    </w:pPr>
  </w:style>
  <w:style w:type="paragraph" w:styleId="Pieddepage">
    <w:name w:val="footer"/>
    <w:basedOn w:val="Normal"/>
    <w:link w:val="PieddepageCar"/>
    <w:uiPriority w:val="99"/>
    <w:qFormat/>
    <w:pPr>
      <w:tabs>
        <w:tab w:val="center" w:pos="4536"/>
        <w:tab w:val="right" w:pos="9072"/>
      </w:tabs>
    </w:pPr>
    <w:rPr>
      <w:rFonts w:ascii="Calibri" w:eastAsia="Calibri" w:hAnsi="Calibri" w:cs="Arial"/>
      <w:lang w:val="en-US"/>
    </w:rPr>
  </w:style>
  <w:style w:type="paragraph" w:styleId="En-tte">
    <w:name w:val="header"/>
    <w:basedOn w:val="Normal"/>
    <w:link w:val="En-tteCar"/>
    <w:qFormat/>
    <w:pPr>
      <w:tabs>
        <w:tab w:val="center" w:pos="4536"/>
        <w:tab w:val="right" w:pos="9072"/>
      </w:tabs>
    </w:pPr>
    <w:rPr>
      <w:rFonts w:ascii="Calibri" w:eastAsia="Calibri" w:hAnsi="Calibri" w:cs="Arial"/>
      <w:lang w:val="en-US"/>
    </w:rPr>
  </w:style>
  <w:style w:type="paragraph" w:styleId="TM6">
    <w:name w:val="toc 6"/>
    <w:basedOn w:val="Normal"/>
    <w:next w:val="Normal"/>
    <w:autoRedefine/>
    <w:uiPriority w:val="39"/>
    <w:unhideWhenUsed/>
    <w:qFormat/>
    <w:pPr>
      <w:ind w:left="1200"/>
    </w:pPr>
    <w:rPr>
      <w:rFonts w:asciiTheme="minorHAnsi" w:hAnsiTheme="minorHAnsi" w:cstheme="minorHAnsi"/>
      <w:sz w:val="20"/>
    </w:rPr>
  </w:style>
  <w:style w:type="paragraph" w:styleId="TM2">
    <w:name w:val="toc 2"/>
    <w:basedOn w:val="Normal"/>
    <w:uiPriority w:val="39"/>
    <w:qFormat/>
    <w:pPr>
      <w:spacing w:before="120"/>
      <w:ind w:left="240"/>
    </w:pPr>
    <w:rPr>
      <w:rFonts w:asciiTheme="minorHAnsi" w:hAnsiTheme="minorHAnsi" w:cstheme="minorHAnsi"/>
      <w:b/>
      <w:bCs/>
      <w:sz w:val="22"/>
      <w:szCs w:val="26"/>
    </w:rPr>
  </w:style>
  <w:style w:type="paragraph" w:styleId="Tabledesillustrations">
    <w:name w:val="table of figures"/>
    <w:basedOn w:val="Normal"/>
    <w:next w:val="Normal"/>
    <w:uiPriority w:val="99"/>
    <w:unhideWhenUsed/>
    <w:qFormat/>
  </w:style>
  <w:style w:type="paragraph" w:styleId="Titre">
    <w:name w:val="Title"/>
    <w:basedOn w:val="Normal"/>
    <w:next w:val="Normal"/>
    <w:link w:val="TitreCar"/>
    <w:uiPriority w:val="10"/>
    <w:qFormat/>
    <w:pPr>
      <w:contextualSpacing/>
    </w:pPr>
    <w:rPr>
      <w:rFonts w:asciiTheme="majorHAnsi" w:eastAsiaTheme="majorEastAsia" w:hAnsiTheme="majorHAnsi" w:cstheme="majorBidi"/>
      <w:spacing w:val="-10"/>
      <w:kern w:val="28"/>
      <w:sz w:val="56"/>
      <w:szCs w:val="56"/>
    </w:rPr>
  </w:style>
  <w:style w:type="paragraph" w:styleId="TM1">
    <w:name w:val="toc 1"/>
    <w:basedOn w:val="Normal"/>
    <w:uiPriority w:val="39"/>
    <w:qFormat/>
    <w:pPr>
      <w:spacing w:before="120"/>
    </w:pPr>
    <w:rPr>
      <w:rFonts w:asciiTheme="minorHAnsi" w:hAnsiTheme="minorHAnsi" w:cstheme="minorHAnsi"/>
      <w:b/>
      <w:bCs/>
      <w:i/>
      <w:iCs/>
      <w:szCs w:val="28"/>
    </w:rPr>
  </w:style>
  <w:style w:type="paragraph" w:styleId="Paragraphedeliste">
    <w:name w:val="List Paragraph"/>
    <w:basedOn w:val="Normal"/>
    <w:uiPriority w:val="1"/>
    <w:qFormat/>
    <w:pPr>
      <w:ind w:left="828" w:hanging="361"/>
    </w:pPr>
  </w:style>
  <w:style w:type="paragraph" w:customStyle="1" w:styleId="TableParagraph">
    <w:name w:val="Table Paragraph"/>
    <w:basedOn w:val="Normal"/>
    <w:uiPriority w:val="1"/>
    <w:qFormat/>
  </w:style>
  <w:style w:type="character" w:customStyle="1" w:styleId="En-tteCar">
    <w:name w:val="En-tête Car"/>
    <w:basedOn w:val="Policepardfaut"/>
    <w:link w:val="En-tte"/>
    <w:qFormat/>
    <w:rPr>
      <w:rFonts w:ascii="Calibri" w:eastAsia="Calibri" w:hAnsi="Calibri" w:cs="Arial"/>
    </w:rPr>
  </w:style>
  <w:style w:type="character" w:customStyle="1" w:styleId="HeaderChar1">
    <w:name w:val="Header Char1"/>
    <w:basedOn w:val="Policepardfaut"/>
    <w:uiPriority w:val="99"/>
    <w:semiHidden/>
    <w:qFormat/>
    <w:rPr>
      <w:rFonts w:ascii="Times New Roman" w:eastAsia="Times New Roman" w:hAnsi="Times New Roman" w:cs="Times New Roman"/>
      <w:lang w:val="fr-FR"/>
    </w:rPr>
  </w:style>
  <w:style w:type="character" w:customStyle="1" w:styleId="PieddepageCar">
    <w:name w:val="Pied de page Car"/>
    <w:basedOn w:val="Policepardfaut"/>
    <w:link w:val="Pieddepage"/>
    <w:uiPriority w:val="99"/>
    <w:qFormat/>
    <w:rPr>
      <w:rFonts w:ascii="Calibri" w:eastAsia="Calibri" w:hAnsi="Calibri" w:cs="Arial"/>
    </w:rPr>
  </w:style>
  <w:style w:type="character" w:customStyle="1" w:styleId="FooterChar1">
    <w:name w:val="Footer Char1"/>
    <w:basedOn w:val="Policepardfaut"/>
    <w:uiPriority w:val="99"/>
    <w:semiHidden/>
    <w:qFormat/>
    <w:rPr>
      <w:rFonts w:ascii="Times New Roman" w:eastAsia="Times New Roman" w:hAnsi="Times New Roman" w:cs="Times New Roman"/>
      <w:lang w:val="fr-FR"/>
    </w:rPr>
  </w:style>
  <w:style w:type="character" w:customStyle="1" w:styleId="CorpsdetexteCar">
    <w:name w:val="Corps de texte Car"/>
    <w:basedOn w:val="Policepardfaut"/>
    <w:link w:val="Corpsdetexte"/>
    <w:uiPriority w:val="1"/>
    <w:qFormat/>
    <w:rPr>
      <w:rFonts w:ascii="Times New Roman" w:eastAsia="Times New Roman" w:hAnsi="Times New Roman" w:cs="Times New Roman"/>
      <w:sz w:val="24"/>
      <w:szCs w:val="24"/>
      <w:lang w:val="fr-FR"/>
    </w:rPr>
  </w:style>
  <w:style w:type="table" w:styleId="Grilledutableau">
    <w:name w:val="Table Grid"/>
    <w:basedOn w:val="TableauNormal"/>
    <w:uiPriority w:val="39"/>
    <w:qFormat/>
    <w:rPr>
      <w:rFonts w:hint="eastAsia"/>
      <w:kern w:val="2"/>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hidden/>
    <w:uiPriority w:val="99"/>
    <w:unhideWhenUsed/>
    <w:qFormat/>
    <w:rPr>
      <w:rFonts w:ascii="Times New Roman" w:eastAsia="Times New Roman" w:hAnsi="Times New Roman" w:cs="Times New Roman"/>
      <w:sz w:val="22"/>
      <w:szCs w:val="22"/>
      <w:lang w:eastAsia="en-US"/>
    </w:rPr>
  </w:style>
  <w:style w:type="character" w:customStyle="1" w:styleId="CommentaireCar">
    <w:name w:val="Commentaire Car"/>
    <w:basedOn w:val="Policepardfaut"/>
    <w:link w:val="Commentaire"/>
    <w:uiPriority w:val="99"/>
    <w:semiHidden/>
    <w:qFormat/>
    <w:rPr>
      <w:rFonts w:ascii="Times New Roman" w:eastAsia="Times New Roman" w:hAnsi="Times New Roman" w:cs="Times New Roman"/>
      <w:lang w:val="fr-FR"/>
    </w:rPr>
  </w:style>
  <w:style w:type="character" w:customStyle="1" w:styleId="ObjetducommentaireCar">
    <w:name w:val="Objet du commentaire Car"/>
    <w:basedOn w:val="CommentaireCar"/>
    <w:link w:val="Objetducommentaire"/>
    <w:uiPriority w:val="99"/>
    <w:semiHidden/>
    <w:qFormat/>
    <w:rPr>
      <w:rFonts w:ascii="Times New Roman" w:eastAsia="Times New Roman" w:hAnsi="Times New Roman" w:cs="Times New Roman"/>
      <w:b/>
      <w:bCs/>
      <w:lang w:val="fr-FR"/>
    </w:rPr>
  </w:style>
  <w:style w:type="paragraph" w:customStyle="1" w:styleId="Revision2">
    <w:name w:val="Revision2"/>
    <w:hidden/>
    <w:uiPriority w:val="99"/>
    <w:unhideWhenUsed/>
    <w:qFormat/>
    <w:rPr>
      <w:rFonts w:ascii="Times New Roman" w:eastAsia="Times New Roman" w:hAnsi="Times New Roman" w:cs="Times New Roman"/>
      <w:sz w:val="22"/>
      <w:szCs w:val="22"/>
      <w:lang w:eastAsia="en-US"/>
    </w:rPr>
  </w:style>
  <w:style w:type="table" w:customStyle="1" w:styleId="TableGridLight1">
    <w:name w:val="Table Grid Light1"/>
    <w:basedOn w:val="Tableau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itre2Car">
    <w:name w:val="Titre 2 Car"/>
    <w:basedOn w:val="Policepardfaut"/>
    <w:link w:val="Titre2"/>
    <w:uiPriority w:val="9"/>
    <w:qFormat/>
    <w:rPr>
      <w:rFonts w:ascii="Times New Roman" w:eastAsia="Times New Roman" w:hAnsi="Times New Roman" w:cs="Times New Roman"/>
      <w:b/>
      <w:bCs/>
      <w:sz w:val="28"/>
      <w:szCs w:val="28"/>
      <w:lang w:val="fr-FR"/>
    </w:rPr>
  </w:style>
  <w:style w:type="paragraph" w:customStyle="1" w:styleId="Revision3">
    <w:name w:val="Revision3"/>
    <w:hidden/>
    <w:uiPriority w:val="99"/>
    <w:unhideWhenUsed/>
    <w:qFormat/>
    <w:rPr>
      <w:rFonts w:ascii="Times New Roman" w:eastAsia="Times New Roman" w:hAnsi="Times New Roman" w:cs="Times New Roman"/>
      <w:sz w:val="22"/>
      <w:szCs w:val="22"/>
      <w:lang w:eastAsia="en-US"/>
    </w:rPr>
  </w:style>
  <w:style w:type="character" w:customStyle="1" w:styleId="Titre4Car">
    <w:name w:val="Titre 4 Car"/>
    <w:basedOn w:val="Policepardfaut"/>
    <w:link w:val="Titre4"/>
    <w:uiPriority w:val="9"/>
    <w:qFormat/>
    <w:rPr>
      <w:rFonts w:asciiTheme="majorHAnsi" w:eastAsiaTheme="majorEastAsia" w:hAnsiTheme="majorHAnsi" w:cstheme="majorBidi"/>
      <w:i/>
      <w:iCs/>
      <w:color w:val="365F91" w:themeColor="accent1" w:themeShade="BF"/>
      <w:sz w:val="24"/>
      <w:szCs w:val="24"/>
    </w:rPr>
  </w:style>
  <w:style w:type="table" w:customStyle="1" w:styleId="TableGrid1">
    <w:name w:val="Table Grid1"/>
    <w:basedOn w:val="TableauNormal"/>
    <w:uiPriority w:val="39"/>
    <w:qFormat/>
    <w:rPr>
      <w:rFonts w:hint="eastAsia"/>
      <w:kern w:val="2"/>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4">
    <w:name w:val="Revision4"/>
    <w:hidden/>
    <w:uiPriority w:val="99"/>
    <w:unhideWhenUsed/>
    <w:qFormat/>
    <w:rPr>
      <w:rFonts w:ascii="Times New Roman" w:eastAsia="Times New Roman" w:hAnsi="Times New Roman" w:cs="Times New Roman"/>
      <w:sz w:val="24"/>
      <w:szCs w:val="24"/>
      <w:lang w:val="zh-CN" w:eastAsia="en-US"/>
    </w:rPr>
  </w:style>
  <w:style w:type="table" w:customStyle="1" w:styleId="TableGridLight2">
    <w:name w:val="Table Grid Light2"/>
    <w:basedOn w:val="Tableau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Revision5">
    <w:name w:val="Revision5"/>
    <w:hidden/>
    <w:uiPriority w:val="99"/>
    <w:unhideWhenUsed/>
    <w:qFormat/>
    <w:rPr>
      <w:rFonts w:ascii="Times New Roman" w:eastAsia="Times New Roman" w:hAnsi="Times New Roman" w:cs="Times New Roman"/>
      <w:sz w:val="24"/>
      <w:szCs w:val="24"/>
      <w:lang w:val="zh-CN" w:eastAsia="en-US"/>
    </w:rPr>
  </w:style>
  <w:style w:type="paragraph" w:customStyle="1" w:styleId="Revision6">
    <w:name w:val="Revision6"/>
    <w:hidden/>
    <w:uiPriority w:val="99"/>
    <w:unhideWhenUsed/>
    <w:qFormat/>
    <w:rPr>
      <w:rFonts w:ascii="Times New Roman" w:eastAsia="Times New Roman" w:hAnsi="Times New Roman" w:cs="Times New Roman"/>
      <w:sz w:val="24"/>
      <w:szCs w:val="24"/>
      <w:lang w:val="zh-CN" w:eastAsia="en-US"/>
    </w:rPr>
  </w:style>
  <w:style w:type="paragraph" w:customStyle="1" w:styleId="Revision7">
    <w:name w:val="Revision7"/>
    <w:hidden/>
    <w:uiPriority w:val="99"/>
    <w:unhideWhenUsed/>
    <w:qFormat/>
    <w:rPr>
      <w:rFonts w:ascii="Times New Roman" w:eastAsia="Times New Roman" w:hAnsi="Times New Roman" w:cs="Times New Roman"/>
      <w:sz w:val="24"/>
      <w:szCs w:val="24"/>
      <w:lang w:val="zh-CN" w:eastAsia="en-US"/>
    </w:rPr>
  </w:style>
  <w:style w:type="table" w:customStyle="1" w:styleId="GridTable1Light1">
    <w:name w:val="Grid Table 1 Light1"/>
    <w:basedOn w:val="TableauNormal"/>
    <w:uiPriority w:val="46"/>
    <w:qFormat/>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Revision8">
    <w:name w:val="Revision8"/>
    <w:hidden/>
    <w:uiPriority w:val="99"/>
    <w:unhideWhenUsed/>
    <w:qFormat/>
    <w:rPr>
      <w:rFonts w:ascii="Times New Roman" w:eastAsia="Times New Roman" w:hAnsi="Times New Roman" w:cs="Times New Roman"/>
      <w:sz w:val="24"/>
      <w:szCs w:val="24"/>
      <w:lang w:val="zh-CN" w:eastAsia="en-US"/>
    </w:rPr>
  </w:style>
  <w:style w:type="table" w:customStyle="1" w:styleId="GridTable1Light-Accent11">
    <w:name w:val="Grid Table 1 Light - Accent 11"/>
    <w:basedOn w:val="TableauNormal"/>
    <w:uiPriority w:val="46"/>
    <w:qFormat/>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dTable1Light2">
    <w:name w:val="Grid Table 1 Light2"/>
    <w:basedOn w:val="TableauNormal"/>
    <w:uiPriority w:val="46"/>
    <w:qFormat/>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Revision9">
    <w:name w:val="Revision9"/>
    <w:hidden/>
    <w:uiPriority w:val="99"/>
    <w:unhideWhenUsed/>
    <w:qFormat/>
    <w:rPr>
      <w:rFonts w:ascii="Times New Roman" w:eastAsia="Times New Roman" w:hAnsi="Times New Roman" w:cs="Times New Roman"/>
      <w:sz w:val="24"/>
      <w:szCs w:val="24"/>
      <w:lang w:val="zh-CN" w:eastAsia="en-US"/>
    </w:rPr>
  </w:style>
  <w:style w:type="character" w:customStyle="1" w:styleId="TitreCar">
    <w:name w:val="Titre Car"/>
    <w:basedOn w:val="Policepardfaut"/>
    <w:link w:val="Titre"/>
    <w:uiPriority w:val="10"/>
    <w:qFormat/>
    <w:rPr>
      <w:rFonts w:asciiTheme="majorHAnsi" w:eastAsiaTheme="majorEastAsia" w:hAnsiTheme="majorHAnsi" w:cstheme="majorBidi"/>
      <w:spacing w:val="-10"/>
      <w:kern w:val="28"/>
      <w:sz w:val="56"/>
      <w:szCs w:val="56"/>
      <w:lang w:val="zh-CN" w:eastAsia="en-US"/>
    </w:rPr>
  </w:style>
  <w:style w:type="paragraph" w:customStyle="1" w:styleId="En-ttedetabledesmatires1">
    <w:name w:val="En-tête de table des matières1"/>
    <w:basedOn w:val="Titre1"/>
    <w:next w:val="Normal"/>
    <w:uiPriority w:val="39"/>
    <w:unhideWhenUsed/>
    <w:qFormat/>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fr-FR" w:eastAsia="fr-FR"/>
    </w:rPr>
  </w:style>
  <w:style w:type="character" w:customStyle="1" w:styleId="Mentionnonrsolue1">
    <w:name w:val="Mention non résolue1"/>
    <w:basedOn w:val="Policepardfaut"/>
    <w:uiPriority w:val="99"/>
    <w:semiHidden/>
    <w:unhideWhenUsed/>
    <w:qFormat/>
    <w:rPr>
      <w:color w:val="605E5C"/>
      <w:shd w:val="clear" w:color="auto" w:fill="E1DFDD"/>
    </w:rPr>
  </w:style>
  <w:style w:type="character" w:customStyle="1" w:styleId="Titre6Car">
    <w:name w:val="Titre 6 Car"/>
    <w:basedOn w:val="Policepardfaut"/>
    <w:link w:val="Titre6"/>
    <w:uiPriority w:val="9"/>
    <w:qFormat/>
    <w:rPr>
      <w:rFonts w:asciiTheme="majorHAnsi" w:eastAsiaTheme="majorEastAsia" w:hAnsiTheme="majorHAnsi" w:cstheme="majorBidi"/>
      <w:color w:val="244061" w:themeColor="accent1" w:themeShade="80"/>
      <w:sz w:val="24"/>
      <w:szCs w:val="24"/>
      <w:lang w:val="zh-CN" w:eastAsia="en-US"/>
    </w:rPr>
  </w:style>
  <w:style w:type="character" w:customStyle="1" w:styleId="Mentionnonrsolue2">
    <w:name w:val="Mention non résolue2"/>
    <w:basedOn w:val="Policepardfaut"/>
    <w:uiPriority w:val="99"/>
    <w:semiHidden/>
    <w:unhideWhenUsed/>
    <w:qFormat/>
    <w:rPr>
      <w:color w:val="605E5C"/>
      <w:shd w:val="clear" w:color="auto" w:fill="E1DFDD"/>
    </w:rPr>
  </w:style>
  <w:style w:type="paragraph" w:customStyle="1" w:styleId="msobibliography0">
    <w:name w:val="msobibliography"/>
    <w:hidden/>
    <w:qFormat/>
    <w:pPr>
      <w:spacing w:after="200" w:line="276" w:lineRule="auto"/>
    </w:pPr>
    <w:rPr>
      <w:rFonts w:ascii="Calibri" w:eastAsia="Calibri" w:hAnsi="Calibri" w:cs="Times New Roman" w:hint="eastAsia"/>
      <w:kern w:val="2"/>
      <w:sz w:val="22"/>
      <w:szCs w:val="22"/>
      <w:lang w:val="en-US"/>
    </w:rPr>
  </w:style>
  <w:style w:type="character" w:customStyle="1" w:styleId="Mentionnonrsolue3">
    <w:name w:val="Mention non résolue3"/>
    <w:basedOn w:val="Policepardfaut"/>
    <w:uiPriority w:val="99"/>
    <w:semiHidden/>
    <w:unhideWhenUsed/>
    <w:qFormat/>
    <w:rPr>
      <w:color w:val="605E5C"/>
      <w:shd w:val="clear" w:color="auto" w:fill="E1DFDD"/>
    </w:rPr>
  </w:style>
  <w:style w:type="paragraph" w:customStyle="1" w:styleId="Rvision1">
    <w:name w:val="Révision1"/>
    <w:hidden/>
    <w:uiPriority w:val="99"/>
    <w:unhideWhenUsed/>
    <w:qFormat/>
    <w:rPr>
      <w:rFonts w:ascii="Times New Roman" w:eastAsia="Times New Roman" w:hAnsi="Times New Roman" w:cs="Times New Roman"/>
      <w:sz w:val="24"/>
      <w:szCs w:val="24"/>
      <w:lang w:val="zh-CN" w:eastAsia="en-US"/>
    </w:rPr>
  </w:style>
  <w:style w:type="character" w:customStyle="1" w:styleId="UnresolvedMention1">
    <w:name w:val="Unresolved Mention1"/>
    <w:basedOn w:val="Policepardfaut"/>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38/srep03081" TargetMode="External"/><Relationship Id="rId21" Type="http://schemas.openxmlformats.org/officeDocument/2006/relationships/footer" Target="footer6.xml"/><Relationship Id="rId42" Type="http://schemas.openxmlformats.org/officeDocument/2006/relationships/image" Target="media/image9.png"/><Relationship Id="rId47" Type="http://schemas.openxmlformats.org/officeDocument/2006/relationships/image" Target="media/image14.jpeg"/><Relationship Id="rId63" Type="http://schemas.openxmlformats.org/officeDocument/2006/relationships/image" Target="media/image26.png"/><Relationship Id="rId68" Type="http://schemas.openxmlformats.org/officeDocument/2006/relationships/header" Target="header14.xml"/><Relationship Id="rId84" Type="http://schemas.openxmlformats.org/officeDocument/2006/relationships/hyperlink" Target="https://doi.org/10.1016/j.actpha.2023.03.043" TargetMode="External"/><Relationship Id="rId89" Type="http://schemas.openxmlformats.org/officeDocument/2006/relationships/hyperlink" Target="https://doi.org/10.1016/j.jare.2019.10.005" TargetMode="External"/><Relationship Id="rId112" Type="http://schemas.openxmlformats.org/officeDocument/2006/relationships/hyperlink" Target="https://doi.org/10.1186/s13756-023-01210-6" TargetMode="External"/><Relationship Id="rId133" Type="http://schemas.openxmlformats.org/officeDocument/2006/relationships/hyperlink" Target="https://doi.org/10.1186/s12879-018-3374-4" TargetMode="External"/><Relationship Id="rId138" Type="http://schemas.openxmlformats.org/officeDocument/2006/relationships/hyperlink" Target="https://doi.org/10.3389/fpubh.2014.00145" TargetMode="External"/><Relationship Id="rId154" Type="http://schemas.openxmlformats.org/officeDocument/2006/relationships/hyperlink" Target="https://doi.org/10.1016/j.sjbs.2017.01.004" TargetMode="External"/><Relationship Id="rId159" Type="http://schemas.openxmlformats.org/officeDocument/2006/relationships/hyperlink" Target="https://doi.org/10.13140/RG.2.2.24814.15687" TargetMode="External"/><Relationship Id="rId175" Type="http://schemas.openxmlformats.org/officeDocument/2006/relationships/hyperlink" Target="https://doi.org/10.3390/antibiotics9040205" TargetMode="External"/><Relationship Id="rId170" Type="http://schemas.openxmlformats.org/officeDocument/2006/relationships/hyperlink" Target="https://toubkal.imist.ma/bitstream/handle/123456789/22563/72-12.pdf?sequence=1" TargetMode="External"/><Relationship Id="rId191" Type="http://schemas.openxmlformats.org/officeDocument/2006/relationships/image" Target="media/image41.jpeg"/><Relationship Id="rId196" Type="http://schemas.openxmlformats.org/officeDocument/2006/relationships/footer" Target="footer15.xml"/><Relationship Id="rId16" Type="http://schemas.openxmlformats.org/officeDocument/2006/relationships/header" Target="header3.xml"/><Relationship Id="rId107" Type="http://schemas.openxmlformats.org/officeDocument/2006/relationships/hyperlink" Target="https://doi.org/10.1016/j.bjm.2016.10.015" TargetMode="External"/><Relationship Id="rId11" Type="http://schemas.openxmlformats.org/officeDocument/2006/relationships/header" Target="header1.xml"/><Relationship Id="rId32" Type="http://schemas.openxmlformats.org/officeDocument/2006/relationships/header" Target="header11.xml"/><Relationship Id="rId37" Type="http://schemas.openxmlformats.org/officeDocument/2006/relationships/image" Target="media/image4.png"/><Relationship Id="rId53" Type="http://schemas.openxmlformats.org/officeDocument/2006/relationships/image" Target="media/image18.png"/><Relationship Id="rId58" Type="http://schemas.microsoft.com/office/2007/relationships/hdphoto" Target="media/hdphoto4.wdp"/><Relationship Id="rId74" Type="http://schemas.openxmlformats.org/officeDocument/2006/relationships/hyperlink" Target="https://doi.org/10.14715/cmb/2019.65.8.3" TargetMode="External"/><Relationship Id="rId79" Type="http://schemas.openxmlformats.org/officeDocument/2006/relationships/hyperlink" Target="https://doi.org/10.1016/j.cis.2018.10.005" TargetMode="External"/><Relationship Id="rId102" Type="http://schemas.openxmlformats.org/officeDocument/2006/relationships/hyperlink" Target="https://doi.org/10.1186/s12866-021-02378-w" TargetMode="External"/><Relationship Id="rId123" Type="http://schemas.openxmlformats.org/officeDocument/2006/relationships/hyperlink" Target="https://doi.org/10.2147/IDR.S503730" TargetMode="External"/><Relationship Id="rId128" Type="http://schemas.openxmlformats.org/officeDocument/2006/relationships/hyperlink" Target="https://doi.org/10.1002/jor.23656" TargetMode="External"/><Relationship Id="rId144" Type="http://schemas.openxmlformats.org/officeDocument/2006/relationships/hyperlink" Target="https://doi.org/10.1186/s13756-023-01227-x" TargetMode="External"/><Relationship Id="rId149" Type="http://schemas.openxmlformats.org/officeDocument/2006/relationships/hyperlink" Target="https://doi.org/10.1016/j.jhin.2024.01.023" TargetMode="External"/><Relationship Id="rId5" Type="http://schemas.openxmlformats.org/officeDocument/2006/relationships/settings" Target="settings.xml"/><Relationship Id="rId90" Type="http://schemas.openxmlformats.org/officeDocument/2006/relationships/hyperlink" Target="https://doi.org/10.3390/antibiotics13040323" TargetMode="External"/><Relationship Id="rId95" Type="http://schemas.openxmlformats.org/officeDocument/2006/relationships/hyperlink" Target="https://doi.org/10.1007/978-3-319-49160-8_4" TargetMode="External"/><Relationship Id="rId160" Type="http://schemas.openxmlformats.org/officeDocument/2006/relationships/hyperlink" Target="https://doi.org/10.1016/j.antib.2010.01.003" TargetMode="External"/><Relationship Id="rId165" Type="http://schemas.openxmlformats.org/officeDocument/2006/relationships/hyperlink" Target="https://doi.org/10.3390/toxins11060332" TargetMode="External"/><Relationship Id="rId181" Type="http://schemas.openxmlformats.org/officeDocument/2006/relationships/image" Target="media/image31.png"/><Relationship Id="rId186" Type="http://schemas.openxmlformats.org/officeDocument/2006/relationships/image" Target="media/image36.png"/><Relationship Id="rId22" Type="http://schemas.openxmlformats.org/officeDocument/2006/relationships/header" Target="header6.xml"/><Relationship Id="rId27" Type="http://schemas.openxmlformats.org/officeDocument/2006/relationships/footer" Target="footer9.xml"/><Relationship Id="rId43" Type="http://schemas.openxmlformats.org/officeDocument/2006/relationships/image" Target="media/image10.png"/><Relationship Id="rId48" Type="http://schemas.openxmlformats.org/officeDocument/2006/relationships/image" Target="media/image15.png"/><Relationship Id="rId64" Type="http://schemas.openxmlformats.org/officeDocument/2006/relationships/image" Target="media/image27.png"/><Relationship Id="rId69" Type="http://schemas.openxmlformats.org/officeDocument/2006/relationships/hyperlink" Target="https://doi.org/10.2147/IDR.S228089" TargetMode="External"/><Relationship Id="rId113" Type="http://schemas.openxmlformats.org/officeDocument/2006/relationships/hyperlink" Target="https://doi.org/10.1017/ice.2018.61" TargetMode="External"/><Relationship Id="rId118" Type="http://schemas.openxmlformats.org/officeDocument/2006/relationships/hyperlink" Target="https://doi.org/10.1186/s12879-020-05181-6" TargetMode="External"/><Relationship Id="rId134" Type="http://schemas.openxmlformats.org/officeDocument/2006/relationships/hyperlink" Target="https://theses.hal.science/tel-04498032" TargetMode="External"/><Relationship Id="rId139" Type="http://schemas.openxmlformats.org/officeDocument/2006/relationships/hyperlink" Target="https://doi.org/10.3109/23744235.2015.1122833" TargetMode="External"/><Relationship Id="rId80" Type="http://schemas.openxmlformats.org/officeDocument/2006/relationships/hyperlink" Target="https://doi.org/10.1016/S1473-3099(18)30605-4" TargetMode="External"/><Relationship Id="rId85" Type="http://schemas.openxmlformats.org/officeDocument/2006/relationships/hyperlink" Target="https://doi.org/10.1007/s00449-012-0691-7" TargetMode="External"/><Relationship Id="rId150" Type="http://schemas.openxmlformats.org/officeDocument/2006/relationships/hyperlink" Target="https://theses.fr/2021ANTI0648" TargetMode="External"/><Relationship Id="rId155" Type="http://schemas.openxmlformats.org/officeDocument/2006/relationships/hyperlink" Target="https://theses.hal.science/tel-01784738" TargetMode="External"/><Relationship Id="rId171" Type="http://schemas.openxmlformats.org/officeDocument/2006/relationships/hyperlink" Target="https://doi.org/10.1155/2022/3348695" TargetMode="External"/><Relationship Id="rId176" Type="http://schemas.openxmlformats.org/officeDocument/2006/relationships/hyperlink" Target="https://doi.org/10.3389/fpubh.2024.1399067" TargetMode="External"/><Relationship Id="rId192" Type="http://schemas.openxmlformats.org/officeDocument/2006/relationships/image" Target="media/image42.jpeg"/><Relationship Id="rId197" Type="http://schemas.openxmlformats.org/officeDocument/2006/relationships/fontTable" Target="fontTable.xml"/><Relationship Id="rId12" Type="http://schemas.openxmlformats.org/officeDocument/2006/relationships/footer" Target="footer1.xml"/><Relationship Id="rId17" Type="http://schemas.openxmlformats.org/officeDocument/2006/relationships/footer" Target="footer4.xml"/><Relationship Id="rId33" Type="http://schemas.openxmlformats.org/officeDocument/2006/relationships/footer" Target="footer12.xml"/><Relationship Id="rId38" Type="http://schemas.openxmlformats.org/officeDocument/2006/relationships/image" Target="media/image5.png"/><Relationship Id="rId59" Type="http://schemas.openxmlformats.org/officeDocument/2006/relationships/image" Target="media/image22.jpeg"/><Relationship Id="rId103" Type="http://schemas.openxmlformats.org/officeDocument/2006/relationships/hyperlink" Target="https://www.bibliosante.ml/handle/123456789/13680" TargetMode="External"/><Relationship Id="rId108" Type="http://schemas.openxmlformats.org/officeDocument/2006/relationships/hyperlink" Target="https://dspace.ummto.dz/items/8aa77b05-f2be-4bfe-ae20-bff8e83d7656" TargetMode="External"/><Relationship Id="rId124" Type="http://schemas.openxmlformats.org/officeDocument/2006/relationships/hyperlink" Target="https://doi.org/10.4103/joacp.JOACP_349_15" TargetMode="External"/><Relationship Id="rId129" Type="http://schemas.openxmlformats.org/officeDocument/2006/relationships/hyperlink" Target="https://doi.org/10.3201/eid1909.ET1909" TargetMode="External"/><Relationship Id="rId54" Type="http://schemas.openxmlformats.org/officeDocument/2006/relationships/image" Target="media/image19.png"/><Relationship Id="rId70" Type="http://schemas.openxmlformats.org/officeDocument/2006/relationships/hyperlink" Target="https://hal.univ-lorraine.fr/hal-01731940" TargetMode="External"/><Relationship Id="rId75" Type="http://schemas.openxmlformats.org/officeDocument/2006/relationships/hyperlink" Target="https://doi.org/10.1177/11786302241266052" TargetMode="External"/><Relationship Id="rId91" Type="http://schemas.openxmlformats.org/officeDocument/2006/relationships/hyperlink" Target="https://doi.org/10.3390/ijerph16040610" TargetMode="External"/><Relationship Id="rId96" Type="http://schemas.openxmlformats.org/officeDocument/2006/relationships/hyperlink" Target="https://pepite-depot.univ-lille.fr/LIBRE/Th_Pharma/2018/2018LILUE028.pdf" TargetMode="External"/><Relationship Id="rId140" Type="http://schemas.openxmlformats.org/officeDocument/2006/relationships/hyperlink" Target="https://doi.org/10.1016/j.smhl.2024.100467" TargetMode="External"/><Relationship Id="rId145" Type="http://schemas.openxmlformats.org/officeDocument/2006/relationships/hyperlink" Target="https://doi.org/10.1128/mmbr.00078-15" TargetMode="External"/><Relationship Id="rId161" Type="http://schemas.openxmlformats.org/officeDocument/2006/relationships/hyperlink" Target="https://doi.org/10.1186/s40560-015-0120-5" TargetMode="External"/><Relationship Id="rId166" Type="http://schemas.openxmlformats.org/officeDocument/2006/relationships/hyperlink" Target="https://doi.org/10.22533/at.ed.4642101095" TargetMode="External"/><Relationship Id="rId182" Type="http://schemas.openxmlformats.org/officeDocument/2006/relationships/image" Target="media/image32.png"/><Relationship Id="rId187"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footer" Target="footer7.xml"/><Relationship Id="rId28" Type="http://schemas.openxmlformats.org/officeDocument/2006/relationships/header" Target="header9.xml"/><Relationship Id="rId49" Type="http://schemas.microsoft.com/office/2007/relationships/hdphoto" Target="media/hdphoto1.wdp"/><Relationship Id="rId114" Type="http://schemas.openxmlformats.org/officeDocument/2006/relationships/hyperlink" Target="https://doi.org/10.1086/655016" TargetMode="External"/><Relationship Id="rId119" Type="http://schemas.openxmlformats.org/officeDocument/2006/relationships/hyperlink" Target="https://doi.org/10.1016/j.bulcan.2019.04.004" TargetMode="External"/><Relationship Id="rId44" Type="http://schemas.openxmlformats.org/officeDocument/2006/relationships/image" Target="media/image11.png"/><Relationship Id="rId60" Type="http://schemas.openxmlformats.org/officeDocument/2006/relationships/image" Target="media/image23.emf"/><Relationship Id="rId65" Type="http://schemas.openxmlformats.org/officeDocument/2006/relationships/image" Target="media/image28.png"/><Relationship Id="rId81" Type="http://schemas.openxmlformats.org/officeDocument/2006/relationships/hyperlink" Target="https://doi.org/10.1016/j.ajic.2023.02.009" TargetMode="External"/><Relationship Id="rId86" Type="http://schemas.openxmlformats.org/officeDocument/2006/relationships/hyperlink" Target="https://doi.org/10.3917/spub.151.0069" TargetMode="External"/><Relationship Id="rId130" Type="http://schemas.openxmlformats.org/officeDocument/2006/relationships/hyperlink" Target="https://doi.org/10.2147/DHPS.S339808" TargetMode="External"/><Relationship Id="rId135" Type="http://schemas.openxmlformats.org/officeDocument/2006/relationships/hyperlink" Target="https://dspace.univ-guelma.dz/jspui/handle/123456789/6184" TargetMode="External"/><Relationship Id="rId151" Type="http://schemas.openxmlformats.org/officeDocument/2006/relationships/hyperlink" Target="https://toubkal.imist.ma/bitstream/handle/123456789/19195/P0172022.pdf?sequence=1" TargetMode="External"/><Relationship Id="rId156" Type="http://schemas.openxmlformats.org/officeDocument/2006/relationships/hyperlink" Target="https://doi.org/10.1016/j.jpp.2014.08.008" TargetMode="External"/><Relationship Id="rId177" Type="http://schemas.openxmlformats.org/officeDocument/2006/relationships/hyperlink" Target="https://doi.org/10.1136/bmjgh-2022-008587" TargetMode="External"/><Relationship Id="rId198" Type="http://schemas.openxmlformats.org/officeDocument/2006/relationships/theme" Target="theme/theme1.xml"/><Relationship Id="rId172" Type="http://schemas.openxmlformats.org/officeDocument/2006/relationships/hyperlink" Target="https://doi.org/10.1016/j.medmal.2010.11.017" TargetMode="External"/><Relationship Id="rId193" Type="http://schemas.openxmlformats.org/officeDocument/2006/relationships/image" Target="media/image43.jpeg"/><Relationship Id="rId13" Type="http://schemas.openxmlformats.org/officeDocument/2006/relationships/footer" Target="footer2.xml"/><Relationship Id="rId18" Type="http://schemas.openxmlformats.org/officeDocument/2006/relationships/header" Target="header4.xml"/><Relationship Id="rId39" Type="http://schemas.openxmlformats.org/officeDocument/2006/relationships/image" Target="media/image6.png"/><Relationship Id="rId109" Type="http://schemas.openxmlformats.org/officeDocument/2006/relationships/hyperlink" Target="https://doi.org/10.3389/fphar.2023.1305294" TargetMode="External"/><Relationship Id="rId34" Type="http://schemas.openxmlformats.org/officeDocument/2006/relationships/header" Target="header12.xml"/><Relationship Id="rId50" Type="http://schemas.openxmlformats.org/officeDocument/2006/relationships/image" Target="media/image16.png"/><Relationship Id="rId55" Type="http://schemas.microsoft.com/office/2007/relationships/hdphoto" Target="media/hdphoto3.wdp"/><Relationship Id="rId76" Type="http://schemas.openxmlformats.org/officeDocument/2006/relationships/hyperlink" Target="https://doi.org/10.1186/s13756-023-01291-3" TargetMode="External"/><Relationship Id="rId97" Type="http://schemas.openxmlformats.org/officeDocument/2006/relationships/hyperlink" Target="https://doi.org/10.3917/corp1.019.0449" TargetMode="External"/><Relationship Id="rId104" Type="http://schemas.openxmlformats.org/officeDocument/2006/relationships/hyperlink" Target="https://doi.org/10.1016/j.cmi.2015.12.002" TargetMode="External"/><Relationship Id="rId120" Type="http://schemas.openxmlformats.org/officeDocument/2006/relationships/hyperlink" Target="https://doi.org/10.3390/ijms22063128" TargetMode="External"/><Relationship Id="rId125" Type="http://schemas.openxmlformats.org/officeDocument/2006/relationships/hyperlink" Target="https://doi.org/10.7860/JCDR/2013/5010.2737" TargetMode="External"/><Relationship Id="rId141" Type="http://schemas.openxmlformats.org/officeDocument/2006/relationships/hyperlink" Target="https://doi.org/10.1002/nop2.2132" TargetMode="External"/><Relationship Id="rId146" Type="http://schemas.openxmlformats.org/officeDocument/2006/relationships/hyperlink" Target="https://doi.org/10.1128/mbio.03168-22" TargetMode="External"/><Relationship Id="rId167" Type="http://schemas.openxmlformats.org/officeDocument/2006/relationships/hyperlink" Target="https://europepmc.org/article/nbk/nbk470553" TargetMode="External"/><Relationship Id="rId188" Type="http://schemas.openxmlformats.org/officeDocument/2006/relationships/image" Target="media/image38.png"/><Relationship Id="rId7" Type="http://schemas.openxmlformats.org/officeDocument/2006/relationships/footnotes" Target="footnotes.xml"/><Relationship Id="rId71" Type="http://schemas.openxmlformats.org/officeDocument/2006/relationships/hyperlink" Target="https://doi.org/10.1186/s13756-021-00957-0" TargetMode="External"/><Relationship Id="rId92" Type="http://schemas.openxmlformats.org/officeDocument/2006/relationships/hyperlink" Target="https://doi.org/10.1016/j.mmifmc.2023.01.003" TargetMode="External"/><Relationship Id="rId162" Type="http://schemas.openxmlformats.org/officeDocument/2006/relationships/hyperlink" Target="https://doi.org/10.3390/healthcare11131946" TargetMode="External"/><Relationship Id="rId183" Type="http://schemas.openxmlformats.org/officeDocument/2006/relationships/image" Target="media/image33.png"/><Relationship Id="rId2" Type="http://schemas.openxmlformats.org/officeDocument/2006/relationships/customXml" Target="../customXml/item2.xml"/><Relationship Id="rId29" Type="http://schemas.openxmlformats.org/officeDocument/2006/relationships/footer" Target="footer10.xml"/><Relationship Id="rId24" Type="http://schemas.openxmlformats.org/officeDocument/2006/relationships/header" Target="header7.xml"/><Relationship Id="rId40" Type="http://schemas.openxmlformats.org/officeDocument/2006/relationships/image" Target="media/image7.png"/><Relationship Id="rId45" Type="http://schemas.openxmlformats.org/officeDocument/2006/relationships/image" Target="media/image12.png"/><Relationship Id="rId66" Type="http://schemas.openxmlformats.org/officeDocument/2006/relationships/header" Target="header13.xml"/><Relationship Id="rId87" Type="http://schemas.openxmlformats.org/officeDocument/2006/relationships/hyperlink" Target="https://doi.org/10.1007/978-3-319-78538-7_2" TargetMode="External"/><Relationship Id="rId110" Type="http://schemas.openxmlformats.org/officeDocument/2006/relationships/hyperlink" Target="https://doi.org/10.3390/antibiotics2010028" TargetMode="External"/><Relationship Id="rId115" Type="http://schemas.openxmlformats.org/officeDocument/2006/relationships/hyperlink" Target="https://doi.org/10.25007/ajnu.v13n1a1889" TargetMode="External"/><Relationship Id="rId131" Type="http://schemas.openxmlformats.org/officeDocument/2006/relationships/hyperlink" Target="https://www.academia.edu/download/71188347/THESE_QASSIMI.pdf" TargetMode="External"/><Relationship Id="rId136" Type="http://schemas.openxmlformats.org/officeDocument/2006/relationships/hyperlink" Target="https://www.ajol.info/index.php/pamj/article/view/213387" TargetMode="External"/><Relationship Id="rId157" Type="http://schemas.openxmlformats.org/officeDocument/2006/relationships/hyperlink" Target="https://doi.org/10.1086/647952" TargetMode="External"/><Relationship Id="rId178" Type="http://schemas.openxmlformats.org/officeDocument/2006/relationships/header" Target="header15.xml"/><Relationship Id="rId61" Type="http://schemas.openxmlformats.org/officeDocument/2006/relationships/image" Target="media/image24.png"/><Relationship Id="rId82" Type="http://schemas.openxmlformats.org/officeDocument/2006/relationships/hyperlink" Target="https://doi.org/10.1016/j.jpp.2015.02.006" TargetMode="External"/><Relationship Id="rId152" Type="http://schemas.openxmlformats.org/officeDocument/2006/relationships/hyperlink" Target="https://doi.org/10.1371/journal.pone.0274248" TargetMode="External"/><Relationship Id="rId173" Type="http://schemas.openxmlformats.org/officeDocument/2006/relationships/hyperlink" Target="https://doi.org/10.7759/cureus.18925" TargetMode="External"/><Relationship Id="rId194" Type="http://schemas.openxmlformats.org/officeDocument/2006/relationships/image" Target="media/image44.png"/><Relationship Id="rId19" Type="http://schemas.openxmlformats.org/officeDocument/2006/relationships/footer" Target="footer5.xml"/><Relationship Id="rId14" Type="http://schemas.openxmlformats.org/officeDocument/2006/relationships/header" Target="header2.xml"/><Relationship Id="rId30" Type="http://schemas.openxmlformats.org/officeDocument/2006/relationships/header" Target="header10.xml"/><Relationship Id="rId35" Type="http://schemas.openxmlformats.org/officeDocument/2006/relationships/footer" Target="footer13.xml"/><Relationship Id="rId56" Type="http://schemas.openxmlformats.org/officeDocument/2006/relationships/image" Target="media/image20.jpeg"/><Relationship Id="rId77" Type="http://schemas.openxmlformats.org/officeDocument/2006/relationships/hyperlink" Target="https://doi.org/10.1097/01.CCM.0000119422.93413.08" TargetMode="External"/><Relationship Id="rId100" Type="http://schemas.openxmlformats.org/officeDocument/2006/relationships/hyperlink" Target="https://toubkal.imist.ma/bitstream/handle/123456789/18923/P0872014.pdf?sequence=1" TargetMode="External"/><Relationship Id="rId105" Type="http://schemas.openxmlformats.org/officeDocument/2006/relationships/hyperlink" Target="https://theses.hal.science/tel-03885826" TargetMode="External"/><Relationship Id="rId126" Type="http://schemas.openxmlformats.org/officeDocument/2006/relationships/hyperlink" Target="https://doi.org/10.1007/978-3-319-08057-4_2" TargetMode="External"/><Relationship Id="rId147" Type="http://schemas.openxmlformats.org/officeDocument/2006/relationships/hyperlink" Target="https://doi.org/10.1186/s12866-019-1428-4" TargetMode="External"/><Relationship Id="rId168" Type="http://schemas.openxmlformats.org/officeDocument/2006/relationships/hyperlink" Target="https://doi.org/10.1186/s12889-020-09662-w" TargetMode="External"/><Relationship Id="rId8" Type="http://schemas.openxmlformats.org/officeDocument/2006/relationships/endnotes" Target="endnotes.xml"/><Relationship Id="rId51" Type="http://schemas.microsoft.com/office/2007/relationships/hdphoto" Target="media/hdphoto2.wdp"/><Relationship Id="rId72" Type="http://schemas.openxmlformats.org/officeDocument/2006/relationships/hyperlink" Target="https://doi.org/10.3390/biology14020165" TargetMode="External"/><Relationship Id="rId93" Type="http://schemas.openxmlformats.org/officeDocument/2006/relationships/hyperlink" Target="http://hsd-fmsb.org/index.php/hsd/article/view/3329" TargetMode="External"/><Relationship Id="rId98" Type="http://schemas.openxmlformats.org/officeDocument/2006/relationships/hyperlink" Target="https://doi.org/10.1016/j.purol.2014.09.035" TargetMode="External"/><Relationship Id="rId121" Type="http://schemas.openxmlformats.org/officeDocument/2006/relationships/hyperlink" Target="https://doi.org/10.11604/pamj.2016.24.275.7626" TargetMode="External"/><Relationship Id="rId142" Type="http://schemas.openxmlformats.org/officeDocument/2006/relationships/hyperlink" Target="https://doi.org/10.1093/cid/ciab696" TargetMode="External"/><Relationship Id="rId163" Type="http://schemas.openxmlformats.org/officeDocument/2006/relationships/hyperlink" Target="https://doi.org/10.4103/abr.abr_381_23" TargetMode="External"/><Relationship Id="rId184" Type="http://schemas.openxmlformats.org/officeDocument/2006/relationships/image" Target="media/image34.png"/><Relationship Id="rId189" Type="http://schemas.openxmlformats.org/officeDocument/2006/relationships/image" Target="media/image39.png"/><Relationship Id="rId3" Type="http://schemas.openxmlformats.org/officeDocument/2006/relationships/numbering" Target="numbering.xml"/><Relationship Id="rId25" Type="http://schemas.openxmlformats.org/officeDocument/2006/relationships/footer" Target="footer8.xml"/><Relationship Id="rId46" Type="http://schemas.openxmlformats.org/officeDocument/2006/relationships/image" Target="media/image13.jpeg"/><Relationship Id="rId67" Type="http://schemas.openxmlformats.org/officeDocument/2006/relationships/footer" Target="footer14.xml"/><Relationship Id="rId116" Type="http://schemas.openxmlformats.org/officeDocument/2006/relationships/hyperlink" Target="https://doi.org/10.1016/j.cegh.2024.101663" TargetMode="External"/><Relationship Id="rId137" Type="http://schemas.openxmlformats.org/officeDocument/2006/relationships/hyperlink" Target="https://www.ajol.info/index.php/pamj/article/view/209254" TargetMode="External"/><Relationship Id="rId158" Type="http://schemas.openxmlformats.org/officeDocument/2006/relationships/hyperlink" Target="https://doi.org/10.1128/CMR.00079-17" TargetMode="External"/><Relationship Id="rId20" Type="http://schemas.openxmlformats.org/officeDocument/2006/relationships/header" Target="header5.xml"/><Relationship Id="rId41" Type="http://schemas.openxmlformats.org/officeDocument/2006/relationships/image" Target="media/image8.png"/><Relationship Id="rId62" Type="http://schemas.openxmlformats.org/officeDocument/2006/relationships/image" Target="media/image25.png"/><Relationship Id="rId83" Type="http://schemas.openxmlformats.org/officeDocument/2006/relationships/hyperlink" Target="https://doi.org/10.1007/978-981-96-0018-2_1" TargetMode="External"/><Relationship Id="rId88" Type="http://schemas.openxmlformats.org/officeDocument/2006/relationships/hyperlink" Target="https://doi.org/10.48022/mbl.2307.07004" TargetMode="External"/><Relationship Id="rId111" Type="http://schemas.openxmlformats.org/officeDocument/2006/relationships/hyperlink" Target="https://www.cabidigitallibrary.org/doi/full/10.5555/20220365274" TargetMode="External"/><Relationship Id="rId132" Type="http://schemas.openxmlformats.org/officeDocument/2006/relationships/hyperlink" Target="https://theses.hal.science/tel-04071702/" TargetMode="External"/><Relationship Id="rId153" Type="http://schemas.openxmlformats.org/officeDocument/2006/relationships/hyperlink" Target="https://doi.org/10.1016/j.medmal.2015.03.006" TargetMode="External"/><Relationship Id="rId174" Type="http://schemas.openxmlformats.org/officeDocument/2006/relationships/hyperlink" Target="https://doi.org/10.3390/antibiotics10050593" TargetMode="External"/><Relationship Id="rId179" Type="http://schemas.openxmlformats.org/officeDocument/2006/relationships/image" Target="media/image29.png"/><Relationship Id="rId195" Type="http://schemas.openxmlformats.org/officeDocument/2006/relationships/header" Target="header16.xml"/><Relationship Id="rId190" Type="http://schemas.openxmlformats.org/officeDocument/2006/relationships/image" Target="media/image40.jpeg"/><Relationship Id="rId15" Type="http://schemas.openxmlformats.org/officeDocument/2006/relationships/footer" Target="footer3.xml"/><Relationship Id="rId36" Type="http://schemas.openxmlformats.org/officeDocument/2006/relationships/image" Target="media/image3.png"/><Relationship Id="rId57" Type="http://schemas.openxmlformats.org/officeDocument/2006/relationships/image" Target="media/image21.png"/><Relationship Id="rId106" Type="http://schemas.openxmlformats.org/officeDocument/2006/relationships/hyperlink" Target="https://doi.org/10.3390/antibiotics12111590" TargetMode="External"/><Relationship Id="rId127" Type="http://schemas.openxmlformats.org/officeDocument/2006/relationships/hyperlink" Target="https://policycommons.net/artifacts/15776077/implication-du-pharmacien-hospitalier-dans-la-prise-en-charge-des-infections-a-bacteries-multiresistantes/16666936/" TargetMode="External"/><Relationship Id="rId10" Type="http://schemas.openxmlformats.org/officeDocument/2006/relationships/image" Target="media/image2.png"/><Relationship Id="rId31" Type="http://schemas.openxmlformats.org/officeDocument/2006/relationships/footer" Target="footer11.xml"/><Relationship Id="rId52" Type="http://schemas.openxmlformats.org/officeDocument/2006/relationships/image" Target="media/image17.jpeg"/><Relationship Id="rId73" Type="http://schemas.openxmlformats.org/officeDocument/2006/relationships/hyperlink" Target="https://doi.org/10.3390/antibiotics9030119" TargetMode="External"/><Relationship Id="rId78" Type="http://schemas.openxmlformats.org/officeDocument/2006/relationships/hyperlink" Target="https://doi.org/10.3390/antibiotics13030238" TargetMode="External"/><Relationship Id="rId94" Type="http://schemas.openxmlformats.org/officeDocument/2006/relationships/hyperlink" Target="https://doi.org/10.2147/IDR.S234610" TargetMode="External"/><Relationship Id="rId99" Type="http://schemas.openxmlformats.org/officeDocument/2006/relationships/hyperlink" Target="https://doi.org/10.5281/hsd.v24i5.4411" TargetMode="External"/><Relationship Id="rId101" Type="http://schemas.openxmlformats.org/officeDocument/2006/relationships/hyperlink" Target="https://doi.org/10.1111/j.1751-7915.2008.00063.x" TargetMode="External"/><Relationship Id="rId122" Type="http://schemas.openxmlformats.org/officeDocument/2006/relationships/hyperlink" Target="https://www.researchgate.net/profile/Fouad-Kamel/publication/290911856_Essentials_of_Bacteriology_and_Immunology/links/569c961608ae6169e562ccfc/Essentials-of-Bacteriology-and-Immunology.pdf" TargetMode="External"/><Relationship Id="rId143" Type="http://schemas.openxmlformats.org/officeDocument/2006/relationships/hyperlink" Target="https://doi.org/10.11604/pamj.2013.14.140.1818" TargetMode="External"/><Relationship Id="rId148" Type="http://schemas.openxmlformats.org/officeDocument/2006/relationships/hyperlink" Target="https://boris.unibe.ch/194389/" TargetMode="External"/><Relationship Id="rId164" Type="http://schemas.openxmlformats.org/officeDocument/2006/relationships/hyperlink" Target="http://www.ncbi.nlm.nih.gov/books/NBK535441/" TargetMode="External"/><Relationship Id="rId169" Type="http://schemas.openxmlformats.org/officeDocument/2006/relationships/hyperlink" Target="https://doi.org/10.1007/s11908-018-0620-2" TargetMode="External"/><Relationship Id="rId185" Type="http://schemas.openxmlformats.org/officeDocument/2006/relationships/image" Target="media/image35.png"/><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image" Target="media/image30.png"/><Relationship Id="rId26" Type="http://schemas.openxmlformats.org/officeDocument/2006/relationships/header" Target="head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2931B1-0FE6-4F02-A006-83E3BC947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69315</Words>
  <Characters>381235</Characters>
  <Application>Microsoft Office Word</Application>
  <DocSecurity>0</DocSecurity>
  <Lines>3176</Lines>
  <Paragraphs>899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449651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dc:creator>
  <cp:lastModifiedBy>Master</cp:lastModifiedBy>
  <cp:revision>2</cp:revision>
  <cp:lastPrinted>2025-06-22T08:29:00Z</cp:lastPrinted>
  <dcterms:created xsi:type="dcterms:W3CDTF">2025-07-09T07:37:00Z</dcterms:created>
  <dcterms:modified xsi:type="dcterms:W3CDTF">2025-07-09T07:37:00Z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2022-06-23T00:00:00Z</vt:filetime>
  </property>
  <property fmtid="{D5CDD505-2E9C-101B-9397-08002B2CF9AE}" pid="3" name="Creator">
    <vt:lpwstr>Microsoft® Word 2013</vt:lpwstr>
  </property>
  <property fmtid="{D5CDD505-2E9C-101B-9397-08002B2CF9AE}" pid="4" name="LastSaved">
    <vt:filetime>2023-02-06T00:00:00Z</vt:filetime>
  </property>
  <property fmtid="{D5CDD505-2E9C-101B-9397-08002B2CF9AE}" pid="5" name="KSOProductBuildVer">
    <vt:lpwstr>1036-12.2.0.21546</vt:lpwstr>
  </property>
  <property fmtid="{D5CDD505-2E9C-101B-9397-08002B2CF9AE}" pid="6" name="ICV">
    <vt:lpwstr>319961D7EFA243689C2A817AFEDC7B46_12</vt:lpwstr>
  </property>
  <property fmtid="{D5CDD505-2E9C-101B-9397-08002B2CF9AE}" pid="7" name="ZOTERO_PREF_1">
    <vt:lpwstr>&lt;data data-version="3" zotero-version="7.0.15"&gt;&lt;session id="yUavk62B"/&gt;&lt;style id="http://www.zotero.org/styles/elsevier-harvard" hasBibliography="1" bibliographyStyleHasBeenSet="0"/&gt;&lt;prefs&gt;&lt;pref name="fieldType" value="Field"/&gt;&lt;pref name="automaticJournal</vt:lpwstr>
  </property>
  <property fmtid="{D5CDD505-2E9C-101B-9397-08002B2CF9AE}" pid="8" name="ZOTERO_PREF_2">
    <vt:lpwstr>Abbreviations" value="true"/&gt;&lt;/prefs&gt;&lt;/data&gt;</vt:lpwstr>
  </property>
</Properties>
</file>