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rawings/drawing1.xml" ContentType="application/vnd.openxmlformats-officedocument.drawingml.chartshapes+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drawings/drawing2.xml" ContentType="application/vnd.openxmlformats-officedocument.drawingml.chartshapes+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drawings/drawing3.xml" ContentType="application/vnd.openxmlformats-officedocument.drawingml.chartshapes+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drawings/drawing4.xml" ContentType="application/vnd.openxmlformats-officedocument.drawingml.chartshapes+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header10.xml" ContentType="application/vnd.openxmlformats-officedocument.wordprocessingml.header+xml"/>
  <Override PartName="/word/footer11.xml" ContentType="application/vnd.openxmlformats-officedocument.wordprocessingml.footer+xml"/>
  <Override PartName="/word/header11.xml" ContentType="application/vnd.openxmlformats-officedocument.wordprocessingml.header+xml"/>
  <Override PartName="/word/footer12.xml" ContentType="application/vnd.openxmlformats-officedocument.wordprocessingml.footer+xml"/>
  <Override PartName="/word/header12.xml" ContentType="application/vnd.openxmlformats-officedocument.wordprocessingml.header+xml"/>
  <Override PartName="/word/footer13.xml" ContentType="application/vnd.openxmlformats-officedocument.wordprocessingml.footer+xml"/>
  <Override PartName="/word/header13.xml" ContentType="application/vnd.openxmlformats-officedocument.wordprocessingml.header+xml"/>
  <Override PartName="/word/footer1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5B083DF" w14:textId="77777777" w:rsidR="003E3FB4" w:rsidRDefault="00385ED0">
      <w:pPr>
        <w:spacing w:line="240" w:lineRule="auto"/>
        <w:jc w:val="center"/>
        <w:rPr>
          <w:rFonts w:asciiTheme="majorBidi" w:hAnsiTheme="majorBidi" w:cstheme="majorBidi"/>
          <w:b/>
          <w:bCs/>
          <w:sz w:val="20"/>
          <w:szCs w:val="20"/>
        </w:rPr>
      </w:pPr>
      <w:r>
        <w:rPr>
          <w:rtl/>
        </w:rPr>
        <w:t>ا</w:t>
      </w:r>
      <w:r>
        <w:rPr>
          <w:b/>
          <w:bCs/>
          <w:rtl/>
        </w:rPr>
        <w:t>لجمهـــــوريـــة</w:t>
      </w:r>
      <w:r>
        <w:rPr>
          <w:rFonts w:hint="cs"/>
          <w:b/>
          <w:bCs/>
          <w:rtl/>
          <w:lang w:bidi="ar-DZ"/>
        </w:rPr>
        <w:t xml:space="preserve"> </w:t>
      </w:r>
      <w:r>
        <w:rPr>
          <w:b/>
          <w:bCs/>
          <w:rtl/>
        </w:rPr>
        <w:t>الجزائـــــــريـــــــــــــة</w:t>
      </w:r>
      <w:r>
        <w:rPr>
          <w:rFonts w:hint="cs"/>
          <w:b/>
          <w:bCs/>
          <w:rtl/>
        </w:rPr>
        <w:t xml:space="preserve"> </w:t>
      </w:r>
      <w:r>
        <w:rPr>
          <w:b/>
          <w:bCs/>
          <w:rtl/>
        </w:rPr>
        <w:t>الديــــــــــمقراطية</w:t>
      </w:r>
      <w:r>
        <w:rPr>
          <w:rFonts w:hint="cs"/>
          <w:b/>
          <w:bCs/>
          <w:rtl/>
        </w:rPr>
        <w:t xml:space="preserve"> </w:t>
      </w:r>
      <w:r>
        <w:rPr>
          <w:b/>
          <w:bCs/>
          <w:rtl/>
        </w:rPr>
        <w:t>الشعبيــــ ـــــــة</w:t>
      </w:r>
    </w:p>
    <w:p w14:paraId="0FBFEC90" w14:textId="77777777" w:rsidR="003E3FB4" w:rsidRDefault="00385ED0">
      <w:pPr>
        <w:spacing w:line="240" w:lineRule="auto"/>
        <w:jc w:val="center"/>
        <w:rPr>
          <w:rFonts w:asciiTheme="majorBidi" w:hAnsiTheme="majorBidi" w:cstheme="majorBidi"/>
          <w:sz w:val="20"/>
          <w:szCs w:val="20"/>
          <w:rtl/>
        </w:rPr>
      </w:pPr>
      <w:r>
        <w:rPr>
          <w:rFonts w:asciiTheme="majorBidi" w:hAnsiTheme="majorBidi" w:cstheme="majorBidi"/>
          <w:sz w:val="20"/>
          <w:szCs w:val="20"/>
        </w:rPr>
        <w:t>République Algérienne Démocratique Et Populaire</w:t>
      </w:r>
    </w:p>
    <w:p w14:paraId="50E30F2D" w14:textId="77777777" w:rsidR="003E3FB4" w:rsidRDefault="00385ED0">
      <w:pPr>
        <w:spacing w:line="240" w:lineRule="auto"/>
        <w:jc w:val="center"/>
        <w:rPr>
          <w:rFonts w:asciiTheme="majorBidi" w:hAnsiTheme="majorBidi" w:cstheme="majorBidi"/>
          <w:b/>
          <w:bCs/>
          <w:sz w:val="20"/>
          <w:szCs w:val="20"/>
          <w:lang w:bidi="ar-DZ"/>
        </w:rPr>
      </w:pPr>
      <w:r>
        <w:rPr>
          <w:rFonts w:asciiTheme="majorBidi" w:hAnsiTheme="majorBidi" w:cstheme="majorBidi"/>
          <w:b/>
          <w:bCs/>
          <w:sz w:val="20"/>
          <w:szCs w:val="20"/>
          <w:rtl/>
        </w:rPr>
        <w:t>وزارة</w:t>
      </w:r>
      <w:r>
        <w:rPr>
          <w:rFonts w:asciiTheme="majorBidi" w:hAnsiTheme="majorBidi" w:cstheme="majorBidi" w:hint="cs"/>
          <w:b/>
          <w:bCs/>
          <w:sz w:val="20"/>
          <w:szCs w:val="20"/>
          <w:rtl/>
          <w:lang w:bidi="ar-DZ"/>
        </w:rPr>
        <w:t xml:space="preserve"> </w:t>
      </w:r>
      <w:r>
        <w:rPr>
          <w:rFonts w:asciiTheme="majorBidi" w:hAnsiTheme="majorBidi" w:cstheme="majorBidi"/>
          <w:b/>
          <w:bCs/>
          <w:sz w:val="20"/>
          <w:szCs w:val="20"/>
          <w:rtl/>
        </w:rPr>
        <w:t>الــــتعــــــــــلــــــــــــيــــــم العـــــالـــــــــي والــــــــــــبــــحــــــــــث الــــــــــعــــلمــــــــــي</w:t>
      </w:r>
    </w:p>
    <w:p w14:paraId="31CA1A66" w14:textId="77777777" w:rsidR="003E3FB4" w:rsidRDefault="00385ED0">
      <w:pPr>
        <w:spacing w:line="240" w:lineRule="auto"/>
        <w:jc w:val="center"/>
        <w:rPr>
          <w:rFonts w:asciiTheme="majorBidi" w:hAnsiTheme="majorBidi" w:cstheme="majorBidi"/>
          <w:sz w:val="20"/>
          <w:szCs w:val="20"/>
        </w:rPr>
      </w:pPr>
      <w:r>
        <w:rPr>
          <w:rFonts w:asciiTheme="majorBidi" w:hAnsiTheme="majorBidi" w:cstheme="majorBidi"/>
          <w:sz w:val="20"/>
          <w:szCs w:val="20"/>
        </w:rPr>
        <w:t>Ministère de l’Enseignement Supérieur et de la Recherche Scientifique</w:t>
      </w:r>
    </w:p>
    <w:p w14:paraId="316387DB" w14:textId="77777777" w:rsidR="003E3FB4" w:rsidRDefault="00385ED0">
      <w:pPr>
        <w:spacing w:line="240" w:lineRule="auto"/>
        <w:jc w:val="both"/>
        <w:rPr>
          <w:rFonts w:asciiTheme="majorBidi" w:hAnsiTheme="majorBidi" w:cstheme="majorBidi"/>
          <w:lang w:bidi="ar-DZ"/>
        </w:rPr>
      </w:pPr>
      <w:r>
        <w:rPr>
          <w:rFonts w:ascii="Bell MT" w:hAnsi="Bell MT"/>
          <w:noProof/>
          <w:lang w:eastAsia="fr-FR"/>
        </w:rPr>
        <w:drawing>
          <wp:anchor distT="0" distB="0" distL="114300" distR="114300" simplePos="0" relativeHeight="251673600" behindDoc="1" locked="0" layoutInCell="1" allowOverlap="1" wp14:anchorId="120CE08D" wp14:editId="130F4197">
            <wp:simplePos x="0" y="0"/>
            <wp:positionH relativeFrom="column">
              <wp:posOffset>2571750</wp:posOffset>
            </wp:positionH>
            <wp:positionV relativeFrom="paragraph">
              <wp:posOffset>132080</wp:posOffset>
            </wp:positionV>
            <wp:extent cx="980440" cy="588010"/>
            <wp:effectExtent l="0" t="0" r="0" b="2540"/>
            <wp:wrapNone/>
            <wp:docPr id="15496988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969884" name="Picture 1"/>
                    <pic:cNvPicPr>
                      <a:picLocks noChangeAspect="1"/>
                    </pic:cNvPicPr>
                  </pic:nvPicPr>
                  <pic:blipFill>
                    <a:blip r:embed="rId9" cstate="print">
                      <a:extLst>
                        <a:ext uri="{28A0092B-C50C-407E-A947-70E740481C1C}">
                          <a14:useLocalDpi xmlns:a14="http://schemas.microsoft.com/office/drawing/2010/main" val="0"/>
                        </a:ext>
                      </a:extLst>
                    </a:blip>
                    <a:stretch>
                      <a:fillRect/>
                    </a:stretch>
                  </pic:blipFill>
                  <pic:spPr>
                    <a:xfrm>
                      <a:off x="0" y="0"/>
                      <a:ext cx="980440" cy="588010"/>
                    </a:xfrm>
                    <a:prstGeom prst="rect">
                      <a:avLst/>
                    </a:prstGeom>
                  </pic:spPr>
                </pic:pic>
              </a:graphicData>
            </a:graphic>
          </wp:anchor>
        </w:drawing>
      </w:r>
      <w:r>
        <w:rPr>
          <w:b/>
          <w:bCs/>
          <w:rtl/>
        </w:rPr>
        <w:t>كلية علوم الطبيعة والحياة</w:t>
      </w:r>
      <w:r>
        <w:rPr>
          <w:rFonts w:hint="cs"/>
          <w:b/>
          <w:bCs/>
          <w:rtl/>
        </w:rPr>
        <w:t xml:space="preserve"> </w:t>
      </w:r>
      <w:r>
        <w:rPr>
          <w:b/>
          <w:bCs/>
          <w:rtl/>
        </w:rPr>
        <w:t xml:space="preserve">وعلوم </w:t>
      </w:r>
      <w:r>
        <w:rPr>
          <w:rFonts w:hint="cs"/>
          <w:b/>
          <w:bCs/>
          <w:rtl/>
        </w:rPr>
        <w:t>الأرض</w:t>
      </w:r>
      <w:r>
        <w:rPr>
          <w:b/>
          <w:bCs/>
        </w:rPr>
        <w:t xml:space="preserve"> </w:t>
      </w:r>
      <w:r>
        <w:rPr>
          <w:rFonts w:asciiTheme="majorBidi" w:hAnsiTheme="majorBidi" w:cstheme="majorBidi"/>
          <w:lang w:bidi="ar-DZ"/>
        </w:rPr>
        <w:t xml:space="preserve">                                                          </w:t>
      </w:r>
      <w:r>
        <w:rPr>
          <w:rFonts w:asciiTheme="majorBidi" w:hAnsiTheme="majorBidi" w:cstheme="majorBidi"/>
          <w:b/>
          <w:bCs/>
          <w:rtl/>
        </w:rPr>
        <w:t>جامعة الجيلالي بونعامة – خميس مليانة</w:t>
      </w:r>
      <w:r>
        <w:rPr>
          <w:rFonts w:asciiTheme="majorBidi" w:hAnsiTheme="majorBidi" w:cstheme="majorBidi"/>
          <w:lang w:bidi="ar-DZ"/>
        </w:rPr>
        <w:t xml:space="preserve"> </w:t>
      </w:r>
      <w:r>
        <w:rPr>
          <w:rFonts w:asciiTheme="majorBidi" w:hAnsiTheme="majorBidi" w:cstheme="majorBidi"/>
        </w:rPr>
        <w:t xml:space="preserve">Faculté Des Sciences de la Nature et de                                                       Université Djilali Bounaama </w:t>
      </w:r>
    </w:p>
    <w:p w14:paraId="525FBD5D" w14:textId="77777777" w:rsidR="003E3FB4" w:rsidRDefault="00385ED0">
      <w:pPr>
        <w:spacing w:line="240" w:lineRule="auto"/>
        <w:jc w:val="both"/>
        <w:rPr>
          <w:rFonts w:asciiTheme="majorBidi" w:hAnsiTheme="majorBidi" w:cstheme="majorBidi"/>
        </w:rPr>
      </w:pPr>
      <w:r>
        <w:rPr>
          <w:rFonts w:asciiTheme="majorBidi" w:hAnsiTheme="majorBidi" w:cstheme="majorBidi"/>
        </w:rPr>
        <w:t xml:space="preserve"> La Vie et des Sciences de la Terre                                                                            Khemis Miliana</w:t>
      </w:r>
    </w:p>
    <w:p w14:paraId="3DF08CB3" w14:textId="77777777" w:rsidR="003E3FB4" w:rsidRDefault="00385ED0">
      <w:pPr>
        <w:spacing w:line="240" w:lineRule="auto"/>
        <w:ind w:left="-142"/>
        <w:jc w:val="both"/>
        <w:rPr>
          <w:rFonts w:asciiTheme="majorBidi" w:hAnsiTheme="majorBidi" w:cstheme="majorBidi"/>
          <w:rtl/>
        </w:rPr>
      </w:pPr>
      <w:r>
        <w:rPr>
          <w:rFonts w:asciiTheme="majorBidi" w:hAnsiTheme="majorBidi" w:cstheme="majorBidi"/>
        </w:rPr>
        <w:t xml:space="preserve"> Département : des sciences biologiques                                                                  </w:t>
      </w:r>
      <w:r>
        <w:rPr>
          <w:rFonts w:asciiTheme="majorBidi" w:hAnsiTheme="majorBidi" w:cstheme="majorBidi"/>
          <w:rtl/>
        </w:rPr>
        <w:t>قسم : علوم البيولو</w:t>
      </w:r>
      <w:r>
        <w:rPr>
          <w:rtl/>
        </w:rPr>
        <w:t>جيا</w:t>
      </w:r>
    </w:p>
    <w:p w14:paraId="505288CA" w14:textId="77777777" w:rsidR="003E3FB4" w:rsidRDefault="00385ED0">
      <w:pPr>
        <w:spacing w:after="120"/>
        <w:jc w:val="both"/>
        <w:rPr>
          <w:rFonts w:asciiTheme="majorBidi" w:hAnsiTheme="majorBidi" w:cstheme="majorBidi"/>
          <w:sz w:val="24"/>
          <w:szCs w:val="24"/>
          <w:lang w:bidi="ar-DZ"/>
        </w:rPr>
      </w:pPr>
      <w:r>
        <w:rPr>
          <w:noProof/>
          <w:lang w:eastAsia="fr-FR"/>
        </w:rPr>
        <w:drawing>
          <wp:anchor distT="0" distB="0" distL="114300" distR="114300" simplePos="0" relativeHeight="251671552" behindDoc="1" locked="0" layoutInCell="1" allowOverlap="1" wp14:anchorId="4B53F274" wp14:editId="447661DD">
            <wp:simplePos x="0" y="0"/>
            <wp:positionH relativeFrom="column">
              <wp:posOffset>-118110</wp:posOffset>
            </wp:positionH>
            <wp:positionV relativeFrom="paragraph">
              <wp:posOffset>174625</wp:posOffset>
            </wp:positionV>
            <wp:extent cx="5807075" cy="4257675"/>
            <wp:effectExtent l="0" t="0" r="0" b="0"/>
            <wp:wrapNone/>
            <wp:docPr id="748196770" name="Picture 7481967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8196770" name="Picture 748196770"/>
                    <pic:cNvPicPr>
                      <a:picLocks noChangeAspect="1" noChangeArrowheads="1"/>
                    </pic:cNvPicPr>
                  </pic:nvPicPr>
                  <pic:blipFill>
                    <a:blip r:embed="rId10">
                      <a:duotone>
                        <a:schemeClr val="accent5">
                          <a:shade val="45000"/>
                          <a:satMod val="135000"/>
                        </a:schemeClr>
                        <a:prstClr val="white"/>
                      </a:duotone>
                      <a:extLst>
                        <a:ext uri="{BEBA8EAE-BF5A-486C-A8C5-ECC9F3942E4B}">
                          <a14:imgProps xmlns:a14="http://schemas.microsoft.com/office/drawing/2010/main">
                            <a14:imgLayer r:embed="rId11">
                              <a14:imgEffect>
                                <a14:brightnessContrast bright="40000" contrast="-40000"/>
                              </a14:imgEffect>
                              <a14:imgEffect>
                                <a14:colorTemperature colorTemp="4700"/>
                              </a14:imgEffect>
                              <a14:imgEffect>
                                <a14:saturation sat="200000"/>
                              </a14:imgEffect>
                            </a14:imgLayer>
                          </a14:imgProps>
                        </a:ext>
                        <a:ext uri="{28A0092B-C50C-407E-A947-70E740481C1C}">
                          <a14:useLocalDpi xmlns:a14="http://schemas.microsoft.com/office/drawing/2010/main" val="0"/>
                        </a:ext>
                      </a:extLst>
                    </a:blip>
                    <a:srcRect/>
                    <a:stretch>
                      <a:fillRect/>
                    </a:stretch>
                  </pic:blipFill>
                  <pic:spPr>
                    <a:xfrm>
                      <a:off x="0" y="0"/>
                      <a:ext cx="5807075" cy="4257675"/>
                    </a:xfrm>
                    <a:prstGeom prst="rect">
                      <a:avLst/>
                    </a:prstGeom>
                    <a:noFill/>
                    <a:ln>
                      <a:noFill/>
                    </a:ln>
                  </pic:spPr>
                </pic:pic>
              </a:graphicData>
            </a:graphic>
            <wp14:sizeRelV relativeFrom="margin">
              <wp14:pctHeight>0</wp14:pctHeight>
            </wp14:sizeRelV>
          </wp:anchor>
        </w:drawing>
      </w:r>
      <w:r>
        <w:rPr>
          <w:rFonts w:asciiTheme="majorBidi" w:hAnsiTheme="majorBidi" w:cs="Times New Roman" w:hint="cs"/>
          <w:sz w:val="24"/>
          <w:szCs w:val="24"/>
          <w:rtl/>
          <w:lang w:bidi="ar-DZ"/>
        </w:rPr>
        <w:t xml:space="preserve">                                                      </w:t>
      </w:r>
      <w:r>
        <w:rPr>
          <w:rFonts w:asciiTheme="majorBidi" w:hAnsiTheme="majorBidi" w:cs="Times New Roman"/>
          <w:sz w:val="24"/>
          <w:szCs w:val="24"/>
          <w:lang w:bidi="ar-DZ"/>
        </w:rPr>
        <w:t xml:space="preserve"> </w:t>
      </w:r>
      <w:r>
        <w:rPr>
          <w:rFonts w:asciiTheme="majorBidi" w:hAnsiTheme="majorBidi" w:cs="Times New Roman" w:hint="cs"/>
          <w:sz w:val="24"/>
          <w:szCs w:val="24"/>
          <w:rtl/>
          <w:lang w:bidi="ar-DZ"/>
        </w:rPr>
        <w:t xml:space="preserve">      </w:t>
      </w:r>
      <w:r>
        <w:rPr>
          <w:rFonts w:asciiTheme="majorBidi" w:hAnsiTheme="majorBidi" w:cstheme="majorBidi" w:hint="cs"/>
          <w:sz w:val="24"/>
          <w:szCs w:val="24"/>
          <w:rtl/>
          <w:lang w:bidi="ar-DZ"/>
        </w:rPr>
        <w:t xml:space="preserve"> </w:t>
      </w:r>
    </w:p>
    <w:p w14:paraId="09569E74" w14:textId="77777777" w:rsidR="003E3FB4" w:rsidRDefault="00385ED0">
      <w:pPr>
        <w:spacing w:after="0"/>
        <w:jc w:val="center"/>
        <w:rPr>
          <w:rFonts w:asciiTheme="majorBidi" w:hAnsiTheme="majorBidi" w:cstheme="majorBidi"/>
          <w:b/>
          <w:bCs/>
          <w:sz w:val="28"/>
          <w:szCs w:val="28"/>
          <w:rtl/>
          <w:lang w:bidi="ar-DZ"/>
        </w:rPr>
      </w:pPr>
      <w:r>
        <w:rPr>
          <w:rFonts w:asciiTheme="majorBidi" w:hAnsiTheme="majorBidi" w:cstheme="majorBidi"/>
          <w:b/>
          <w:bCs/>
          <w:sz w:val="28"/>
          <w:szCs w:val="28"/>
          <w:lang w:bidi="ar-DZ"/>
        </w:rPr>
        <w:t>MEMOIRE DE FIN D’ETUDES</w:t>
      </w:r>
    </w:p>
    <w:p w14:paraId="5B097F49" w14:textId="77777777" w:rsidR="003E3FB4" w:rsidRDefault="00385ED0">
      <w:pPr>
        <w:tabs>
          <w:tab w:val="left" w:pos="7995"/>
        </w:tabs>
        <w:spacing w:after="0"/>
        <w:rPr>
          <w:rFonts w:asciiTheme="majorBidi" w:hAnsiTheme="majorBidi" w:cstheme="majorBidi"/>
          <w:b/>
          <w:bCs/>
          <w:sz w:val="28"/>
          <w:szCs w:val="28"/>
          <w:lang w:bidi="ar-DZ"/>
        </w:rPr>
      </w:pPr>
      <w:r>
        <w:rPr>
          <w:rFonts w:asciiTheme="majorBidi" w:hAnsiTheme="majorBidi" w:cstheme="majorBidi"/>
          <w:b/>
          <w:bCs/>
          <w:sz w:val="28"/>
          <w:szCs w:val="28"/>
          <w:lang w:bidi="ar-DZ"/>
        </w:rPr>
        <w:tab/>
      </w:r>
    </w:p>
    <w:p w14:paraId="166507BC" w14:textId="77777777" w:rsidR="003E3FB4" w:rsidRDefault="00385ED0">
      <w:pPr>
        <w:spacing w:after="0"/>
        <w:jc w:val="center"/>
        <w:rPr>
          <w:rFonts w:asciiTheme="majorBidi" w:hAnsiTheme="majorBidi" w:cstheme="majorBidi"/>
          <w:sz w:val="24"/>
          <w:szCs w:val="24"/>
          <w:lang w:bidi="ar-DZ"/>
        </w:rPr>
      </w:pPr>
      <w:r>
        <w:rPr>
          <w:rFonts w:asciiTheme="majorBidi" w:hAnsiTheme="majorBidi" w:cstheme="majorBidi"/>
          <w:sz w:val="24"/>
          <w:szCs w:val="24"/>
          <w:lang w:bidi="ar-DZ"/>
        </w:rPr>
        <w:t>En vue de l’obtention du diplôme de</w:t>
      </w:r>
    </w:p>
    <w:p w14:paraId="3CE68692" w14:textId="77777777" w:rsidR="003E3FB4" w:rsidRDefault="00385ED0">
      <w:pPr>
        <w:tabs>
          <w:tab w:val="left" w:pos="1545"/>
        </w:tabs>
        <w:spacing w:after="0"/>
        <w:rPr>
          <w:rFonts w:asciiTheme="majorBidi" w:hAnsiTheme="majorBidi" w:cstheme="majorBidi"/>
          <w:sz w:val="24"/>
          <w:szCs w:val="24"/>
          <w:lang w:bidi="ar-DZ"/>
        </w:rPr>
      </w:pPr>
      <w:r>
        <w:rPr>
          <w:rFonts w:asciiTheme="majorBidi" w:hAnsiTheme="majorBidi" w:cstheme="majorBidi"/>
          <w:sz w:val="24"/>
          <w:szCs w:val="24"/>
          <w:lang w:bidi="ar-DZ"/>
        </w:rPr>
        <w:tab/>
      </w:r>
    </w:p>
    <w:p w14:paraId="72C56F9E" w14:textId="77777777" w:rsidR="003E3FB4" w:rsidRDefault="00385ED0">
      <w:pPr>
        <w:spacing w:after="0" w:line="360" w:lineRule="auto"/>
        <w:jc w:val="center"/>
        <w:rPr>
          <w:rFonts w:asciiTheme="majorBidi" w:hAnsiTheme="majorBidi" w:cstheme="majorBidi"/>
          <w:b/>
          <w:bCs/>
          <w:sz w:val="28"/>
          <w:szCs w:val="28"/>
          <w:lang w:bidi="ar-DZ"/>
        </w:rPr>
      </w:pPr>
      <w:r>
        <w:rPr>
          <w:rFonts w:asciiTheme="majorBidi" w:hAnsiTheme="majorBidi" w:cstheme="majorBidi"/>
          <w:b/>
          <w:bCs/>
          <w:sz w:val="28"/>
          <w:szCs w:val="28"/>
          <w:lang w:bidi="ar-DZ"/>
        </w:rPr>
        <w:t>MASTER</w:t>
      </w:r>
    </w:p>
    <w:p w14:paraId="1B5805C6" w14:textId="77777777" w:rsidR="003E3FB4" w:rsidRDefault="00385ED0">
      <w:pPr>
        <w:spacing w:after="0" w:line="360" w:lineRule="auto"/>
        <w:jc w:val="center"/>
        <w:rPr>
          <w:rFonts w:asciiTheme="majorBidi" w:hAnsiTheme="majorBidi" w:cstheme="majorBidi"/>
          <w:sz w:val="24"/>
          <w:szCs w:val="24"/>
          <w:lang w:bidi="ar-DZ"/>
        </w:rPr>
      </w:pPr>
      <w:r>
        <w:rPr>
          <w:rFonts w:asciiTheme="majorBidi" w:hAnsiTheme="majorBidi" w:cstheme="majorBidi"/>
          <w:b/>
          <w:bCs/>
          <w:sz w:val="24"/>
          <w:szCs w:val="24"/>
          <w:lang w:bidi="ar-DZ"/>
        </w:rPr>
        <w:t>Domaine</w:t>
      </w:r>
      <w:r>
        <w:rPr>
          <w:rFonts w:asciiTheme="majorBidi" w:hAnsiTheme="majorBidi" w:cstheme="majorBidi"/>
          <w:sz w:val="24"/>
          <w:szCs w:val="24"/>
          <w:lang w:bidi="ar-DZ"/>
        </w:rPr>
        <w:t xml:space="preserve"> : Sciences de la Nature et de la Vie</w:t>
      </w:r>
    </w:p>
    <w:p w14:paraId="1AE23CB2" w14:textId="77777777" w:rsidR="003E3FB4" w:rsidRDefault="00385ED0">
      <w:pPr>
        <w:spacing w:after="0" w:line="360" w:lineRule="auto"/>
        <w:jc w:val="center"/>
        <w:rPr>
          <w:rFonts w:asciiTheme="majorBidi" w:hAnsiTheme="majorBidi" w:cstheme="majorBidi"/>
          <w:sz w:val="24"/>
          <w:szCs w:val="24"/>
          <w:lang w:bidi="ar-DZ"/>
        </w:rPr>
      </w:pPr>
      <w:r>
        <w:rPr>
          <w:rFonts w:asciiTheme="majorBidi" w:hAnsiTheme="majorBidi" w:cstheme="majorBidi"/>
          <w:b/>
          <w:bCs/>
          <w:sz w:val="24"/>
          <w:szCs w:val="24"/>
          <w:lang w:bidi="ar-DZ"/>
        </w:rPr>
        <w:t xml:space="preserve">Filière </w:t>
      </w:r>
      <w:r>
        <w:rPr>
          <w:rFonts w:asciiTheme="majorBidi" w:hAnsiTheme="majorBidi" w:cstheme="majorBidi"/>
          <w:sz w:val="24"/>
          <w:szCs w:val="24"/>
          <w:lang w:bidi="ar-DZ"/>
        </w:rPr>
        <w:t>: Sciences Biologiques</w:t>
      </w:r>
    </w:p>
    <w:p w14:paraId="743F423E" w14:textId="77777777" w:rsidR="003E3FB4" w:rsidRDefault="00385ED0">
      <w:pPr>
        <w:spacing w:after="0" w:line="360" w:lineRule="auto"/>
        <w:jc w:val="center"/>
        <w:rPr>
          <w:rFonts w:asciiTheme="majorBidi" w:hAnsiTheme="majorBidi" w:cstheme="majorBidi"/>
          <w:sz w:val="24"/>
          <w:szCs w:val="24"/>
          <w:rtl/>
          <w:lang w:bidi="ar-DZ"/>
        </w:rPr>
      </w:pPr>
      <w:r>
        <w:rPr>
          <w:rFonts w:asciiTheme="majorBidi" w:hAnsiTheme="majorBidi" w:cstheme="majorBidi"/>
          <w:b/>
          <w:bCs/>
          <w:sz w:val="24"/>
          <w:szCs w:val="24"/>
          <w:lang w:bidi="ar-DZ"/>
        </w:rPr>
        <w:t>Spécialité</w:t>
      </w:r>
      <w:r>
        <w:rPr>
          <w:rFonts w:asciiTheme="majorBidi" w:hAnsiTheme="majorBidi" w:cstheme="majorBidi"/>
          <w:sz w:val="24"/>
          <w:szCs w:val="24"/>
          <w:lang w:bidi="ar-DZ"/>
        </w:rPr>
        <w:t xml:space="preserve"> : Microbiologie appliquée</w:t>
      </w:r>
    </w:p>
    <w:p w14:paraId="39DD2C99" w14:textId="77777777" w:rsidR="003E3FB4" w:rsidRDefault="003E3FB4">
      <w:pPr>
        <w:spacing w:after="0" w:line="360" w:lineRule="auto"/>
        <w:jc w:val="center"/>
        <w:rPr>
          <w:rFonts w:asciiTheme="majorBidi" w:hAnsiTheme="majorBidi" w:cstheme="majorBidi"/>
          <w:sz w:val="24"/>
          <w:szCs w:val="24"/>
          <w:rtl/>
          <w:lang w:bidi="ar-DZ"/>
        </w:rPr>
      </w:pPr>
    </w:p>
    <w:p w14:paraId="7504CEF5" w14:textId="77777777" w:rsidR="003E3FB4" w:rsidRDefault="00385ED0">
      <w:pPr>
        <w:spacing w:after="100" w:afterAutospacing="1" w:line="360" w:lineRule="auto"/>
        <w:jc w:val="center"/>
        <w:rPr>
          <w:rFonts w:asciiTheme="majorBidi" w:hAnsiTheme="majorBidi" w:cstheme="majorBidi"/>
          <w:b/>
          <w:bCs/>
          <w:sz w:val="26"/>
          <w:szCs w:val="26"/>
          <w:lang w:bidi="ar-DZ"/>
        </w:rPr>
      </w:pPr>
      <w:r>
        <w:rPr>
          <w:rFonts w:asciiTheme="majorBidi" w:hAnsiTheme="majorBidi" w:cstheme="majorBidi"/>
          <w:b/>
          <w:bCs/>
          <w:sz w:val="26"/>
          <w:szCs w:val="26"/>
          <w:lang w:bidi="ar-DZ"/>
        </w:rPr>
        <w:t>THEME</w:t>
      </w:r>
    </w:p>
    <w:p w14:paraId="71536E73" w14:textId="22C53577" w:rsidR="00A57073" w:rsidRDefault="00385ED0" w:rsidP="00811186">
      <w:pPr>
        <w:pBdr>
          <w:top w:val="thinThickSmallGap" w:sz="18" w:space="0" w:color="B4C6E7" w:themeColor="accent1" w:themeTint="66"/>
          <w:bottom w:val="thickThinSmallGap" w:sz="18" w:space="1" w:color="B4C6E7" w:themeColor="accent1" w:themeTint="66"/>
        </w:pBdr>
        <w:spacing w:after="0" w:line="360" w:lineRule="auto"/>
        <w:jc w:val="center"/>
        <w:rPr>
          <w:rFonts w:asciiTheme="majorBidi" w:hAnsiTheme="majorBidi" w:cstheme="majorBidi"/>
          <w:b/>
          <w:bCs/>
          <w:sz w:val="32"/>
          <w:szCs w:val="32"/>
          <w:lang w:bidi="ar-DZ"/>
        </w:rPr>
      </w:pPr>
      <w:r w:rsidRPr="00A57073">
        <w:rPr>
          <w:rFonts w:asciiTheme="majorBidi" w:hAnsiTheme="majorBidi" w:cstheme="majorBidi"/>
          <w:b/>
          <w:bCs/>
          <w:sz w:val="32"/>
          <w:szCs w:val="32"/>
          <w:lang w:bidi="ar-DZ"/>
        </w:rPr>
        <w:t>L`étude d</w:t>
      </w:r>
      <w:r w:rsidR="00684CDD">
        <w:rPr>
          <w:rFonts w:asciiTheme="majorBidi" w:hAnsiTheme="majorBidi" w:cstheme="majorBidi"/>
          <w:b/>
          <w:bCs/>
          <w:sz w:val="32"/>
          <w:szCs w:val="32"/>
          <w:lang w:bidi="ar-DZ"/>
        </w:rPr>
        <w:t>e l</w:t>
      </w:r>
      <w:r w:rsidRPr="00A57073">
        <w:rPr>
          <w:rFonts w:asciiTheme="majorBidi" w:hAnsiTheme="majorBidi" w:cstheme="majorBidi"/>
          <w:b/>
          <w:bCs/>
          <w:sz w:val="32"/>
          <w:szCs w:val="32"/>
          <w:lang w:bidi="ar-DZ"/>
        </w:rPr>
        <w:t xml:space="preserve">’activité biologique des graines de fenugrec </w:t>
      </w:r>
      <w:r w:rsidR="00811186">
        <w:rPr>
          <w:rFonts w:asciiTheme="majorBidi" w:hAnsiTheme="majorBidi" w:cstheme="majorBidi"/>
          <w:b/>
          <w:bCs/>
          <w:sz w:val="32"/>
          <w:szCs w:val="32"/>
          <w:lang w:bidi="ar-DZ"/>
        </w:rPr>
        <w:t>i</w:t>
      </w:r>
      <w:r w:rsidR="00811186" w:rsidRPr="00811186">
        <w:rPr>
          <w:rFonts w:asciiTheme="majorBidi" w:hAnsiTheme="majorBidi" w:cstheme="majorBidi"/>
          <w:b/>
          <w:bCs/>
          <w:sz w:val="32"/>
          <w:szCs w:val="32"/>
          <w:lang w:bidi="ar-DZ"/>
        </w:rPr>
        <w:t>m</w:t>
      </w:r>
      <w:r w:rsidR="00811186">
        <w:rPr>
          <w:rFonts w:asciiTheme="majorBidi" w:hAnsiTheme="majorBidi" w:cstheme="majorBidi"/>
          <w:b/>
          <w:bCs/>
          <w:sz w:val="32"/>
          <w:szCs w:val="32"/>
          <w:lang w:bidi="ar-DZ"/>
        </w:rPr>
        <w:t xml:space="preserve">porte d`inde </w:t>
      </w:r>
      <w:r w:rsidR="00B45BF4">
        <w:rPr>
          <w:rFonts w:asciiTheme="majorBidi" w:hAnsiTheme="majorBidi" w:cstheme="majorBidi"/>
          <w:b/>
          <w:bCs/>
          <w:sz w:val="32"/>
          <w:szCs w:val="32"/>
          <w:lang w:bidi="ar-DZ"/>
        </w:rPr>
        <w:t>(</w:t>
      </w:r>
      <w:r w:rsidR="00A57073" w:rsidRPr="00A57073">
        <w:rPr>
          <w:rFonts w:asciiTheme="majorBidi" w:hAnsiTheme="majorBidi" w:cstheme="majorBidi"/>
          <w:b/>
          <w:bCs/>
          <w:i/>
          <w:iCs/>
          <w:sz w:val="32"/>
          <w:szCs w:val="32"/>
          <w:lang w:bidi="ar-DZ"/>
        </w:rPr>
        <w:t>Trigonella foenum-graecum</w:t>
      </w:r>
      <w:r w:rsidR="00A57073" w:rsidRPr="00A57073">
        <w:rPr>
          <w:rFonts w:asciiTheme="majorBidi" w:hAnsiTheme="majorBidi" w:cstheme="majorBidi"/>
          <w:b/>
          <w:bCs/>
          <w:sz w:val="32"/>
          <w:szCs w:val="32"/>
          <w:lang w:bidi="ar-DZ"/>
        </w:rPr>
        <w:t xml:space="preserve"> L</w:t>
      </w:r>
      <w:r w:rsidR="00B45BF4">
        <w:rPr>
          <w:rFonts w:asciiTheme="majorBidi" w:hAnsiTheme="majorBidi" w:cstheme="majorBidi"/>
          <w:b/>
          <w:bCs/>
          <w:sz w:val="32"/>
          <w:szCs w:val="32"/>
          <w:lang w:bidi="ar-DZ"/>
        </w:rPr>
        <w:t>)</w:t>
      </w:r>
      <w:r w:rsidR="00684CDD">
        <w:rPr>
          <w:rFonts w:asciiTheme="majorBidi" w:hAnsiTheme="majorBidi" w:cstheme="majorBidi"/>
          <w:b/>
          <w:bCs/>
          <w:sz w:val="32"/>
          <w:szCs w:val="32"/>
          <w:lang w:bidi="ar-DZ"/>
        </w:rPr>
        <w:t>.</w:t>
      </w:r>
    </w:p>
    <w:p w14:paraId="7AC86BD4" w14:textId="77777777" w:rsidR="003E3FB4" w:rsidRDefault="00385ED0">
      <w:pPr>
        <w:spacing w:after="0" w:line="360" w:lineRule="auto"/>
        <w:rPr>
          <w:rFonts w:asciiTheme="majorBidi" w:hAnsiTheme="majorBidi" w:cstheme="majorBidi"/>
          <w:sz w:val="28"/>
          <w:szCs w:val="28"/>
          <w:lang w:bidi="ar-DZ"/>
        </w:rPr>
      </w:pPr>
      <w:r>
        <w:rPr>
          <w:rFonts w:asciiTheme="majorBidi" w:hAnsiTheme="majorBidi" w:cstheme="majorBidi"/>
          <w:sz w:val="28"/>
          <w:szCs w:val="28"/>
          <w:lang w:bidi="ar-DZ"/>
        </w:rPr>
        <w:t xml:space="preserve">        </w:t>
      </w:r>
    </w:p>
    <w:p w14:paraId="56617F0C" w14:textId="50E7C2AB" w:rsidR="00684CDD" w:rsidRPr="00684CDD" w:rsidRDefault="00684CDD">
      <w:pPr>
        <w:spacing w:after="0" w:line="360" w:lineRule="auto"/>
        <w:rPr>
          <w:rFonts w:asciiTheme="majorBidi" w:hAnsiTheme="majorBidi" w:cstheme="majorBidi"/>
          <w:b/>
          <w:bCs/>
          <w:sz w:val="24"/>
          <w:szCs w:val="24"/>
          <w:lang w:bidi="ar-DZ"/>
        </w:rPr>
      </w:pPr>
      <w:r>
        <w:rPr>
          <w:rFonts w:asciiTheme="majorBidi" w:hAnsiTheme="majorBidi" w:cstheme="majorBidi"/>
          <w:sz w:val="28"/>
          <w:szCs w:val="28"/>
          <w:lang w:bidi="ar-DZ"/>
        </w:rPr>
        <w:t xml:space="preserve">                                                  </w:t>
      </w:r>
      <w:r w:rsidRPr="00684CDD">
        <w:rPr>
          <w:rFonts w:asciiTheme="majorBidi" w:hAnsiTheme="majorBidi" w:cstheme="majorBidi"/>
          <w:sz w:val="24"/>
          <w:szCs w:val="24"/>
          <w:lang w:bidi="ar-DZ"/>
        </w:rPr>
        <w:t>Réalisé</w:t>
      </w:r>
      <w:r>
        <w:rPr>
          <w:rFonts w:asciiTheme="majorBidi" w:hAnsiTheme="majorBidi" w:cstheme="majorBidi"/>
          <w:sz w:val="24"/>
          <w:szCs w:val="24"/>
          <w:lang w:bidi="ar-DZ"/>
        </w:rPr>
        <w:t>e</w:t>
      </w:r>
      <w:r w:rsidRPr="00684CDD">
        <w:rPr>
          <w:rFonts w:asciiTheme="majorBidi" w:hAnsiTheme="majorBidi" w:cstheme="majorBidi"/>
          <w:sz w:val="24"/>
          <w:szCs w:val="24"/>
          <w:lang w:bidi="ar-DZ"/>
        </w:rPr>
        <w:t xml:space="preserve"> par :</w:t>
      </w:r>
      <w:r w:rsidRPr="00684CDD">
        <w:rPr>
          <w:rFonts w:asciiTheme="majorBidi" w:hAnsiTheme="majorBidi" w:cstheme="majorBidi"/>
          <w:b/>
          <w:bCs/>
          <w:sz w:val="24"/>
          <w:szCs w:val="24"/>
          <w:lang w:bidi="ar-DZ"/>
        </w:rPr>
        <w:t xml:space="preserve"> </w:t>
      </w:r>
    </w:p>
    <w:p w14:paraId="046ADEFE" w14:textId="43DC3F50" w:rsidR="00684CDD" w:rsidRDefault="00684CDD">
      <w:pPr>
        <w:spacing w:after="0" w:line="360" w:lineRule="auto"/>
        <w:rPr>
          <w:rFonts w:asciiTheme="majorBidi" w:hAnsiTheme="majorBidi" w:cstheme="majorBidi"/>
          <w:b/>
          <w:bCs/>
          <w:sz w:val="24"/>
          <w:szCs w:val="24"/>
          <w:lang w:bidi="ar-DZ"/>
        </w:rPr>
      </w:pPr>
      <w:r>
        <w:rPr>
          <w:rFonts w:asciiTheme="majorBidi" w:hAnsiTheme="majorBidi" w:cstheme="majorBidi"/>
          <w:b/>
          <w:bCs/>
          <w:sz w:val="24"/>
          <w:szCs w:val="24"/>
          <w:lang w:bidi="ar-DZ"/>
        </w:rPr>
        <w:t xml:space="preserve">                                                </w:t>
      </w:r>
      <w:r w:rsidRPr="00684CDD">
        <w:rPr>
          <w:rFonts w:asciiTheme="majorBidi" w:hAnsiTheme="majorBidi" w:cstheme="majorBidi"/>
          <w:b/>
          <w:bCs/>
          <w:sz w:val="24"/>
          <w:szCs w:val="24"/>
          <w:lang w:bidi="ar-DZ"/>
        </w:rPr>
        <w:t xml:space="preserve">Bouderbala Karima et </w:t>
      </w:r>
    </w:p>
    <w:p w14:paraId="75DDABEF" w14:textId="36859734" w:rsidR="003E3FB4" w:rsidRDefault="00684CDD">
      <w:pPr>
        <w:spacing w:after="0" w:line="360" w:lineRule="auto"/>
        <w:rPr>
          <w:rFonts w:asciiTheme="majorBidi" w:hAnsiTheme="majorBidi" w:cstheme="majorBidi"/>
          <w:b/>
          <w:bCs/>
          <w:sz w:val="28"/>
          <w:szCs w:val="28"/>
          <w:lang w:bidi="ar-DZ"/>
        </w:rPr>
      </w:pPr>
      <w:r>
        <w:rPr>
          <w:rFonts w:asciiTheme="majorBidi" w:hAnsiTheme="majorBidi" w:cstheme="majorBidi"/>
          <w:b/>
          <w:bCs/>
          <w:sz w:val="24"/>
          <w:szCs w:val="24"/>
          <w:lang w:bidi="ar-DZ"/>
        </w:rPr>
        <w:t xml:space="preserve">                                                </w:t>
      </w:r>
      <w:r w:rsidRPr="00684CDD">
        <w:rPr>
          <w:rFonts w:asciiTheme="majorBidi" w:hAnsiTheme="majorBidi" w:cstheme="majorBidi"/>
          <w:b/>
          <w:bCs/>
          <w:sz w:val="24"/>
          <w:szCs w:val="24"/>
          <w:lang w:bidi="ar-DZ"/>
        </w:rPr>
        <w:t>Benzerhouda Hafidha</w:t>
      </w:r>
      <w:r>
        <w:rPr>
          <w:rFonts w:asciiTheme="majorBidi" w:hAnsiTheme="majorBidi" w:cstheme="majorBidi"/>
          <w:b/>
          <w:bCs/>
          <w:sz w:val="28"/>
          <w:szCs w:val="28"/>
          <w:lang w:bidi="ar-DZ"/>
        </w:rPr>
        <w:t xml:space="preserve"> </w:t>
      </w:r>
    </w:p>
    <w:p w14:paraId="5419DCD8" w14:textId="33F85E10" w:rsidR="003E3FB4" w:rsidRDefault="00385ED0">
      <w:pPr>
        <w:spacing w:after="391"/>
        <w:rPr>
          <w:rFonts w:ascii="Calisto MT" w:eastAsia="Calisto MT" w:hAnsi="Calisto MT" w:cs="Calisto MT"/>
        </w:rPr>
      </w:pPr>
      <w:r>
        <w:rPr>
          <w:rFonts w:ascii="Calisto MT" w:eastAsia="Calisto MT" w:hAnsi="Calisto MT" w:cs="Calisto MT"/>
        </w:rPr>
        <w:t xml:space="preserve">Soutenu le </w:t>
      </w:r>
      <w:r w:rsidR="00684CDD">
        <w:rPr>
          <w:rFonts w:ascii="Calisto MT" w:eastAsia="Calisto MT" w:hAnsi="Calisto MT" w:cs="Calisto MT"/>
        </w:rPr>
        <w:t>22</w:t>
      </w:r>
      <w:r>
        <w:rPr>
          <w:rFonts w:ascii="Calisto MT" w:eastAsia="Calisto MT" w:hAnsi="Calisto MT" w:cs="Calisto MT"/>
        </w:rPr>
        <w:t>/ 0</w:t>
      </w:r>
      <w:r w:rsidR="00684CDD">
        <w:rPr>
          <w:rFonts w:ascii="Calisto MT" w:eastAsia="Calisto MT" w:hAnsi="Calisto MT" w:cs="Calisto MT"/>
        </w:rPr>
        <w:t>6</w:t>
      </w:r>
      <w:r>
        <w:rPr>
          <w:rFonts w:ascii="Calisto MT" w:eastAsia="Calisto MT" w:hAnsi="Calisto MT" w:cs="Calisto MT"/>
        </w:rPr>
        <w:t xml:space="preserve"> /2025 devant le jury composé de :</w:t>
      </w:r>
    </w:p>
    <w:tbl>
      <w:tblPr>
        <w:tblStyle w:val="TableGrid1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4"/>
        <w:gridCol w:w="1151"/>
        <w:gridCol w:w="2213"/>
        <w:gridCol w:w="1132"/>
        <w:gridCol w:w="2277"/>
      </w:tblGrid>
      <w:tr w:rsidR="003E3FB4" w14:paraId="65894E97" w14:textId="77777777">
        <w:trPr>
          <w:trHeight w:val="383"/>
        </w:trPr>
        <w:tc>
          <w:tcPr>
            <w:tcW w:w="2004" w:type="dxa"/>
          </w:tcPr>
          <w:p w14:paraId="7F3A2F65" w14:textId="77777777" w:rsidR="003E3FB4" w:rsidRDefault="00385ED0" w:rsidP="00684CDD">
            <w:pPr>
              <w:spacing w:after="0" w:line="360" w:lineRule="auto"/>
              <w:rPr>
                <w:rFonts w:asciiTheme="majorBidi" w:eastAsia="Calisto MT" w:hAnsiTheme="majorBidi" w:cstheme="majorBidi"/>
                <w:b/>
                <w:bCs/>
                <w:sz w:val="24"/>
                <w:szCs w:val="24"/>
              </w:rPr>
            </w:pPr>
            <w:r>
              <w:rPr>
                <w:rFonts w:asciiTheme="majorBidi" w:eastAsia="Calisto MT" w:hAnsiTheme="majorBidi" w:cstheme="majorBidi"/>
                <w:b/>
                <w:bCs/>
                <w:sz w:val="24"/>
                <w:szCs w:val="24"/>
              </w:rPr>
              <w:t xml:space="preserve">Présidente </w:t>
            </w:r>
          </w:p>
        </w:tc>
        <w:tc>
          <w:tcPr>
            <w:tcW w:w="1151" w:type="dxa"/>
          </w:tcPr>
          <w:p w14:paraId="7639293A" w14:textId="77777777" w:rsidR="003E3FB4" w:rsidRDefault="00385ED0" w:rsidP="00684CDD">
            <w:pPr>
              <w:spacing w:after="0" w:line="360" w:lineRule="auto"/>
              <w:rPr>
                <w:rFonts w:asciiTheme="majorBidi" w:eastAsia="Calisto MT" w:hAnsiTheme="majorBidi" w:cstheme="majorBidi"/>
                <w:sz w:val="24"/>
                <w:szCs w:val="24"/>
              </w:rPr>
            </w:pPr>
            <w:r>
              <w:rPr>
                <w:rFonts w:asciiTheme="majorBidi" w:eastAsia="Calisto MT" w:hAnsiTheme="majorBidi" w:cstheme="majorBidi"/>
                <w:sz w:val="24"/>
                <w:szCs w:val="24"/>
              </w:rPr>
              <w:t>Mme</w:t>
            </w:r>
          </w:p>
        </w:tc>
        <w:tc>
          <w:tcPr>
            <w:tcW w:w="2213" w:type="dxa"/>
          </w:tcPr>
          <w:p w14:paraId="09EF99DF" w14:textId="02A0EE20" w:rsidR="003E3FB4" w:rsidRDefault="00684CDD" w:rsidP="00684CDD">
            <w:pPr>
              <w:spacing w:after="0" w:line="360" w:lineRule="auto"/>
              <w:rPr>
                <w:rFonts w:asciiTheme="majorBidi" w:eastAsia="Calisto MT" w:hAnsiTheme="majorBidi" w:cstheme="majorBidi"/>
                <w:sz w:val="24"/>
                <w:szCs w:val="24"/>
              </w:rPr>
            </w:pPr>
            <w:r w:rsidRPr="00684CDD">
              <w:rPr>
                <w:rFonts w:asciiTheme="majorBidi" w:eastAsia="Calisto MT" w:hAnsiTheme="majorBidi" w:cstheme="majorBidi"/>
                <w:sz w:val="24"/>
                <w:szCs w:val="24"/>
              </w:rPr>
              <w:t>Bens</w:t>
            </w:r>
            <w:r w:rsidR="00B45BF4">
              <w:rPr>
                <w:rFonts w:asciiTheme="majorBidi" w:eastAsia="Calisto MT" w:hAnsiTheme="majorBidi" w:cstheme="majorBidi"/>
                <w:sz w:val="24"/>
                <w:szCs w:val="24"/>
              </w:rPr>
              <w:t>e</w:t>
            </w:r>
            <w:r w:rsidRPr="00684CDD">
              <w:rPr>
                <w:rFonts w:asciiTheme="majorBidi" w:eastAsia="Calisto MT" w:hAnsiTheme="majorBidi" w:cstheme="majorBidi"/>
                <w:sz w:val="24"/>
                <w:szCs w:val="24"/>
              </w:rPr>
              <w:t>hila S</w:t>
            </w:r>
            <w:r>
              <w:rPr>
                <w:rFonts w:asciiTheme="majorBidi" w:eastAsia="Calisto MT" w:hAnsiTheme="majorBidi" w:cstheme="majorBidi"/>
                <w:sz w:val="24"/>
                <w:szCs w:val="24"/>
              </w:rPr>
              <w:t>.</w:t>
            </w:r>
          </w:p>
        </w:tc>
        <w:tc>
          <w:tcPr>
            <w:tcW w:w="1132" w:type="dxa"/>
          </w:tcPr>
          <w:p w14:paraId="47EEC6F8" w14:textId="22653A5C" w:rsidR="003E3FB4" w:rsidRDefault="00385ED0" w:rsidP="00684CDD">
            <w:pPr>
              <w:spacing w:after="0" w:line="360" w:lineRule="auto"/>
              <w:rPr>
                <w:rFonts w:asciiTheme="majorBidi" w:eastAsia="Calisto MT" w:hAnsiTheme="majorBidi" w:cstheme="majorBidi"/>
                <w:sz w:val="24"/>
                <w:szCs w:val="24"/>
              </w:rPr>
            </w:pPr>
            <w:r>
              <w:rPr>
                <w:rFonts w:asciiTheme="majorBidi" w:eastAsia="Calisto MT" w:hAnsiTheme="majorBidi" w:cstheme="majorBidi"/>
                <w:sz w:val="24"/>
                <w:szCs w:val="24"/>
              </w:rPr>
              <w:t>MC</w:t>
            </w:r>
            <w:r w:rsidR="00684CDD">
              <w:rPr>
                <w:rFonts w:asciiTheme="majorBidi" w:eastAsia="Calisto MT" w:hAnsiTheme="majorBidi" w:cstheme="majorBidi"/>
                <w:sz w:val="24"/>
                <w:szCs w:val="24"/>
              </w:rPr>
              <w:t>A</w:t>
            </w:r>
          </w:p>
        </w:tc>
        <w:tc>
          <w:tcPr>
            <w:tcW w:w="2277" w:type="dxa"/>
          </w:tcPr>
          <w:p w14:paraId="2E53F275" w14:textId="77777777" w:rsidR="003E3FB4" w:rsidRDefault="00385ED0" w:rsidP="00684CDD">
            <w:pPr>
              <w:spacing w:after="0" w:line="360" w:lineRule="auto"/>
              <w:rPr>
                <w:rFonts w:asciiTheme="majorBidi" w:eastAsia="Calisto MT" w:hAnsiTheme="majorBidi" w:cstheme="majorBidi"/>
                <w:sz w:val="24"/>
                <w:szCs w:val="24"/>
              </w:rPr>
            </w:pPr>
            <w:r>
              <w:rPr>
                <w:rFonts w:asciiTheme="majorBidi" w:eastAsia="Calisto MT" w:hAnsiTheme="majorBidi" w:cstheme="majorBidi"/>
                <w:sz w:val="24"/>
                <w:szCs w:val="24"/>
              </w:rPr>
              <w:t>U. Khemis Miliana</w:t>
            </w:r>
          </w:p>
        </w:tc>
      </w:tr>
      <w:tr w:rsidR="003E3FB4" w14:paraId="5A698179" w14:textId="77777777">
        <w:trPr>
          <w:trHeight w:val="350"/>
        </w:trPr>
        <w:tc>
          <w:tcPr>
            <w:tcW w:w="2004" w:type="dxa"/>
          </w:tcPr>
          <w:p w14:paraId="5F98D9C2" w14:textId="77777777" w:rsidR="003E3FB4" w:rsidRDefault="00385ED0" w:rsidP="00684CDD">
            <w:pPr>
              <w:spacing w:after="0" w:line="360" w:lineRule="auto"/>
              <w:rPr>
                <w:rFonts w:asciiTheme="majorBidi" w:eastAsia="Calisto MT" w:hAnsiTheme="majorBidi" w:cstheme="majorBidi"/>
                <w:b/>
                <w:bCs/>
                <w:sz w:val="24"/>
                <w:szCs w:val="24"/>
              </w:rPr>
            </w:pPr>
            <w:r>
              <w:rPr>
                <w:rFonts w:asciiTheme="majorBidi" w:eastAsia="Calisto MT" w:hAnsiTheme="majorBidi" w:cstheme="majorBidi"/>
                <w:b/>
                <w:bCs/>
                <w:sz w:val="24"/>
                <w:szCs w:val="24"/>
              </w:rPr>
              <w:t>Promotrice</w:t>
            </w:r>
          </w:p>
        </w:tc>
        <w:tc>
          <w:tcPr>
            <w:tcW w:w="1151" w:type="dxa"/>
          </w:tcPr>
          <w:p w14:paraId="05E6DEB1" w14:textId="77777777" w:rsidR="003E3FB4" w:rsidRDefault="00385ED0" w:rsidP="00684CDD">
            <w:pPr>
              <w:spacing w:after="0" w:line="360" w:lineRule="auto"/>
              <w:rPr>
                <w:rFonts w:asciiTheme="majorBidi" w:eastAsia="Calisto MT" w:hAnsiTheme="majorBidi" w:cstheme="majorBidi"/>
                <w:sz w:val="24"/>
                <w:szCs w:val="24"/>
              </w:rPr>
            </w:pPr>
            <w:r>
              <w:rPr>
                <w:rFonts w:asciiTheme="majorBidi" w:eastAsia="Calisto MT" w:hAnsiTheme="majorBidi" w:cstheme="majorBidi"/>
                <w:sz w:val="24"/>
                <w:szCs w:val="24"/>
              </w:rPr>
              <w:t>Mme</w:t>
            </w:r>
          </w:p>
        </w:tc>
        <w:tc>
          <w:tcPr>
            <w:tcW w:w="2213" w:type="dxa"/>
          </w:tcPr>
          <w:p w14:paraId="04F9DF68" w14:textId="3476E299" w:rsidR="003E3FB4" w:rsidRDefault="00385ED0" w:rsidP="00684CDD">
            <w:pPr>
              <w:spacing w:after="0" w:line="360" w:lineRule="auto"/>
              <w:rPr>
                <w:rFonts w:asciiTheme="majorBidi" w:eastAsia="Calisto MT" w:hAnsiTheme="majorBidi" w:cstheme="majorBidi"/>
                <w:sz w:val="24"/>
                <w:szCs w:val="24"/>
              </w:rPr>
            </w:pPr>
            <w:r>
              <w:rPr>
                <w:rFonts w:asciiTheme="majorBidi" w:eastAsia="Calisto MT" w:hAnsiTheme="majorBidi" w:cstheme="majorBidi"/>
                <w:sz w:val="24"/>
                <w:szCs w:val="24"/>
              </w:rPr>
              <w:t>Guermache L</w:t>
            </w:r>
            <w:r w:rsidR="00684CDD">
              <w:rPr>
                <w:rFonts w:asciiTheme="majorBidi" w:eastAsia="Calisto MT" w:hAnsiTheme="majorBidi" w:cstheme="majorBidi"/>
                <w:sz w:val="24"/>
                <w:szCs w:val="24"/>
              </w:rPr>
              <w:t>.</w:t>
            </w:r>
          </w:p>
        </w:tc>
        <w:tc>
          <w:tcPr>
            <w:tcW w:w="1132" w:type="dxa"/>
          </w:tcPr>
          <w:p w14:paraId="00FC479E" w14:textId="2A4C3CE1" w:rsidR="003E3FB4" w:rsidRDefault="00385ED0" w:rsidP="00684CDD">
            <w:pPr>
              <w:spacing w:after="0" w:line="360" w:lineRule="auto"/>
              <w:rPr>
                <w:rFonts w:asciiTheme="majorBidi" w:eastAsia="Calisto MT" w:hAnsiTheme="majorBidi" w:cstheme="majorBidi"/>
                <w:sz w:val="24"/>
                <w:szCs w:val="24"/>
              </w:rPr>
            </w:pPr>
            <w:r>
              <w:rPr>
                <w:rFonts w:asciiTheme="majorBidi" w:eastAsia="Calisto MT" w:hAnsiTheme="majorBidi" w:cstheme="majorBidi"/>
                <w:sz w:val="24"/>
                <w:szCs w:val="24"/>
              </w:rPr>
              <w:t>MC</w:t>
            </w:r>
            <w:r w:rsidR="00684CDD">
              <w:rPr>
                <w:rFonts w:asciiTheme="majorBidi" w:eastAsia="Calisto MT" w:hAnsiTheme="majorBidi" w:cstheme="majorBidi"/>
                <w:sz w:val="24"/>
                <w:szCs w:val="24"/>
              </w:rPr>
              <w:t>B</w:t>
            </w:r>
          </w:p>
        </w:tc>
        <w:tc>
          <w:tcPr>
            <w:tcW w:w="2277" w:type="dxa"/>
          </w:tcPr>
          <w:p w14:paraId="695419AA" w14:textId="77777777" w:rsidR="003E3FB4" w:rsidRDefault="00385ED0" w:rsidP="00684CDD">
            <w:pPr>
              <w:spacing w:after="0" w:line="360" w:lineRule="auto"/>
              <w:rPr>
                <w:rFonts w:asciiTheme="majorBidi" w:eastAsia="Calisto MT" w:hAnsiTheme="majorBidi" w:cstheme="majorBidi"/>
                <w:sz w:val="24"/>
                <w:szCs w:val="24"/>
              </w:rPr>
            </w:pPr>
            <w:r>
              <w:rPr>
                <w:rFonts w:asciiTheme="majorBidi" w:eastAsia="Calisto MT" w:hAnsiTheme="majorBidi" w:cstheme="majorBidi"/>
                <w:sz w:val="24"/>
                <w:szCs w:val="24"/>
              </w:rPr>
              <w:t>U. Khemis Miliana</w:t>
            </w:r>
          </w:p>
        </w:tc>
      </w:tr>
      <w:tr w:rsidR="003E3FB4" w14:paraId="4C9EBF27" w14:textId="77777777">
        <w:trPr>
          <w:trHeight w:val="365"/>
        </w:trPr>
        <w:tc>
          <w:tcPr>
            <w:tcW w:w="2004" w:type="dxa"/>
          </w:tcPr>
          <w:p w14:paraId="1C98E7C9" w14:textId="77777777" w:rsidR="003E3FB4" w:rsidRDefault="00385ED0" w:rsidP="00684CDD">
            <w:pPr>
              <w:spacing w:after="0" w:line="360" w:lineRule="auto"/>
              <w:rPr>
                <w:rFonts w:asciiTheme="majorBidi" w:eastAsia="Calisto MT" w:hAnsiTheme="majorBidi" w:cstheme="majorBidi"/>
                <w:b/>
                <w:bCs/>
                <w:sz w:val="24"/>
                <w:szCs w:val="24"/>
              </w:rPr>
            </w:pPr>
            <w:r>
              <w:rPr>
                <w:rFonts w:asciiTheme="majorBidi" w:eastAsia="Calisto MT" w:hAnsiTheme="majorBidi" w:cstheme="majorBidi"/>
                <w:b/>
                <w:bCs/>
                <w:sz w:val="24"/>
                <w:szCs w:val="24"/>
              </w:rPr>
              <w:t>Co-Promotrice</w:t>
            </w:r>
          </w:p>
        </w:tc>
        <w:tc>
          <w:tcPr>
            <w:tcW w:w="1151" w:type="dxa"/>
          </w:tcPr>
          <w:p w14:paraId="3100C1EB" w14:textId="77777777" w:rsidR="003E3FB4" w:rsidRDefault="00385ED0" w:rsidP="00684CDD">
            <w:pPr>
              <w:spacing w:after="0" w:line="360" w:lineRule="auto"/>
              <w:rPr>
                <w:rFonts w:asciiTheme="majorBidi" w:eastAsia="Calisto MT" w:hAnsiTheme="majorBidi" w:cstheme="majorBidi"/>
                <w:sz w:val="24"/>
                <w:szCs w:val="24"/>
              </w:rPr>
            </w:pPr>
            <w:r>
              <w:rPr>
                <w:rFonts w:asciiTheme="majorBidi" w:eastAsia="Calisto MT" w:hAnsiTheme="majorBidi" w:cstheme="majorBidi"/>
                <w:sz w:val="24"/>
                <w:szCs w:val="24"/>
              </w:rPr>
              <w:t xml:space="preserve">Mme </w:t>
            </w:r>
          </w:p>
        </w:tc>
        <w:tc>
          <w:tcPr>
            <w:tcW w:w="2213" w:type="dxa"/>
          </w:tcPr>
          <w:p w14:paraId="051C1B2F" w14:textId="055BF948" w:rsidR="003E3FB4" w:rsidRDefault="00385ED0" w:rsidP="00684CDD">
            <w:pPr>
              <w:spacing w:after="0" w:line="360" w:lineRule="auto"/>
              <w:rPr>
                <w:rFonts w:asciiTheme="majorBidi" w:eastAsia="Calisto MT" w:hAnsiTheme="majorBidi" w:cstheme="majorBidi"/>
                <w:sz w:val="24"/>
                <w:szCs w:val="24"/>
              </w:rPr>
            </w:pPr>
            <w:r>
              <w:rPr>
                <w:rFonts w:asciiTheme="majorBidi" w:hAnsiTheme="majorBidi" w:cstheme="majorBidi"/>
                <w:sz w:val="24"/>
                <w:szCs w:val="24"/>
              </w:rPr>
              <w:t>Cassasn</w:t>
            </w:r>
            <w:r w:rsidR="00684CDD">
              <w:rPr>
                <w:rFonts w:asciiTheme="majorBidi" w:hAnsiTheme="majorBidi" w:cstheme="majorBidi"/>
                <w:sz w:val="24"/>
                <w:szCs w:val="24"/>
              </w:rPr>
              <w:t xml:space="preserve">i </w:t>
            </w:r>
            <w:r>
              <w:rPr>
                <w:rFonts w:asciiTheme="majorBidi" w:hAnsiTheme="majorBidi" w:cstheme="majorBidi"/>
                <w:sz w:val="24"/>
                <w:szCs w:val="24"/>
              </w:rPr>
              <w:t>L</w:t>
            </w:r>
            <w:r w:rsidR="00684CDD">
              <w:rPr>
                <w:rFonts w:asciiTheme="majorBidi" w:hAnsiTheme="majorBidi" w:cstheme="majorBidi"/>
                <w:sz w:val="24"/>
                <w:szCs w:val="24"/>
              </w:rPr>
              <w:t>.</w:t>
            </w:r>
          </w:p>
        </w:tc>
        <w:tc>
          <w:tcPr>
            <w:tcW w:w="1132" w:type="dxa"/>
          </w:tcPr>
          <w:p w14:paraId="224B8024" w14:textId="1BE6B00E" w:rsidR="003E3FB4" w:rsidRDefault="00385ED0" w:rsidP="00684CDD">
            <w:pPr>
              <w:spacing w:after="0" w:line="360" w:lineRule="auto"/>
              <w:rPr>
                <w:rFonts w:asciiTheme="majorBidi" w:eastAsia="Calisto MT" w:hAnsiTheme="majorBidi" w:cstheme="majorBidi"/>
                <w:sz w:val="24"/>
                <w:szCs w:val="24"/>
              </w:rPr>
            </w:pPr>
            <w:r>
              <w:rPr>
                <w:rFonts w:asciiTheme="majorBidi" w:eastAsia="Calisto MT" w:hAnsiTheme="majorBidi" w:cstheme="majorBidi"/>
                <w:sz w:val="24"/>
                <w:szCs w:val="24"/>
              </w:rPr>
              <w:t>M</w:t>
            </w:r>
            <w:r w:rsidR="00684CDD">
              <w:rPr>
                <w:rFonts w:asciiTheme="majorBidi" w:eastAsia="Calisto MT" w:hAnsiTheme="majorBidi" w:cstheme="majorBidi"/>
                <w:sz w:val="24"/>
                <w:szCs w:val="24"/>
              </w:rPr>
              <w:t>C</w:t>
            </w:r>
            <w:r>
              <w:rPr>
                <w:rFonts w:asciiTheme="majorBidi" w:eastAsia="Calisto MT" w:hAnsiTheme="majorBidi" w:cstheme="majorBidi"/>
                <w:sz w:val="24"/>
                <w:szCs w:val="24"/>
              </w:rPr>
              <w:t>B</w:t>
            </w:r>
          </w:p>
        </w:tc>
        <w:tc>
          <w:tcPr>
            <w:tcW w:w="2277" w:type="dxa"/>
          </w:tcPr>
          <w:p w14:paraId="457FA30B" w14:textId="77777777" w:rsidR="003E3FB4" w:rsidRDefault="00385ED0" w:rsidP="00684CDD">
            <w:pPr>
              <w:spacing w:after="0" w:line="360" w:lineRule="auto"/>
              <w:rPr>
                <w:rFonts w:asciiTheme="majorBidi" w:eastAsia="Calisto MT" w:hAnsiTheme="majorBidi" w:cstheme="majorBidi"/>
                <w:sz w:val="24"/>
                <w:szCs w:val="24"/>
              </w:rPr>
            </w:pPr>
            <w:r>
              <w:rPr>
                <w:rFonts w:asciiTheme="majorBidi" w:eastAsia="Calisto MT" w:hAnsiTheme="majorBidi" w:cstheme="majorBidi"/>
                <w:sz w:val="24"/>
                <w:szCs w:val="24"/>
              </w:rPr>
              <w:t>U. Khemis Miliana</w:t>
            </w:r>
          </w:p>
        </w:tc>
      </w:tr>
      <w:tr w:rsidR="003E3FB4" w14:paraId="1E480271" w14:textId="77777777">
        <w:tc>
          <w:tcPr>
            <w:tcW w:w="2004" w:type="dxa"/>
          </w:tcPr>
          <w:p w14:paraId="01181310" w14:textId="77777777" w:rsidR="003E3FB4" w:rsidRDefault="00385ED0" w:rsidP="00684CDD">
            <w:pPr>
              <w:spacing w:after="0" w:line="360" w:lineRule="auto"/>
              <w:rPr>
                <w:rFonts w:asciiTheme="majorBidi" w:eastAsia="Calisto MT" w:hAnsiTheme="majorBidi" w:cstheme="majorBidi"/>
                <w:b/>
                <w:bCs/>
                <w:sz w:val="24"/>
                <w:szCs w:val="24"/>
              </w:rPr>
            </w:pPr>
            <w:r>
              <w:rPr>
                <w:rFonts w:asciiTheme="majorBidi" w:eastAsia="Calisto MT" w:hAnsiTheme="majorBidi" w:cstheme="majorBidi"/>
                <w:b/>
                <w:bCs/>
                <w:sz w:val="24"/>
                <w:szCs w:val="24"/>
              </w:rPr>
              <w:t>Examinatrice</w:t>
            </w:r>
          </w:p>
        </w:tc>
        <w:tc>
          <w:tcPr>
            <w:tcW w:w="1151" w:type="dxa"/>
          </w:tcPr>
          <w:p w14:paraId="13A002C4" w14:textId="77777777" w:rsidR="003E3FB4" w:rsidRDefault="00385ED0" w:rsidP="00684CDD">
            <w:pPr>
              <w:spacing w:after="0" w:line="360" w:lineRule="auto"/>
              <w:rPr>
                <w:rFonts w:asciiTheme="majorBidi" w:eastAsia="Calisto MT" w:hAnsiTheme="majorBidi" w:cstheme="majorBidi"/>
                <w:sz w:val="24"/>
                <w:szCs w:val="24"/>
              </w:rPr>
            </w:pPr>
            <w:r>
              <w:rPr>
                <w:rFonts w:asciiTheme="majorBidi" w:eastAsia="Calisto MT" w:hAnsiTheme="majorBidi" w:cstheme="majorBidi"/>
                <w:sz w:val="24"/>
                <w:szCs w:val="24"/>
              </w:rPr>
              <w:t>Mme</w:t>
            </w:r>
          </w:p>
        </w:tc>
        <w:tc>
          <w:tcPr>
            <w:tcW w:w="2213" w:type="dxa"/>
          </w:tcPr>
          <w:p w14:paraId="7C96C449" w14:textId="27C3332F" w:rsidR="003E3FB4" w:rsidRDefault="00684CDD" w:rsidP="00684CDD">
            <w:pPr>
              <w:spacing w:after="0" w:line="360" w:lineRule="auto"/>
              <w:rPr>
                <w:rFonts w:asciiTheme="majorBidi" w:eastAsia="Calisto MT" w:hAnsiTheme="majorBidi" w:cstheme="majorBidi"/>
                <w:sz w:val="24"/>
                <w:szCs w:val="24"/>
              </w:rPr>
            </w:pPr>
            <w:r w:rsidRPr="00684CDD">
              <w:rPr>
                <w:rFonts w:asciiTheme="majorBidi" w:eastAsia="Calisto MT" w:hAnsiTheme="majorBidi" w:cstheme="majorBidi"/>
                <w:sz w:val="24"/>
                <w:szCs w:val="24"/>
              </w:rPr>
              <w:t>Sadi F</w:t>
            </w:r>
            <w:r>
              <w:rPr>
                <w:rFonts w:asciiTheme="majorBidi" w:eastAsia="Calisto MT" w:hAnsiTheme="majorBidi" w:cstheme="majorBidi"/>
                <w:sz w:val="24"/>
                <w:szCs w:val="24"/>
              </w:rPr>
              <w:t>.</w:t>
            </w:r>
          </w:p>
        </w:tc>
        <w:tc>
          <w:tcPr>
            <w:tcW w:w="1132" w:type="dxa"/>
          </w:tcPr>
          <w:p w14:paraId="3EF51ADF" w14:textId="681DC139" w:rsidR="003E3FB4" w:rsidRDefault="00385ED0" w:rsidP="00684CDD">
            <w:pPr>
              <w:spacing w:after="0" w:line="360" w:lineRule="auto"/>
              <w:rPr>
                <w:rFonts w:asciiTheme="majorBidi" w:eastAsia="Calisto MT" w:hAnsiTheme="majorBidi" w:cstheme="majorBidi"/>
                <w:sz w:val="24"/>
                <w:szCs w:val="24"/>
              </w:rPr>
            </w:pPr>
            <w:r>
              <w:rPr>
                <w:rFonts w:asciiTheme="majorBidi" w:eastAsia="Calisto MT" w:hAnsiTheme="majorBidi" w:cstheme="majorBidi"/>
                <w:sz w:val="24"/>
                <w:szCs w:val="24"/>
              </w:rPr>
              <w:t>MC</w:t>
            </w:r>
            <w:r w:rsidR="00684CDD">
              <w:rPr>
                <w:rFonts w:asciiTheme="majorBidi" w:eastAsia="Calisto MT" w:hAnsiTheme="majorBidi" w:cstheme="majorBidi"/>
                <w:sz w:val="24"/>
                <w:szCs w:val="24"/>
              </w:rPr>
              <w:t>A</w:t>
            </w:r>
          </w:p>
        </w:tc>
        <w:tc>
          <w:tcPr>
            <w:tcW w:w="2277" w:type="dxa"/>
          </w:tcPr>
          <w:p w14:paraId="5C149FEC" w14:textId="77777777" w:rsidR="003E3FB4" w:rsidRDefault="00385ED0" w:rsidP="00684CDD">
            <w:pPr>
              <w:spacing w:after="0" w:line="360" w:lineRule="auto"/>
              <w:rPr>
                <w:rFonts w:asciiTheme="majorBidi" w:eastAsia="Calisto MT" w:hAnsiTheme="majorBidi" w:cstheme="majorBidi"/>
                <w:sz w:val="24"/>
                <w:szCs w:val="24"/>
              </w:rPr>
            </w:pPr>
            <w:r>
              <w:rPr>
                <w:rFonts w:asciiTheme="majorBidi" w:eastAsia="Calisto MT" w:hAnsiTheme="majorBidi" w:cstheme="majorBidi"/>
                <w:sz w:val="24"/>
                <w:szCs w:val="24"/>
              </w:rPr>
              <w:t>U. Khemis Miliana</w:t>
            </w:r>
          </w:p>
        </w:tc>
      </w:tr>
    </w:tbl>
    <w:p w14:paraId="4B927D7F" w14:textId="77777777" w:rsidR="003E3FB4" w:rsidRDefault="00385ED0">
      <w:pPr>
        <w:spacing w:after="100" w:afterAutospacing="1" w:line="360" w:lineRule="auto"/>
        <w:jc w:val="both"/>
        <w:rPr>
          <w:rFonts w:ascii="Monotype Corsiva" w:hAnsi="Monotype Corsiva" w:cs="Times New Roman"/>
          <w:b/>
          <w:bCs/>
          <w:i/>
          <w:iCs/>
          <w:sz w:val="44"/>
          <w:szCs w:val="44"/>
        </w:rPr>
      </w:pPr>
      <w:r>
        <w:rPr>
          <w:rFonts w:asciiTheme="majorBidi" w:hAnsiTheme="majorBidi" w:cstheme="majorBidi"/>
          <w:b/>
          <w:bCs/>
          <w:noProof/>
          <w:sz w:val="26"/>
          <w:szCs w:val="26"/>
          <w:lang w:eastAsia="fr-FR"/>
        </w:rPr>
        <mc:AlternateContent>
          <mc:Choice Requires="wps">
            <w:drawing>
              <wp:anchor distT="0" distB="0" distL="114300" distR="114300" simplePos="0" relativeHeight="251672576" behindDoc="0" locked="0" layoutInCell="1" allowOverlap="1" wp14:anchorId="2173FDF9" wp14:editId="79E30D4C">
                <wp:simplePos x="0" y="0"/>
                <wp:positionH relativeFrom="column">
                  <wp:posOffset>1234440</wp:posOffset>
                </wp:positionH>
                <wp:positionV relativeFrom="paragraph">
                  <wp:posOffset>186055</wp:posOffset>
                </wp:positionV>
                <wp:extent cx="2914650" cy="371475"/>
                <wp:effectExtent l="0" t="0" r="0" b="0"/>
                <wp:wrapNone/>
                <wp:docPr id="801086070" name="Rectangle: Rounded Corners 20"/>
                <wp:cNvGraphicFramePr/>
                <a:graphic xmlns:a="http://schemas.openxmlformats.org/drawingml/2006/main">
                  <a:graphicData uri="http://schemas.microsoft.com/office/word/2010/wordprocessingShape">
                    <wps:wsp>
                      <wps:cNvSpPr/>
                      <wps:spPr>
                        <a:xfrm>
                          <a:off x="0" y="0"/>
                          <a:ext cx="2914650" cy="371475"/>
                        </a:xfrm>
                        <a:prstGeom prst="roundRect">
                          <a:avLst/>
                        </a:prstGeom>
                        <a:noFill/>
                        <a:ln>
                          <a:noFill/>
                        </a:ln>
                      </wps:spPr>
                      <wps:style>
                        <a:lnRef idx="2">
                          <a:schemeClr val="accent6"/>
                        </a:lnRef>
                        <a:fillRef idx="1">
                          <a:schemeClr val="lt1"/>
                        </a:fillRef>
                        <a:effectRef idx="0">
                          <a:schemeClr val="accent6"/>
                        </a:effectRef>
                        <a:fontRef idx="minor">
                          <a:schemeClr val="dk1"/>
                        </a:fontRef>
                      </wps:style>
                      <wps:txbx>
                        <w:txbxContent>
                          <w:p w14:paraId="68CE18EE" w14:textId="77777777" w:rsidR="003E3FB4" w:rsidRDefault="00385ED0">
                            <w:pPr>
                              <w:spacing w:after="391"/>
                              <w:jc w:val="center"/>
                              <w:rPr>
                                <w:rFonts w:asciiTheme="majorBidi" w:eastAsia="Calisto MT" w:hAnsiTheme="majorBidi" w:cstheme="majorBidi"/>
                                <w:b/>
                                <w:bCs/>
                                <w:sz w:val="24"/>
                                <w:szCs w:val="24"/>
                                <w:rtl/>
                              </w:rPr>
                            </w:pPr>
                            <w:r>
                              <w:rPr>
                                <w:rFonts w:asciiTheme="majorBidi" w:eastAsia="Calisto MT" w:hAnsiTheme="majorBidi" w:cstheme="majorBidi"/>
                                <w:b/>
                                <w:bCs/>
                                <w:sz w:val="24"/>
                                <w:szCs w:val="24"/>
                              </w:rPr>
                              <w:t>Année universitaire :</w:t>
                            </w:r>
                            <w:r>
                              <w:rPr>
                                <w:rFonts w:asciiTheme="majorBidi" w:eastAsia="Calisto MT" w:hAnsiTheme="majorBidi" w:cstheme="majorBidi" w:hint="cs"/>
                                <w:b/>
                                <w:bCs/>
                                <w:sz w:val="24"/>
                                <w:szCs w:val="24"/>
                                <w:rtl/>
                              </w:rPr>
                              <w:t xml:space="preserve"> </w:t>
                            </w:r>
                            <w:r>
                              <w:rPr>
                                <w:rFonts w:asciiTheme="majorBidi" w:eastAsia="Calisto MT" w:hAnsiTheme="majorBidi" w:cstheme="majorBidi"/>
                                <w:b/>
                                <w:bCs/>
                                <w:sz w:val="24"/>
                                <w:szCs w:val="24"/>
                              </w:rPr>
                              <w:t>2024 /2025</w:t>
                            </w:r>
                          </w:p>
                          <w:p w14:paraId="459F4897" w14:textId="77777777" w:rsidR="003E3FB4" w:rsidRDefault="003E3FB4">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oundrect w14:anchorId="2173FDF9" id="Rectangle: Rounded Corners 20" o:spid="_x0000_s1026" style="position:absolute;left:0;text-align:left;margin-left:97.2pt;margin-top:14.65pt;width:229.5pt;height:29.25pt;z-index:25167257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tKG4SwIAAOUEAAAOAAAAZHJzL2Uyb0RvYy54bWysVEuP2jAQvlfqf7B8LyEUdltEWCFWVJVW&#10;3dVuq56NY0NUx+OODYH++o6dENiWU9WLM+/HNzOZ3R1qw/YKfQW24PlgyJmyEsrKbgr+7evq3QfO&#10;fBC2FAasKvhReX43f/tm1ripGsEWTKmQURDrp40r+DYEN80yL7eqFn4ATllSasBaBGJxk5UoGope&#10;m2w0HN5kDWDpEKTynqT3rZLPU3ytlQyPWnsVmCk41RbSi+ldxzebz8R0g8JtK9mVIf6hilpUlpL2&#10;oe5FEGyH1V+h6koieNBhIKHOQOtKqtQDdZMP/+jmZSucSr0QON71MPn/F1Z+2b+4JyQYGuennsjY&#10;xUFjHb9UHzsksI49WOoQmCTh6GM+vpkQppJ072/z8e0kopmdvR368ElBzSJRcISdLZ9pIgkosX/w&#10;obU/2cWMFlaVMWkqxr4SUOAoyc51JiocjYp2xj4rzaoyVpYSpBVSS4NsL2j4Qkplw01XYrKObpqy&#10;9Y75NUcT8s6ps41uKq1W7zi85vg6Y++RsoINvXNdWcBrAcoffebW/tR923NsPxzWh252ayiPT8gQ&#10;2h33Tq4qwv1B+PAkkJaaRkWHGh7p0QaagkNHcbYF/HVNHu1p10jLWUNHUnD/cydQcWY+W9pCWoFx&#10;vKrEjCe3I2LwUrO+1NhdvQQaRU6/BCcTGe2DOZEaof5O97yIWUklrKTcBZcBT8wytMdLfwSpFotk&#10;RpfkRHiwL07G4BFgC4tdAF2lDYtAteh0ANItpUXt7j4e6yWfrM5/p/lvAAAA//8DAFBLAwQUAAYA&#10;CAAAACEACeVllN0AAAAJAQAADwAAAGRycy9kb3ducmV2LnhtbEyPwU7DMAyG70i8Q2QkbiylG6Mt&#10;TSeExBEkBkLiljZeWq1xSpJthafHnOD4259+f643sxvFEUMcPCm4XmQgkDpvBrIK3l4frwoQMWky&#10;evSECr4wwqY5P6t1ZfyJXvC4TVZwCcVKK+hTmiopY9ej03HhJyTe7XxwOnEMVpqgT1zuRpln2Vo6&#10;PRBf6PWEDz12++3BKbCfOzun573Ov1v3/jG5VAb5pNTlxXx/ByLhnP5g+NVndWjYqfUHMlGMnMvV&#10;ilEFebkEwcD6ZsmDVkFxW4Bsavn/g+YHAAD//wMAUEsBAi0AFAAGAAgAAAAhALaDOJL+AAAA4QEA&#10;ABMAAAAAAAAAAAAAAAAAAAAAAFtDb250ZW50X1R5cGVzXS54bWxQSwECLQAUAAYACAAAACEAOP0h&#10;/9YAAACUAQAACwAAAAAAAAAAAAAAAAAvAQAAX3JlbHMvLnJlbHNQSwECLQAUAAYACAAAACEAJbSh&#10;uEsCAADlBAAADgAAAAAAAAAAAAAAAAAuAgAAZHJzL2Uyb0RvYy54bWxQSwECLQAUAAYACAAAACEA&#10;CeVllN0AAAAJAQAADwAAAAAAAAAAAAAAAAClBAAAZHJzL2Rvd25yZXYueG1sUEsFBgAAAAAEAAQA&#10;8wAAAK8FAAAAAA==&#10;" filled="f" stroked="f" strokeweight="1pt">
                <v:stroke joinstyle="miter"/>
                <v:textbox>
                  <w:txbxContent>
                    <w:p w14:paraId="68CE18EE" w14:textId="77777777" w:rsidR="003E3FB4" w:rsidRDefault="00385ED0">
                      <w:pPr>
                        <w:spacing w:after="391"/>
                        <w:jc w:val="center"/>
                        <w:rPr>
                          <w:rFonts w:asciiTheme="majorBidi" w:eastAsia="Calisto MT" w:hAnsiTheme="majorBidi" w:cstheme="majorBidi"/>
                          <w:b/>
                          <w:bCs/>
                          <w:sz w:val="24"/>
                          <w:szCs w:val="24"/>
                          <w:rtl/>
                        </w:rPr>
                      </w:pPr>
                      <w:r>
                        <w:rPr>
                          <w:rFonts w:asciiTheme="majorBidi" w:eastAsia="Calisto MT" w:hAnsiTheme="majorBidi" w:cstheme="majorBidi"/>
                          <w:b/>
                          <w:bCs/>
                          <w:sz w:val="24"/>
                          <w:szCs w:val="24"/>
                        </w:rPr>
                        <w:t>Année universitaire :</w:t>
                      </w:r>
                      <w:r>
                        <w:rPr>
                          <w:rFonts w:asciiTheme="majorBidi" w:eastAsia="Calisto MT" w:hAnsiTheme="majorBidi" w:cstheme="majorBidi" w:hint="cs"/>
                          <w:b/>
                          <w:bCs/>
                          <w:sz w:val="24"/>
                          <w:szCs w:val="24"/>
                          <w:rtl/>
                        </w:rPr>
                        <w:t xml:space="preserve"> </w:t>
                      </w:r>
                      <w:r>
                        <w:rPr>
                          <w:rFonts w:asciiTheme="majorBidi" w:eastAsia="Calisto MT" w:hAnsiTheme="majorBidi" w:cstheme="majorBidi"/>
                          <w:b/>
                          <w:bCs/>
                          <w:sz w:val="24"/>
                          <w:szCs w:val="24"/>
                        </w:rPr>
                        <w:t>2024 /2025</w:t>
                      </w:r>
                    </w:p>
                    <w:p w14:paraId="459F4897" w14:textId="77777777" w:rsidR="003E3FB4" w:rsidRDefault="003E3FB4">
                      <w:pPr>
                        <w:jc w:val="center"/>
                      </w:pPr>
                    </w:p>
                  </w:txbxContent>
                </v:textbox>
              </v:roundrect>
            </w:pict>
          </mc:Fallback>
        </mc:AlternateContent>
      </w:r>
      <w:r>
        <w:rPr>
          <w:rFonts w:ascii="Monotype Corsiva" w:hAnsi="Monotype Corsiva" w:cs="Times New Roman"/>
          <w:b/>
          <w:bCs/>
          <w:i/>
          <w:iCs/>
          <w:sz w:val="44"/>
          <w:szCs w:val="44"/>
        </w:rPr>
        <w:t xml:space="preserve">                                    </w:t>
      </w:r>
    </w:p>
    <w:p w14:paraId="4DE53FD0" w14:textId="77777777" w:rsidR="003E3FB4" w:rsidRDefault="00385ED0">
      <w:pPr>
        <w:spacing w:after="100" w:afterAutospacing="1" w:line="360" w:lineRule="auto"/>
        <w:jc w:val="center"/>
        <w:rPr>
          <w:rFonts w:asciiTheme="majorBidi" w:hAnsiTheme="majorBidi" w:cstheme="majorBidi"/>
          <w:b/>
          <w:bCs/>
          <w:sz w:val="26"/>
          <w:szCs w:val="26"/>
          <w:lang w:bidi="ar-DZ"/>
        </w:rPr>
      </w:pPr>
      <w:r>
        <w:rPr>
          <w:rFonts w:ascii="Monotype Corsiva" w:hAnsi="Monotype Corsiva" w:cs="Times New Roman"/>
          <w:b/>
          <w:bCs/>
          <w:i/>
          <w:iCs/>
          <w:sz w:val="44"/>
          <w:szCs w:val="44"/>
        </w:rPr>
        <w:lastRenderedPageBreak/>
        <w:t>Remerciements</w:t>
      </w:r>
    </w:p>
    <w:p w14:paraId="6ECDDDC2" w14:textId="77777777" w:rsidR="003E3FB4" w:rsidRDefault="00385ED0">
      <w:pPr>
        <w:tabs>
          <w:tab w:val="left" w:pos="3508"/>
        </w:tabs>
        <w:spacing w:after="120" w:line="360" w:lineRule="auto"/>
        <w:jc w:val="center"/>
        <w:rPr>
          <w:rFonts w:ascii="Monotype Corsiva" w:hAnsi="Monotype Corsiva" w:cs="Times New Roman"/>
          <w:i/>
          <w:iCs/>
          <w:sz w:val="24"/>
          <w:szCs w:val="24"/>
        </w:rPr>
      </w:pPr>
      <w:r>
        <w:rPr>
          <w:rFonts w:ascii="Monotype Corsiva" w:hAnsi="Monotype Corsiva" w:cs="Times New Roman"/>
          <w:i/>
          <w:iCs/>
          <w:sz w:val="24"/>
          <w:szCs w:val="24"/>
        </w:rPr>
        <w:t>Louange à Dieu en premier et en dernier, en public et en secret. Louange à Celui par Sa grâce les bonnes choses s’accomplissent, par Sa faveur les objectifs se réalisent, et par Son aide le serviteur progresse sur le chemin du savoir et du travail.</w:t>
      </w:r>
    </w:p>
    <w:p w14:paraId="6AC15B74" w14:textId="77777777" w:rsidR="003E3FB4" w:rsidRDefault="00385ED0">
      <w:pPr>
        <w:tabs>
          <w:tab w:val="left" w:pos="3508"/>
        </w:tabs>
        <w:spacing w:after="120" w:line="360" w:lineRule="auto"/>
        <w:jc w:val="center"/>
        <w:rPr>
          <w:rFonts w:ascii="Monotype Corsiva" w:hAnsi="Monotype Corsiva" w:cs="Times New Roman"/>
          <w:i/>
          <w:iCs/>
          <w:sz w:val="24"/>
          <w:szCs w:val="24"/>
        </w:rPr>
      </w:pPr>
      <w:r>
        <w:rPr>
          <w:rFonts w:ascii="Monotype Corsiva" w:hAnsi="Monotype Corsiva" w:cs="Times New Roman"/>
          <w:i/>
          <w:iCs/>
          <w:sz w:val="24"/>
          <w:szCs w:val="24"/>
        </w:rPr>
        <w:t>Nous Te louons, Seigneur, autant que Tu as créé, autant que Tu as pourvu, autant que Tu as donné la vie et repris les âmes. Nous Te louons pour Tes innombrables bienfaits, pour la patience et la force que Tu m’as accordées, pour avoir facilité mon chemin dans le domaine du savoir, et pour m’avoir permis d’achever ce parcours par Ta miséricorde et Ton soutien.</w:t>
      </w:r>
    </w:p>
    <w:p w14:paraId="16DE5446" w14:textId="234E367B" w:rsidR="003E3FB4" w:rsidRDefault="00385ED0">
      <w:pPr>
        <w:tabs>
          <w:tab w:val="left" w:pos="3508"/>
        </w:tabs>
        <w:spacing w:after="120" w:line="360" w:lineRule="auto"/>
        <w:jc w:val="center"/>
        <w:rPr>
          <w:rFonts w:ascii="Monotype Corsiva" w:hAnsi="Monotype Corsiva" w:cs="Times New Roman"/>
          <w:i/>
          <w:iCs/>
          <w:sz w:val="24"/>
          <w:szCs w:val="24"/>
        </w:rPr>
      </w:pPr>
      <w:r>
        <w:rPr>
          <w:rFonts w:ascii="Monotype Corsiva" w:hAnsi="Monotype Corsiva" w:cs="Times New Roman"/>
          <w:i/>
          <w:iCs/>
          <w:sz w:val="24"/>
          <w:szCs w:val="24"/>
        </w:rPr>
        <w:t xml:space="preserve">Nous adressons mes plus sincères remerciements à ma directrice de mémoire, </w:t>
      </w:r>
      <w:r>
        <w:rPr>
          <w:rFonts w:ascii="Monotype Corsiva" w:hAnsi="Monotype Corsiva" w:cs="Times New Roman"/>
          <w:b/>
          <w:bCs/>
          <w:i/>
          <w:iCs/>
          <w:sz w:val="24"/>
          <w:szCs w:val="24"/>
        </w:rPr>
        <w:t>Madame Guermache Lamis</w:t>
      </w:r>
      <w:r>
        <w:rPr>
          <w:rFonts w:ascii="Monotype Corsiva" w:hAnsi="Monotype Corsiva" w:cs="Times New Roman"/>
          <w:i/>
          <w:iCs/>
          <w:sz w:val="24"/>
          <w:szCs w:val="24"/>
        </w:rPr>
        <w:t>, pour avoir accepté d’encadrer ce travail, pour ses conseils avisés, son engagement et sa disponibilité tout au long de la préparation de ce mémoire,</w:t>
      </w:r>
      <w:r>
        <w:t xml:space="preserve"> </w:t>
      </w:r>
      <w:r>
        <w:rPr>
          <w:rFonts w:ascii="Monotype Corsiva" w:hAnsi="Monotype Corsiva" w:cs="Times New Roman"/>
          <w:i/>
          <w:iCs/>
          <w:sz w:val="24"/>
          <w:szCs w:val="24"/>
        </w:rPr>
        <w:t xml:space="preserve">Nous adressons également nos remerciements à </w:t>
      </w:r>
      <w:r>
        <w:rPr>
          <w:rFonts w:ascii="Monotype Corsiva" w:hAnsi="Monotype Corsiva" w:cs="Times New Roman"/>
          <w:b/>
          <w:bCs/>
          <w:i/>
          <w:iCs/>
          <w:sz w:val="24"/>
          <w:szCs w:val="24"/>
        </w:rPr>
        <w:t xml:space="preserve">Madame Cassasni </w:t>
      </w:r>
      <w:r w:rsidR="00EB15EE">
        <w:rPr>
          <w:rFonts w:ascii="Monotype Corsiva" w:hAnsi="Monotype Corsiva" w:cs="Times New Roman"/>
          <w:b/>
          <w:bCs/>
          <w:i/>
          <w:iCs/>
          <w:sz w:val="24"/>
          <w:szCs w:val="24"/>
        </w:rPr>
        <w:t xml:space="preserve">Lydia </w:t>
      </w:r>
      <w:r>
        <w:rPr>
          <w:rFonts w:ascii="Monotype Corsiva" w:hAnsi="Monotype Corsiva" w:cs="Times New Roman"/>
          <w:i/>
          <w:iCs/>
          <w:sz w:val="24"/>
          <w:szCs w:val="24"/>
        </w:rPr>
        <w:t>pour sa participation à la réalisation de ce travail et pour son soutien généreux.</w:t>
      </w:r>
    </w:p>
    <w:p w14:paraId="6A53C0D1" w14:textId="77777777" w:rsidR="003E3FB4" w:rsidRDefault="00385ED0">
      <w:pPr>
        <w:tabs>
          <w:tab w:val="left" w:pos="3508"/>
        </w:tabs>
        <w:spacing w:after="120" w:line="360" w:lineRule="auto"/>
        <w:jc w:val="center"/>
        <w:rPr>
          <w:rFonts w:ascii="Monotype Corsiva" w:hAnsi="Monotype Corsiva" w:cs="Times New Roman"/>
          <w:i/>
          <w:iCs/>
          <w:sz w:val="24"/>
          <w:szCs w:val="24"/>
        </w:rPr>
      </w:pPr>
      <w:r>
        <w:rPr>
          <w:rFonts w:ascii="Monotype Corsiva" w:hAnsi="Monotype Corsiva" w:cs="Times New Roman"/>
          <w:i/>
          <w:iCs/>
          <w:sz w:val="24"/>
          <w:szCs w:val="24"/>
        </w:rPr>
        <w:t>Nous exprimons notre plus profonde gratitude aux membres du jury :</w:t>
      </w:r>
    </w:p>
    <w:p w14:paraId="2A190564" w14:textId="0E1A1DF7" w:rsidR="003E3FB4" w:rsidRDefault="00385ED0">
      <w:pPr>
        <w:tabs>
          <w:tab w:val="left" w:pos="3508"/>
        </w:tabs>
        <w:spacing w:after="120" w:line="360" w:lineRule="auto"/>
        <w:jc w:val="center"/>
        <w:rPr>
          <w:rFonts w:ascii="Monotype Corsiva" w:hAnsi="Monotype Corsiva" w:cs="Times New Roman"/>
          <w:i/>
          <w:iCs/>
          <w:sz w:val="24"/>
          <w:szCs w:val="24"/>
        </w:rPr>
      </w:pPr>
      <w:r>
        <w:rPr>
          <w:rFonts w:ascii="Monotype Corsiva" w:hAnsi="Monotype Corsiva" w:cs="Times New Roman"/>
          <w:b/>
          <w:bCs/>
          <w:i/>
          <w:iCs/>
          <w:sz w:val="24"/>
          <w:szCs w:val="24"/>
        </w:rPr>
        <w:t xml:space="preserve">Madame </w:t>
      </w:r>
      <w:r>
        <w:rPr>
          <w:rFonts w:ascii="Monotype Corsiva" w:eastAsia="Calisto MT" w:hAnsi="Monotype Corsiva" w:cstheme="majorBidi"/>
          <w:b/>
          <w:bCs/>
          <w:sz w:val="24"/>
          <w:szCs w:val="24"/>
        </w:rPr>
        <w:t>Bens</w:t>
      </w:r>
      <w:r w:rsidR="004119F8">
        <w:rPr>
          <w:rFonts w:ascii="Monotype Corsiva" w:eastAsia="Calisto MT" w:hAnsi="Monotype Corsiva" w:cstheme="majorBidi"/>
          <w:b/>
          <w:bCs/>
          <w:sz w:val="24"/>
          <w:szCs w:val="24"/>
        </w:rPr>
        <w:t>e</w:t>
      </w:r>
      <w:r>
        <w:rPr>
          <w:rFonts w:ascii="Monotype Corsiva" w:eastAsia="Calisto MT" w:hAnsi="Monotype Corsiva" w:cstheme="majorBidi"/>
          <w:b/>
          <w:bCs/>
          <w:sz w:val="24"/>
          <w:szCs w:val="24"/>
        </w:rPr>
        <w:t>hila. S</w:t>
      </w:r>
      <w:r w:rsidR="00EB15EE">
        <w:rPr>
          <w:rFonts w:ascii="Monotype Corsiva" w:eastAsia="Calisto MT" w:hAnsi="Monotype Corsiva" w:cstheme="majorBidi"/>
          <w:b/>
          <w:bCs/>
          <w:sz w:val="24"/>
          <w:szCs w:val="24"/>
        </w:rPr>
        <w:t>ara</w:t>
      </w:r>
      <w:r>
        <w:rPr>
          <w:rFonts w:ascii="Monotype Corsiva" w:hAnsi="Monotype Corsiva" w:cs="Times New Roman"/>
          <w:i/>
          <w:iCs/>
          <w:sz w:val="24"/>
          <w:szCs w:val="24"/>
        </w:rPr>
        <w:t xml:space="preserve"> pour avoir accepté de présider ce travail,</w:t>
      </w:r>
    </w:p>
    <w:p w14:paraId="1CF0A3A6" w14:textId="1AFC3C2A" w:rsidR="003E3FB4" w:rsidRDefault="00385ED0">
      <w:pPr>
        <w:tabs>
          <w:tab w:val="left" w:pos="3508"/>
        </w:tabs>
        <w:spacing w:after="120" w:line="360" w:lineRule="auto"/>
        <w:jc w:val="center"/>
        <w:rPr>
          <w:rFonts w:ascii="Monotype Corsiva" w:hAnsi="Monotype Corsiva" w:cs="Times New Roman"/>
          <w:i/>
          <w:iCs/>
          <w:sz w:val="24"/>
          <w:szCs w:val="24"/>
        </w:rPr>
      </w:pPr>
      <w:r>
        <w:rPr>
          <w:rFonts w:ascii="Monotype Corsiva" w:hAnsi="Monotype Corsiva" w:cs="Times New Roman"/>
          <w:b/>
          <w:bCs/>
          <w:i/>
          <w:iCs/>
          <w:sz w:val="24"/>
          <w:szCs w:val="24"/>
        </w:rPr>
        <w:t>Madame Sadi</w:t>
      </w:r>
      <w:r w:rsidR="00EB15EE">
        <w:rPr>
          <w:rFonts w:ascii="Monotype Corsiva" w:hAnsi="Monotype Corsiva" w:cs="Times New Roman"/>
          <w:b/>
          <w:bCs/>
          <w:i/>
          <w:iCs/>
          <w:sz w:val="24"/>
          <w:szCs w:val="24"/>
        </w:rPr>
        <w:t xml:space="preserve"> Fadhila</w:t>
      </w:r>
      <w:r>
        <w:rPr>
          <w:rFonts w:ascii="Monotype Corsiva" w:hAnsi="Monotype Corsiva" w:cs="Times New Roman"/>
          <w:i/>
          <w:iCs/>
          <w:sz w:val="24"/>
          <w:szCs w:val="24"/>
        </w:rPr>
        <w:t>, pour avoir accepté d’évaluer ce mémoire.</w:t>
      </w:r>
    </w:p>
    <w:p w14:paraId="56C2D45F" w14:textId="77777777" w:rsidR="003E3FB4" w:rsidRDefault="00385ED0">
      <w:pPr>
        <w:tabs>
          <w:tab w:val="left" w:pos="3508"/>
        </w:tabs>
        <w:spacing w:after="120" w:line="360" w:lineRule="auto"/>
        <w:jc w:val="center"/>
        <w:rPr>
          <w:rFonts w:ascii="Monotype Corsiva" w:hAnsi="Monotype Corsiva" w:cs="Times New Roman"/>
          <w:i/>
          <w:iCs/>
          <w:sz w:val="24"/>
          <w:szCs w:val="24"/>
        </w:rPr>
      </w:pPr>
      <w:r>
        <w:rPr>
          <w:rFonts w:ascii="Monotype Corsiva" w:hAnsi="Monotype Corsiva" w:cs="Times New Roman"/>
          <w:i/>
          <w:iCs/>
          <w:sz w:val="24"/>
          <w:szCs w:val="24"/>
        </w:rPr>
        <w:t xml:space="preserve">Nous remercions chaleureusement </w:t>
      </w:r>
      <w:r>
        <w:rPr>
          <w:rFonts w:ascii="Monotype Corsiva" w:hAnsi="Monotype Corsiva" w:cs="Times New Roman"/>
          <w:b/>
          <w:bCs/>
          <w:i/>
          <w:iCs/>
          <w:sz w:val="24"/>
          <w:szCs w:val="24"/>
        </w:rPr>
        <w:t>Monsieur Chaouchi</w:t>
      </w:r>
      <w:r>
        <w:rPr>
          <w:rFonts w:ascii="Monotype Corsiva" w:hAnsi="Monotype Corsiva" w:cs="Times New Roman"/>
          <w:i/>
          <w:iCs/>
          <w:sz w:val="24"/>
          <w:szCs w:val="24"/>
        </w:rPr>
        <w:t xml:space="preserve"> pour le temps qu’il nous a consacré et pour son aide précieuse lors des tests d’activité antioxydante et anti-inflammatoire au sein du laboratoire de chimie du département des sciences et technologies.</w:t>
      </w:r>
    </w:p>
    <w:p w14:paraId="0B5A1BC7" w14:textId="77777777" w:rsidR="003E3FB4" w:rsidRDefault="00385ED0">
      <w:pPr>
        <w:tabs>
          <w:tab w:val="left" w:pos="3508"/>
        </w:tabs>
        <w:spacing w:after="120" w:line="360" w:lineRule="auto"/>
        <w:jc w:val="center"/>
        <w:rPr>
          <w:rFonts w:ascii="Monotype Corsiva" w:hAnsi="Monotype Corsiva" w:cs="Times New Roman"/>
          <w:i/>
          <w:iCs/>
          <w:sz w:val="24"/>
          <w:szCs w:val="24"/>
        </w:rPr>
      </w:pPr>
      <w:r>
        <w:rPr>
          <w:rFonts w:ascii="Monotype Corsiva" w:hAnsi="Monotype Corsiva" w:cs="Times New Roman"/>
          <w:i/>
          <w:iCs/>
          <w:sz w:val="24"/>
          <w:szCs w:val="24"/>
        </w:rPr>
        <w:t xml:space="preserve">Nous tenons tiens également à exprimer toute ma reconnaissance à chaque membre du </w:t>
      </w:r>
      <w:r>
        <w:rPr>
          <w:rFonts w:ascii="Monotype Corsiva" w:hAnsi="Monotype Corsiva" w:cs="Times New Roman"/>
          <w:b/>
          <w:bCs/>
          <w:i/>
          <w:iCs/>
          <w:sz w:val="24"/>
          <w:szCs w:val="24"/>
        </w:rPr>
        <w:t>complexe SAIDAL de la wilaya de Médéa</w:t>
      </w:r>
      <w:r>
        <w:rPr>
          <w:rFonts w:ascii="Monotype Corsiva" w:hAnsi="Monotype Corsiva" w:cs="Times New Roman"/>
          <w:i/>
          <w:iCs/>
          <w:sz w:val="24"/>
          <w:szCs w:val="24"/>
        </w:rPr>
        <w:t>, en particulier à l’équipe du département Contrôle de Qualité.</w:t>
      </w:r>
    </w:p>
    <w:p w14:paraId="1AE85DEA" w14:textId="77777777" w:rsidR="003E3FB4" w:rsidRDefault="00385ED0">
      <w:pPr>
        <w:tabs>
          <w:tab w:val="left" w:pos="3508"/>
        </w:tabs>
        <w:spacing w:after="120" w:line="360" w:lineRule="auto"/>
        <w:jc w:val="center"/>
        <w:rPr>
          <w:rFonts w:ascii="Monotype Corsiva" w:hAnsi="Monotype Corsiva" w:cs="Times New Roman"/>
          <w:i/>
          <w:iCs/>
          <w:sz w:val="24"/>
          <w:szCs w:val="24"/>
        </w:rPr>
      </w:pPr>
      <w:r>
        <w:rPr>
          <w:rFonts w:ascii="Monotype Corsiva" w:hAnsi="Monotype Corsiva" w:cs="Times New Roman"/>
          <w:i/>
          <w:iCs/>
          <w:sz w:val="24"/>
          <w:szCs w:val="24"/>
        </w:rPr>
        <w:t xml:space="preserve">Nos remerciements s’adressent également à l’équipe du Laboratoire d’analyses médicales du </w:t>
      </w:r>
      <w:r>
        <w:rPr>
          <w:rFonts w:ascii="Monotype Corsiva" w:hAnsi="Monotype Corsiva" w:cs="Times New Roman"/>
          <w:b/>
          <w:bCs/>
          <w:i/>
          <w:iCs/>
          <w:sz w:val="24"/>
          <w:szCs w:val="24"/>
        </w:rPr>
        <w:t>Dr. Zibouche</w:t>
      </w:r>
      <w:r>
        <w:rPr>
          <w:rFonts w:ascii="Monotype Corsiva" w:hAnsi="Monotype Corsiva" w:cs="Times New Roman"/>
          <w:i/>
          <w:iCs/>
          <w:sz w:val="24"/>
          <w:szCs w:val="24"/>
        </w:rPr>
        <w:t xml:space="preserve"> à Aïn Defla, notamment au service de bactériologie.</w:t>
      </w:r>
    </w:p>
    <w:p w14:paraId="5F678B75" w14:textId="77777777" w:rsidR="003E3FB4" w:rsidRDefault="00385ED0">
      <w:pPr>
        <w:tabs>
          <w:tab w:val="left" w:pos="3508"/>
        </w:tabs>
        <w:spacing w:after="120" w:line="360" w:lineRule="auto"/>
        <w:jc w:val="center"/>
        <w:rPr>
          <w:rFonts w:ascii="Monotype Corsiva" w:hAnsi="Monotype Corsiva" w:cs="Times New Roman"/>
          <w:i/>
          <w:iCs/>
          <w:sz w:val="24"/>
          <w:szCs w:val="24"/>
        </w:rPr>
      </w:pPr>
      <w:r>
        <w:rPr>
          <w:rFonts w:ascii="Monotype Corsiva" w:hAnsi="Monotype Corsiva" w:cs="Times New Roman"/>
          <w:i/>
          <w:iCs/>
          <w:sz w:val="24"/>
          <w:szCs w:val="24"/>
        </w:rPr>
        <w:t xml:space="preserve">Nous remercions vivement l’ensemble des enseignants du département de biologie, ainsi que les ingénieurs de laboratoire, en particulier </w:t>
      </w:r>
      <w:r>
        <w:rPr>
          <w:rFonts w:ascii="Monotype Corsiva" w:hAnsi="Monotype Corsiva" w:cs="Times New Roman"/>
          <w:b/>
          <w:bCs/>
          <w:i/>
          <w:iCs/>
          <w:sz w:val="24"/>
          <w:szCs w:val="24"/>
        </w:rPr>
        <w:t>Souheila, Nejiba et Afaf</w:t>
      </w:r>
      <w:r>
        <w:rPr>
          <w:rFonts w:ascii="Monotype Corsiva" w:hAnsi="Monotype Corsiva" w:cs="Times New Roman"/>
          <w:i/>
          <w:iCs/>
          <w:sz w:val="24"/>
          <w:szCs w:val="24"/>
        </w:rPr>
        <w:t>, et toute personne ayant contribué, de près ou de loin, à la réalisation de ce travail.</w:t>
      </w:r>
    </w:p>
    <w:p w14:paraId="225E0336" w14:textId="77777777" w:rsidR="003E3FB4" w:rsidRDefault="00385ED0">
      <w:pPr>
        <w:tabs>
          <w:tab w:val="left" w:pos="3508"/>
        </w:tabs>
        <w:spacing w:after="120" w:line="360" w:lineRule="auto"/>
        <w:jc w:val="center"/>
        <w:rPr>
          <w:rFonts w:ascii="Monotype Corsiva" w:hAnsi="Monotype Corsiva" w:cs="Times New Roman"/>
          <w:i/>
          <w:iCs/>
          <w:sz w:val="24"/>
          <w:szCs w:val="24"/>
        </w:rPr>
      </w:pPr>
      <w:r>
        <w:rPr>
          <w:rFonts w:ascii="Monotype Corsiva" w:hAnsi="Monotype Corsiva" w:cs="Times New Roman"/>
          <w:i/>
          <w:iCs/>
          <w:sz w:val="24"/>
          <w:szCs w:val="24"/>
        </w:rPr>
        <w:t>Enfin, nous dédions ce succès à nos familles, et tout particulièrement à nos chers parents, pour leur amour, leur patience et leur confiance inébranlable. Sans leur soutien constant, nous n’aurions jamais pu atteindre cette étape.</w:t>
      </w:r>
    </w:p>
    <w:p w14:paraId="0BAE0430" w14:textId="77777777" w:rsidR="003E3FB4" w:rsidRDefault="003E3FB4">
      <w:pPr>
        <w:tabs>
          <w:tab w:val="left" w:pos="3508"/>
        </w:tabs>
        <w:spacing w:after="120" w:line="360" w:lineRule="auto"/>
        <w:jc w:val="center"/>
        <w:rPr>
          <w:rFonts w:ascii="Monotype Corsiva" w:hAnsi="Monotype Corsiva" w:cs="Times New Roman"/>
          <w:i/>
          <w:iCs/>
          <w:sz w:val="24"/>
          <w:szCs w:val="24"/>
        </w:rPr>
      </w:pPr>
    </w:p>
    <w:p w14:paraId="2DE3698C" w14:textId="77777777" w:rsidR="003E3FB4" w:rsidRDefault="00385ED0">
      <w:pPr>
        <w:tabs>
          <w:tab w:val="left" w:pos="3508"/>
        </w:tabs>
        <w:jc w:val="center"/>
        <w:rPr>
          <w:rFonts w:ascii="Monotype Corsiva" w:hAnsi="Monotype Corsiva" w:cs="Times New Roman"/>
          <w:i/>
          <w:iCs/>
          <w:sz w:val="24"/>
          <w:szCs w:val="24"/>
        </w:rPr>
      </w:pPr>
      <w:r>
        <w:rPr>
          <w:rFonts w:asciiTheme="majorBidi" w:hAnsiTheme="majorBidi" w:cstheme="majorBidi"/>
          <w:b/>
          <w:bCs/>
          <w:sz w:val="28"/>
          <w:szCs w:val="28"/>
          <w:lang w:bidi="ar-DZ"/>
        </w:rPr>
        <w:lastRenderedPageBreak/>
        <w:t xml:space="preserve">  </w:t>
      </w:r>
      <w:r>
        <w:rPr>
          <w:rFonts w:ascii="Monotype Corsiva" w:hAnsi="Monotype Corsiva" w:cstheme="majorBidi"/>
          <w:b/>
          <w:bCs/>
          <w:sz w:val="56"/>
          <w:szCs w:val="56"/>
        </w:rPr>
        <w:t>Dédicace</w:t>
      </w:r>
    </w:p>
    <w:p w14:paraId="0854FDF9" w14:textId="77777777" w:rsidR="003E3FB4" w:rsidRDefault="00385ED0">
      <w:pPr>
        <w:tabs>
          <w:tab w:val="left" w:pos="3508"/>
        </w:tabs>
        <w:spacing w:after="120"/>
        <w:jc w:val="center"/>
        <w:rPr>
          <w:rFonts w:ascii="Monotype Corsiva" w:hAnsi="Monotype Corsiva" w:cs="Gabriola"/>
          <w:sz w:val="28"/>
          <w:szCs w:val="28"/>
        </w:rPr>
      </w:pPr>
      <w:r>
        <w:rPr>
          <w:rFonts w:ascii="Monotype Corsiva" w:hAnsi="Monotype Corsiva" w:cs="Gabriola"/>
          <w:sz w:val="28"/>
          <w:szCs w:val="28"/>
        </w:rPr>
        <w:t>Louange à Allah par la grâce duquel les bonnes actions s’accomplissent, et par Sa faveur seule ce moment tant attendu est enfin arrivé. Louange à Lui en tout temps et en toute circonstance, extérieurement et intérieurement, pour Sa guidance et Sa facilitation.</w:t>
      </w:r>
    </w:p>
    <w:p w14:paraId="3F9FF254" w14:textId="77777777" w:rsidR="003E3FB4" w:rsidRDefault="00385ED0">
      <w:pPr>
        <w:tabs>
          <w:tab w:val="left" w:pos="3508"/>
        </w:tabs>
        <w:spacing w:after="120"/>
        <w:jc w:val="center"/>
        <w:rPr>
          <w:rFonts w:ascii="Monotype Corsiva" w:hAnsi="Monotype Corsiva" w:cs="Gabriola"/>
          <w:sz w:val="28"/>
          <w:szCs w:val="28"/>
        </w:rPr>
      </w:pPr>
      <w:r>
        <w:rPr>
          <w:rFonts w:ascii="Monotype Corsiva" w:hAnsi="Monotype Corsiva" w:cs="Gabriola"/>
          <w:sz w:val="28"/>
          <w:szCs w:val="28"/>
        </w:rPr>
        <w:t xml:space="preserve">À celle dont les prières ont été le secret de ma persévérance, dont les larmes silencieuses ont tracé le chemin devant moi… À celle qui s’est épuisée pour que je me repose, qui a sacrifié tant pour que je réussisse : </w:t>
      </w:r>
      <w:r>
        <w:rPr>
          <w:rFonts w:ascii="Monotype Corsiva" w:hAnsi="Monotype Corsiva" w:cs="Gabriola"/>
          <w:b/>
          <w:bCs/>
          <w:sz w:val="28"/>
          <w:szCs w:val="28"/>
        </w:rPr>
        <w:t>ma mère</w:t>
      </w:r>
      <w:r>
        <w:rPr>
          <w:rFonts w:ascii="Monotype Corsiva" w:hAnsi="Monotype Corsiva" w:cs="Gabriola"/>
          <w:sz w:val="28"/>
          <w:szCs w:val="28"/>
        </w:rPr>
        <w:t xml:space="preserve">, source de tendresse, compagne de l’âme. À celui qui s’est privé pour me nourrir, qui a porté le simple pour que je sois le plus élégant, qui a nié ses besoins pour réaliser mes rêves : </w:t>
      </w:r>
      <w:r>
        <w:rPr>
          <w:rFonts w:ascii="Monotype Corsiva" w:hAnsi="Monotype Corsiva" w:cs="Gabriola"/>
          <w:b/>
          <w:bCs/>
          <w:sz w:val="28"/>
          <w:szCs w:val="28"/>
        </w:rPr>
        <w:t>mon père,</w:t>
      </w:r>
      <w:r>
        <w:rPr>
          <w:rFonts w:ascii="Monotype Corsiva" w:hAnsi="Monotype Corsiva" w:cs="Gabriola"/>
          <w:sz w:val="28"/>
          <w:szCs w:val="28"/>
        </w:rPr>
        <w:t xml:space="preserve"> ma fierté et mon pilier. Je vous dédie ce travail, car sa réalisation est le fruit de votre soutien et de vos sacrifices, bien plus que de mes seuls efforts.</w:t>
      </w:r>
    </w:p>
    <w:p w14:paraId="7620552E" w14:textId="77777777" w:rsidR="003E3FB4" w:rsidRDefault="00385ED0">
      <w:pPr>
        <w:tabs>
          <w:tab w:val="left" w:pos="3508"/>
        </w:tabs>
        <w:spacing w:after="120"/>
        <w:jc w:val="center"/>
        <w:rPr>
          <w:rFonts w:ascii="Monotype Corsiva" w:hAnsi="Monotype Corsiva" w:cs="Gabriola"/>
          <w:sz w:val="28"/>
          <w:szCs w:val="28"/>
        </w:rPr>
      </w:pPr>
      <w:r>
        <w:rPr>
          <w:rFonts w:ascii="Monotype Corsiva" w:hAnsi="Monotype Corsiva" w:cs="Gabriola"/>
          <w:sz w:val="28"/>
          <w:szCs w:val="28"/>
        </w:rPr>
        <w:t xml:space="preserve">À la moitié de mon âme, </w:t>
      </w:r>
      <w:r>
        <w:rPr>
          <w:rFonts w:ascii="Monotype Corsiva" w:hAnsi="Monotype Corsiva" w:cs="Gabriola"/>
          <w:b/>
          <w:bCs/>
          <w:sz w:val="28"/>
          <w:szCs w:val="28"/>
        </w:rPr>
        <w:t>ma seule sœur</w:t>
      </w:r>
      <w:r>
        <w:rPr>
          <w:rFonts w:ascii="Monotype Corsiva" w:hAnsi="Monotype Corsiva" w:cs="Gabriola"/>
          <w:sz w:val="28"/>
          <w:szCs w:val="28"/>
        </w:rPr>
        <w:t>, je t’écris avec des mots qui ne peuvent te contenir, car tu es la belle présence dans chaque détail de ma vie, la main tendue avant même que je demande. Je te dédie ce travail, car tu mérites bien plus que ce que les mots peuvent offrir. Que tu sois pour moi une vie qui ne diminue pas et une lumière qui ne s’éteint jamais.</w:t>
      </w:r>
    </w:p>
    <w:p w14:paraId="5170CFA7" w14:textId="77777777" w:rsidR="003E3FB4" w:rsidRDefault="00385ED0">
      <w:pPr>
        <w:tabs>
          <w:tab w:val="left" w:pos="3508"/>
        </w:tabs>
        <w:spacing w:after="120"/>
        <w:jc w:val="center"/>
        <w:rPr>
          <w:rFonts w:ascii="Monotype Corsiva" w:hAnsi="Monotype Corsiva" w:cs="Gabriola"/>
          <w:sz w:val="28"/>
          <w:szCs w:val="28"/>
        </w:rPr>
      </w:pPr>
      <w:r>
        <w:rPr>
          <w:rFonts w:ascii="Monotype Corsiva" w:hAnsi="Monotype Corsiva" w:cs="Gabriola"/>
          <w:sz w:val="28"/>
          <w:szCs w:val="28"/>
        </w:rPr>
        <w:t xml:space="preserve">À mes frères </w:t>
      </w:r>
      <w:r>
        <w:rPr>
          <w:rFonts w:ascii="Monotype Corsiva" w:hAnsi="Monotype Corsiva" w:cs="Gabriola"/>
          <w:b/>
          <w:bCs/>
          <w:sz w:val="28"/>
          <w:szCs w:val="28"/>
        </w:rPr>
        <w:t>Ahmed, Omar et Abdelghani</w:t>
      </w:r>
      <w:r>
        <w:rPr>
          <w:rFonts w:ascii="Monotype Corsiva" w:hAnsi="Monotype Corsiva" w:cs="Gabriola"/>
          <w:sz w:val="28"/>
          <w:szCs w:val="28"/>
        </w:rPr>
        <w:t>, vous êtes plus que des frères… Vous êtes le refuge quand les tempêtes frappent, le soutien inébranlable. Vous avez été pour moi des pères quand j’avais besoin de conseils, des amis quand le monde se faisait étroit, et des héros dont j’ai toujours été fière d’être la sœur.</w:t>
      </w:r>
    </w:p>
    <w:p w14:paraId="6FDB22F1" w14:textId="77777777" w:rsidR="003E3FB4" w:rsidRDefault="00385ED0">
      <w:pPr>
        <w:tabs>
          <w:tab w:val="left" w:pos="3508"/>
        </w:tabs>
        <w:spacing w:after="120"/>
        <w:jc w:val="center"/>
        <w:rPr>
          <w:rFonts w:ascii="Monotype Corsiva" w:hAnsi="Monotype Corsiva" w:cs="Gabriola"/>
          <w:sz w:val="28"/>
          <w:szCs w:val="28"/>
        </w:rPr>
      </w:pPr>
      <w:r>
        <w:rPr>
          <w:rFonts w:ascii="Monotype Corsiva" w:hAnsi="Monotype Corsiva" w:cs="Gabriola"/>
          <w:sz w:val="28"/>
          <w:szCs w:val="28"/>
        </w:rPr>
        <w:t>Je dédie ce mémoire à ma précieuse famille, car chaque ligne en porte une part, et ce que j’ai accompli n’aurait jamais été possible sans votre ombre protectrice à chaque étape du chemin. Que vous soyez pour moi une fierté éternelle et un honneur inégalé.</w:t>
      </w:r>
    </w:p>
    <w:p w14:paraId="44D85942" w14:textId="77777777" w:rsidR="003E3FB4" w:rsidRDefault="00385ED0">
      <w:pPr>
        <w:tabs>
          <w:tab w:val="left" w:pos="3508"/>
        </w:tabs>
        <w:spacing w:after="120"/>
        <w:jc w:val="center"/>
        <w:rPr>
          <w:rFonts w:ascii="Monotype Corsiva" w:hAnsi="Monotype Corsiva" w:cs="Gabriola"/>
          <w:sz w:val="28"/>
          <w:szCs w:val="28"/>
        </w:rPr>
      </w:pPr>
      <w:r>
        <w:rPr>
          <w:rFonts w:ascii="Monotype Corsiva" w:hAnsi="Monotype Corsiva" w:cs="Gabriola"/>
          <w:sz w:val="28"/>
          <w:szCs w:val="28"/>
        </w:rPr>
        <w:t xml:space="preserve">À ma partenaire dans ce travail et chère amie </w:t>
      </w:r>
      <w:r>
        <w:rPr>
          <w:rFonts w:ascii="Monotype Corsiva" w:hAnsi="Monotype Corsiva" w:cs="Gabriola"/>
          <w:b/>
          <w:bCs/>
          <w:sz w:val="28"/>
          <w:szCs w:val="28"/>
        </w:rPr>
        <w:t>Hafida.</w:t>
      </w:r>
    </w:p>
    <w:p w14:paraId="3AE50D6C" w14:textId="77777777" w:rsidR="003E3FB4" w:rsidRDefault="00385ED0">
      <w:pPr>
        <w:tabs>
          <w:tab w:val="left" w:pos="3508"/>
        </w:tabs>
        <w:spacing w:after="120"/>
        <w:jc w:val="center"/>
        <w:rPr>
          <w:rFonts w:ascii="Monotype Corsiva" w:hAnsi="Monotype Corsiva" w:cs="Gabriola"/>
          <w:sz w:val="28"/>
          <w:szCs w:val="28"/>
        </w:rPr>
      </w:pPr>
      <w:r>
        <w:rPr>
          <w:rFonts w:ascii="Monotype Corsiva" w:hAnsi="Monotype Corsiva" w:cs="Gabriola"/>
          <w:sz w:val="28"/>
          <w:szCs w:val="28"/>
        </w:rPr>
        <w:t xml:space="preserve">À ceux avec qui je ne partage pas un lien de sang, mais avec qui j’ai partagé un lien d’âme. À ceux qui ont été mon sourire dans les moments d’angoisse, mon réconfort dans les instants de fatigue. À mes amis qui n’ont pas été de simples passants dans mes années d’études, mais des frères et sœurs que la vie m’a offerts : </w:t>
      </w:r>
      <w:r>
        <w:rPr>
          <w:rFonts w:ascii="Monotype Corsiva" w:hAnsi="Monotype Corsiva" w:cs="Gabriola"/>
          <w:b/>
          <w:bCs/>
          <w:sz w:val="28"/>
          <w:szCs w:val="28"/>
        </w:rPr>
        <w:t>Samira, Ikram, Siham, Hassiba, Sarah, Iman.</w:t>
      </w:r>
    </w:p>
    <w:p w14:paraId="0040B6EA" w14:textId="77777777" w:rsidR="003E3FB4" w:rsidRDefault="00385ED0">
      <w:pPr>
        <w:tabs>
          <w:tab w:val="left" w:pos="3508"/>
        </w:tabs>
        <w:spacing w:after="120"/>
        <w:jc w:val="center"/>
        <w:rPr>
          <w:rFonts w:ascii="Monotype Corsiva" w:hAnsi="Monotype Corsiva" w:cs="Gabriola"/>
          <w:b/>
          <w:bCs/>
          <w:sz w:val="28"/>
          <w:szCs w:val="28"/>
        </w:rPr>
      </w:pPr>
      <w:r>
        <w:rPr>
          <w:rFonts w:ascii="Monotype Corsiva" w:hAnsi="Monotype Corsiva" w:cs="Gabriola"/>
          <w:sz w:val="28"/>
          <w:szCs w:val="28"/>
        </w:rPr>
        <w:t xml:space="preserve">À la première personne qui m’a ouvert la porte du savoir, à mon tout premier enseignant de l’école primaire, </w:t>
      </w:r>
      <w:r>
        <w:rPr>
          <w:rFonts w:ascii="Monotype Corsiva" w:hAnsi="Monotype Corsiva" w:cs="Gabriola"/>
          <w:b/>
          <w:bCs/>
          <w:sz w:val="28"/>
          <w:szCs w:val="28"/>
        </w:rPr>
        <w:t>monsieur Ahmed</w:t>
      </w:r>
      <w:r>
        <w:rPr>
          <w:rFonts w:ascii="Monotype Corsiva" w:hAnsi="Monotype Corsiva" w:cs="Gabriola"/>
          <w:sz w:val="28"/>
          <w:szCs w:val="28"/>
        </w:rPr>
        <w:t xml:space="preserve">, je vous dédie ce mémoire, mon premier professeur, car tout ce chemin a commencé par votre première leçon. Merci à vous, autant que ce que j’ai appris et ce que je continuerai d’apprendre. Et à ma chère professeure, </w:t>
      </w:r>
      <w:r>
        <w:rPr>
          <w:rFonts w:ascii="Monotype Corsiva" w:hAnsi="Monotype Corsiva" w:cs="Gabriola"/>
          <w:b/>
          <w:bCs/>
          <w:sz w:val="28"/>
          <w:szCs w:val="28"/>
        </w:rPr>
        <w:t>madame Habiba</w:t>
      </w:r>
    </w:p>
    <w:p w14:paraId="4DB5D7D8" w14:textId="77777777" w:rsidR="003E3FB4" w:rsidRDefault="00385ED0">
      <w:pPr>
        <w:tabs>
          <w:tab w:val="left" w:pos="3508"/>
        </w:tabs>
        <w:spacing w:after="120"/>
        <w:jc w:val="center"/>
        <w:rPr>
          <w:rFonts w:ascii="Monotype Corsiva" w:hAnsi="Monotype Corsiva" w:cs="Gabriola"/>
          <w:sz w:val="28"/>
          <w:szCs w:val="28"/>
        </w:rPr>
      </w:pPr>
      <w:r>
        <w:rPr>
          <w:rFonts w:ascii="Monotype Corsiva" w:hAnsi="Monotype Corsiva" w:cs="Gabriola"/>
          <w:sz w:val="28"/>
          <w:szCs w:val="28"/>
        </w:rPr>
        <w:t>À toutes mes collègues du département de Microbiologie Appliquée, je vous souhaite réussite, santé et bien-être.</w:t>
      </w:r>
    </w:p>
    <w:p w14:paraId="54265315" w14:textId="77777777" w:rsidR="003E3FB4" w:rsidRDefault="00385ED0">
      <w:pPr>
        <w:tabs>
          <w:tab w:val="left" w:pos="3508"/>
        </w:tabs>
        <w:spacing w:after="120"/>
        <w:jc w:val="center"/>
        <w:rPr>
          <w:rFonts w:ascii="Monotype Corsiva" w:hAnsi="Monotype Corsiva" w:cs="Gabriola"/>
          <w:b/>
          <w:bCs/>
          <w:sz w:val="52"/>
          <w:szCs w:val="52"/>
        </w:rPr>
      </w:pPr>
      <w:r>
        <w:rPr>
          <w:rFonts w:ascii="Monotype Corsiva" w:hAnsi="Monotype Corsiva" w:cs="Gabriola"/>
          <w:b/>
          <w:bCs/>
          <w:sz w:val="52"/>
          <w:szCs w:val="52"/>
        </w:rPr>
        <w:t>_Karima _</w:t>
      </w:r>
    </w:p>
    <w:p w14:paraId="5D4E3E25" w14:textId="77777777" w:rsidR="003E3FB4" w:rsidRDefault="00385ED0">
      <w:pPr>
        <w:tabs>
          <w:tab w:val="left" w:pos="3508"/>
        </w:tabs>
        <w:rPr>
          <w:rFonts w:ascii="Monotype Corsiva" w:hAnsi="Monotype Corsiva" w:cs="Gabriola"/>
          <w:b/>
          <w:bCs/>
          <w:sz w:val="52"/>
          <w:szCs w:val="52"/>
        </w:rPr>
      </w:pPr>
      <w:r>
        <w:rPr>
          <w:rFonts w:ascii="Monotype Corsiva" w:hAnsi="Monotype Corsiva" w:cs="Gabriola"/>
          <w:b/>
          <w:bCs/>
          <w:sz w:val="52"/>
          <w:szCs w:val="52"/>
        </w:rPr>
        <w:lastRenderedPageBreak/>
        <w:t xml:space="preserve">                            </w:t>
      </w:r>
      <w:r>
        <w:rPr>
          <w:rFonts w:ascii="Monotype Corsiva" w:hAnsi="Monotype Corsiva" w:cs="Gabriola"/>
          <w:b/>
          <w:bCs/>
          <w:sz w:val="56"/>
          <w:szCs w:val="56"/>
        </w:rPr>
        <w:t>Dédicace</w:t>
      </w:r>
    </w:p>
    <w:p w14:paraId="1DB2F267" w14:textId="77777777" w:rsidR="003E3FB4" w:rsidRDefault="003E3FB4">
      <w:pPr>
        <w:spacing w:line="276" w:lineRule="auto"/>
        <w:rPr>
          <w:rFonts w:asciiTheme="majorBidi" w:hAnsiTheme="majorBidi" w:cstheme="majorBidi"/>
          <w:b/>
          <w:bCs/>
          <w:sz w:val="28"/>
          <w:szCs w:val="28"/>
          <w:lang w:bidi="ar-DZ"/>
        </w:rPr>
      </w:pPr>
    </w:p>
    <w:p w14:paraId="750A0E8A" w14:textId="77777777" w:rsidR="003E3FB4" w:rsidRDefault="00385ED0">
      <w:pPr>
        <w:jc w:val="center"/>
        <w:rPr>
          <w:rFonts w:ascii="Monotype Corsiva" w:hAnsi="Monotype Corsiva" w:cstheme="majorBidi"/>
          <w:sz w:val="28"/>
          <w:szCs w:val="28"/>
          <w:lang w:bidi="ar-DZ"/>
        </w:rPr>
      </w:pPr>
      <w:r>
        <w:rPr>
          <w:rFonts w:ascii="Monotype Corsiva" w:hAnsi="Monotype Corsiva" w:cstheme="majorBidi"/>
          <w:sz w:val="28"/>
          <w:szCs w:val="28"/>
          <w:lang w:bidi="ar-DZ"/>
        </w:rPr>
        <w:t>Grace a la volonté divine d’Allah notre dieu tout puissant et bien veillant qui a tracé le chemin de ma vie, j’ai pu réaliser ce modeste travail, que je dédié !</w:t>
      </w:r>
    </w:p>
    <w:p w14:paraId="1DDCBC05" w14:textId="77777777" w:rsidR="003E3FB4" w:rsidRDefault="003E3FB4">
      <w:pPr>
        <w:jc w:val="center"/>
        <w:rPr>
          <w:rFonts w:ascii="Monotype Corsiva" w:hAnsi="Monotype Corsiva" w:cstheme="majorBidi"/>
          <w:sz w:val="28"/>
          <w:szCs w:val="28"/>
          <w:lang w:bidi="ar-DZ"/>
        </w:rPr>
      </w:pPr>
    </w:p>
    <w:p w14:paraId="3825D745" w14:textId="77777777" w:rsidR="003E3FB4" w:rsidRDefault="00385ED0">
      <w:pPr>
        <w:jc w:val="center"/>
        <w:rPr>
          <w:rFonts w:ascii="Monotype Corsiva" w:hAnsi="Monotype Corsiva" w:cstheme="majorBidi"/>
          <w:b/>
          <w:bCs/>
          <w:sz w:val="28"/>
          <w:szCs w:val="28"/>
          <w:lang w:bidi="ar-DZ"/>
        </w:rPr>
      </w:pPr>
      <w:r>
        <w:rPr>
          <w:rFonts w:ascii="Monotype Corsiva" w:hAnsi="Monotype Corsiva" w:cstheme="majorBidi"/>
          <w:sz w:val="28"/>
          <w:szCs w:val="28"/>
          <w:lang w:bidi="ar-DZ"/>
        </w:rPr>
        <w:t xml:space="preserve">A mes très chers parents : </w:t>
      </w:r>
      <w:r>
        <w:rPr>
          <w:rFonts w:ascii="Monotype Corsiva" w:hAnsi="Monotype Corsiva" w:cstheme="majorBidi"/>
          <w:b/>
          <w:bCs/>
          <w:sz w:val="28"/>
          <w:szCs w:val="28"/>
          <w:lang w:bidi="ar-DZ"/>
        </w:rPr>
        <w:t>Zohra et Hadj Mohammed</w:t>
      </w:r>
    </w:p>
    <w:p w14:paraId="1EC04889" w14:textId="77777777" w:rsidR="003E3FB4" w:rsidRDefault="00385ED0">
      <w:pPr>
        <w:jc w:val="center"/>
        <w:rPr>
          <w:rFonts w:ascii="Monotype Corsiva" w:hAnsi="Monotype Corsiva" w:cstheme="majorBidi"/>
          <w:sz w:val="28"/>
          <w:szCs w:val="28"/>
          <w:lang w:bidi="ar-DZ"/>
        </w:rPr>
      </w:pPr>
      <w:r>
        <w:rPr>
          <w:rFonts w:ascii="Monotype Corsiva" w:hAnsi="Monotype Corsiva" w:cstheme="majorBidi"/>
          <w:sz w:val="28"/>
          <w:szCs w:val="28"/>
          <w:lang w:bidi="ar-DZ"/>
        </w:rPr>
        <w:t xml:space="preserve">Pour les encouragements, sacrifices, tendresse, amour et soutien durant mes étude, je souhaite que </w:t>
      </w:r>
      <w:proofErr w:type="gramStart"/>
      <w:r>
        <w:rPr>
          <w:rFonts w:ascii="Monotype Corsiva" w:hAnsi="Monotype Corsiva" w:cstheme="majorBidi"/>
          <w:sz w:val="28"/>
          <w:szCs w:val="28"/>
          <w:lang w:bidi="ar-DZ"/>
        </w:rPr>
        <w:t>j’ai</w:t>
      </w:r>
      <w:proofErr w:type="gramEnd"/>
      <w:r>
        <w:rPr>
          <w:rFonts w:ascii="Monotype Corsiva" w:hAnsi="Monotype Corsiva" w:cstheme="majorBidi"/>
          <w:sz w:val="28"/>
          <w:szCs w:val="28"/>
          <w:lang w:bidi="ar-DZ"/>
        </w:rPr>
        <w:t xml:space="preserve"> réalisé l’un de vos rêves par ce modeste travail. Puise Dieu vous accorder longue vie pleine de santé et de bonheur.</w:t>
      </w:r>
    </w:p>
    <w:p w14:paraId="51AB7AC6" w14:textId="77777777" w:rsidR="003E3FB4" w:rsidRDefault="00385ED0">
      <w:pPr>
        <w:jc w:val="center"/>
        <w:rPr>
          <w:rFonts w:ascii="Monotype Corsiva" w:hAnsi="Monotype Corsiva" w:cstheme="majorBidi"/>
          <w:sz w:val="28"/>
          <w:szCs w:val="28"/>
          <w:lang w:bidi="ar-DZ"/>
        </w:rPr>
      </w:pPr>
      <w:r>
        <w:rPr>
          <w:rFonts w:ascii="Monotype Corsiva" w:hAnsi="Monotype Corsiva" w:cstheme="majorBidi"/>
          <w:sz w:val="28"/>
          <w:szCs w:val="28"/>
          <w:lang w:bidi="ar-DZ"/>
        </w:rPr>
        <w:t>A mes chers frères : Rachid, Omar, Yahia, Oussama.</w:t>
      </w:r>
    </w:p>
    <w:p w14:paraId="3A91D0F3" w14:textId="77777777" w:rsidR="003E3FB4" w:rsidRDefault="00385ED0">
      <w:pPr>
        <w:jc w:val="center"/>
        <w:rPr>
          <w:rFonts w:ascii="Monotype Corsiva" w:hAnsi="Monotype Corsiva" w:cstheme="majorBidi"/>
          <w:b/>
          <w:bCs/>
          <w:sz w:val="28"/>
          <w:szCs w:val="28"/>
          <w:lang w:bidi="ar-DZ"/>
        </w:rPr>
      </w:pPr>
      <w:r>
        <w:rPr>
          <w:rFonts w:ascii="Monotype Corsiva" w:hAnsi="Monotype Corsiva" w:cstheme="majorBidi"/>
          <w:sz w:val="28"/>
          <w:szCs w:val="28"/>
          <w:lang w:bidi="ar-DZ"/>
        </w:rPr>
        <w:t xml:space="preserve">A ma seule sœur : </w:t>
      </w:r>
      <w:r>
        <w:rPr>
          <w:rFonts w:ascii="Monotype Corsiva" w:hAnsi="Monotype Corsiva" w:cstheme="majorBidi"/>
          <w:b/>
          <w:bCs/>
          <w:sz w:val="28"/>
          <w:szCs w:val="28"/>
          <w:lang w:bidi="ar-DZ"/>
        </w:rPr>
        <w:t>Amina</w:t>
      </w:r>
    </w:p>
    <w:p w14:paraId="0709DE03" w14:textId="77777777" w:rsidR="003E3FB4" w:rsidRDefault="00385ED0">
      <w:pPr>
        <w:jc w:val="center"/>
        <w:rPr>
          <w:rFonts w:ascii="Monotype Corsiva" w:hAnsi="Monotype Corsiva" w:cstheme="majorBidi"/>
          <w:sz w:val="28"/>
          <w:szCs w:val="28"/>
          <w:lang w:bidi="ar-DZ"/>
        </w:rPr>
      </w:pPr>
      <w:r>
        <w:rPr>
          <w:rFonts w:ascii="Monotype Corsiva" w:hAnsi="Monotype Corsiva" w:cstheme="majorBidi"/>
          <w:sz w:val="28"/>
          <w:szCs w:val="28"/>
          <w:lang w:bidi="ar-DZ"/>
        </w:rPr>
        <w:t>A tous ma famille</w:t>
      </w:r>
    </w:p>
    <w:p w14:paraId="2096C380" w14:textId="77777777" w:rsidR="003E3FB4" w:rsidRDefault="00385ED0">
      <w:pPr>
        <w:jc w:val="center"/>
        <w:rPr>
          <w:rFonts w:ascii="Monotype Corsiva" w:hAnsi="Monotype Corsiva" w:cstheme="majorBidi"/>
          <w:sz w:val="28"/>
          <w:szCs w:val="28"/>
          <w:lang w:bidi="ar-DZ"/>
        </w:rPr>
      </w:pPr>
      <w:r>
        <w:rPr>
          <w:rFonts w:ascii="Monotype Corsiva" w:hAnsi="Monotype Corsiva" w:cstheme="majorBidi"/>
          <w:sz w:val="28"/>
          <w:szCs w:val="28"/>
          <w:lang w:bidi="ar-DZ"/>
        </w:rPr>
        <w:t>A mon binôme et chère amie : Karima</w:t>
      </w:r>
    </w:p>
    <w:p w14:paraId="52D6D7FF" w14:textId="77777777" w:rsidR="003E3FB4" w:rsidRDefault="003E3FB4">
      <w:pPr>
        <w:jc w:val="center"/>
        <w:rPr>
          <w:rFonts w:ascii="Monotype Corsiva" w:hAnsi="Monotype Corsiva" w:cstheme="majorBidi"/>
          <w:sz w:val="28"/>
          <w:szCs w:val="28"/>
          <w:lang w:bidi="ar-DZ"/>
        </w:rPr>
      </w:pPr>
    </w:p>
    <w:p w14:paraId="17292AF4" w14:textId="77777777" w:rsidR="003E3FB4" w:rsidRDefault="00385ED0">
      <w:pPr>
        <w:jc w:val="center"/>
        <w:rPr>
          <w:rFonts w:ascii="Monotype Corsiva" w:hAnsi="Monotype Corsiva" w:cstheme="majorBidi"/>
          <w:sz w:val="28"/>
          <w:szCs w:val="28"/>
          <w:lang w:bidi="ar-DZ"/>
        </w:rPr>
      </w:pPr>
      <w:r>
        <w:rPr>
          <w:rFonts w:ascii="Monotype Corsiva" w:hAnsi="Monotype Corsiva" w:cstheme="majorBidi"/>
          <w:sz w:val="28"/>
          <w:szCs w:val="28"/>
          <w:lang w:bidi="ar-DZ"/>
        </w:rPr>
        <w:t>A la lumière qui ne s’éteint jamais, malgré l’obscurité</w:t>
      </w:r>
    </w:p>
    <w:p w14:paraId="216199E6" w14:textId="77777777" w:rsidR="003E3FB4" w:rsidRDefault="00385ED0">
      <w:pPr>
        <w:jc w:val="center"/>
        <w:rPr>
          <w:rFonts w:ascii="Monotype Corsiva" w:hAnsi="Monotype Corsiva" w:cstheme="majorBidi"/>
          <w:sz w:val="28"/>
          <w:szCs w:val="28"/>
          <w:lang w:bidi="ar-DZ"/>
        </w:rPr>
      </w:pPr>
      <w:r>
        <w:rPr>
          <w:rFonts w:ascii="Monotype Corsiva" w:hAnsi="Monotype Corsiva" w:cstheme="majorBidi"/>
          <w:sz w:val="28"/>
          <w:szCs w:val="28"/>
          <w:lang w:bidi="ar-DZ"/>
        </w:rPr>
        <w:t>A la terre des ancêtres, berceau de courage et de douleur</w:t>
      </w:r>
      <w:r>
        <w:rPr>
          <w:rFonts w:ascii="Monotype Corsiva" w:hAnsi="Monotype Corsiva" w:cstheme="majorBidi"/>
          <w:sz w:val="24"/>
          <w:szCs w:val="24"/>
          <w:lang w:bidi="ar-DZ"/>
        </w:rPr>
        <w:t xml:space="preserve"> </w:t>
      </w:r>
    </w:p>
    <w:p w14:paraId="3859DC6E" w14:textId="77777777" w:rsidR="003E3FB4" w:rsidRDefault="00385ED0">
      <w:pPr>
        <w:jc w:val="center"/>
        <w:rPr>
          <w:rFonts w:ascii="Monotype Corsiva" w:hAnsi="Monotype Corsiva" w:cstheme="majorBidi"/>
          <w:sz w:val="28"/>
          <w:szCs w:val="28"/>
          <w:lang w:bidi="ar-DZ"/>
        </w:rPr>
      </w:pPr>
      <w:r>
        <w:rPr>
          <w:rFonts w:ascii="Monotype Corsiva" w:hAnsi="Monotype Corsiva" w:cstheme="majorBidi"/>
          <w:sz w:val="28"/>
          <w:szCs w:val="28"/>
          <w:lang w:bidi="ar-DZ"/>
        </w:rPr>
        <w:t>A la blessure qui ne guérit jamais</w:t>
      </w:r>
    </w:p>
    <w:p w14:paraId="6A6A3390" w14:textId="77777777" w:rsidR="003E3FB4" w:rsidRDefault="00385ED0">
      <w:pPr>
        <w:jc w:val="center"/>
        <w:rPr>
          <w:rFonts w:ascii="Monotype Corsiva" w:hAnsi="Monotype Corsiva" w:cstheme="majorBidi"/>
          <w:sz w:val="28"/>
          <w:szCs w:val="28"/>
          <w:lang w:bidi="ar-DZ"/>
        </w:rPr>
      </w:pPr>
      <w:r>
        <w:rPr>
          <w:rFonts w:ascii="Monotype Corsiva" w:hAnsi="Monotype Corsiva" w:cstheme="majorBidi"/>
          <w:sz w:val="28"/>
          <w:szCs w:val="28"/>
          <w:lang w:bidi="ar-DZ"/>
        </w:rPr>
        <w:t>A la Palestine, symbole de dignité et de résistance</w:t>
      </w:r>
    </w:p>
    <w:p w14:paraId="0748FFB8" w14:textId="77777777" w:rsidR="003E3FB4" w:rsidRDefault="00385ED0">
      <w:pPr>
        <w:jc w:val="center"/>
        <w:rPr>
          <w:rFonts w:ascii="Monotype Corsiva" w:hAnsi="Monotype Corsiva" w:cstheme="majorBidi"/>
          <w:sz w:val="28"/>
          <w:szCs w:val="28"/>
          <w:lang w:bidi="ar-DZ"/>
        </w:rPr>
      </w:pPr>
      <w:r>
        <w:rPr>
          <w:rFonts w:ascii="Monotype Corsiva" w:hAnsi="Monotype Corsiva" w:cstheme="majorBidi"/>
          <w:sz w:val="28"/>
          <w:szCs w:val="28"/>
          <w:lang w:bidi="ar-DZ"/>
        </w:rPr>
        <w:t>Chaque pierre de toi raconte une histoire, Chaque souffle sur ta terre est une prière d’espoir</w:t>
      </w:r>
    </w:p>
    <w:p w14:paraId="1686F89C" w14:textId="77777777" w:rsidR="003E3FB4" w:rsidRDefault="00385ED0">
      <w:pPr>
        <w:jc w:val="center"/>
        <w:rPr>
          <w:rFonts w:ascii="Monotype Corsiva" w:hAnsi="Monotype Corsiva" w:cstheme="majorBidi"/>
          <w:sz w:val="28"/>
          <w:szCs w:val="28"/>
          <w:lang w:bidi="ar-DZ"/>
        </w:rPr>
      </w:pPr>
      <w:r>
        <w:rPr>
          <w:rFonts w:ascii="Monotype Corsiva" w:hAnsi="Monotype Corsiva" w:cstheme="majorBidi"/>
          <w:sz w:val="28"/>
          <w:szCs w:val="28"/>
          <w:lang w:bidi="ar-DZ"/>
        </w:rPr>
        <w:t>Je dédie ce modeste travail, en signe de fidélité et d’appartenance</w:t>
      </w:r>
    </w:p>
    <w:p w14:paraId="52FC2614" w14:textId="77777777" w:rsidR="003E3FB4" w:rsidRDefault="00385ED0">
      <w:pPr>
        <w:jc w:val="center"/>
        <w:rPr>
          <w:rFonts w:ascii="Monotype Corsiva" w:hAnsi="Monotype Corsiva" w:cstheme="majorBidi"/>
          <w:sz w:val="28"/>
          <w:szCs w:val="28"/>
          <w:lang w:bidi="ar-DZ"/>
        </w:rPr>
      </w:pPr>
      <w:r>
        <w:rPr>
          <w:rFonts w:ascii="Monotype Corsiva" w:hAnsi="Monotype Corsiva" w:cstheme="majorBidi"/>
          <w:sz w:val="28"/>
          <w:szCs w:val="28"/>
          <w:lang w:bidi="ar-DZ"/>
        </w:rPr>
        <w:t>Avec l’espoir sincère q ‘ un jour proche, Dieu t’accorde la liberté et sous un ciel de paix.</w:t>
      </w:r>
    </w:p>
    <w:p w14:paraId="2E4DA9F4" w14:textId="77777777" w:rsidR="003E3FB4" w:rsidRDefault="00385ED0">
      <w:pPr>
        <w:jc w:val="center"/>
        <w:rPr>
          <w:rFonts w:ascii="Monotype Corsiva" w:hAnsi="Monotype Corsiva" w:cstheme="majorBidi"/>
          <w:sz w:val="28"/>
          <w:szCs w:val="28"/>
          <w:lang w:bidi="ar-DZ"/>
        </w:rPr>
      </w:pPr>
      <w:r>
        <w:rPr>
          <w:rFonts w:ascii="Monotype Corsiva" w:hAnsi="Monotype Corsiva" w:cstheme="majorBidi"/>
          <w:sz w:val="28"/>
          <w:szCs w:val="28"/>
          <w:lang w:bidi="ar-DZ"/>
        </w:rPr>
        <w:t>A tous mes enseignants depuis le primaire jusqu’à l’université</w:t>
      </w:r>
    </w:p>
    <w:p w14:paraId="747DC390" w14:textId="77777777" w:rsidR="003E3FB4" w:rsidRDefault="00385ED0">
      <w:pPr>
        <w:jc w:val="center"/>
        <w:rPr>
          <w:rFonts w:ascii="Monotype Corsiva" w:hAnsi="Monotype Corsiva" w:cstheme="majorBidi"/>
          <w:sz w:val="28"/>
          <w:szCs w:val="28"/>
          <w:lang w:bidi="ar-DZ"/>
        </w:rPr>
      </w:pPr>
      <w:r>
        <w:rPr>
          <w:rFonts w:ascii="Monotype Corsiva" w:hAnsi="Monotype Corsiva" w:cstheme="majorBidi"/>
          <w:sz w:val="28"/>
          <w:szCs w:val="28"/>
          <w:lang w:bidi="ar-DZ"/>
        </w:rPr>
        <w:t>A toute personne ayant contribué de près ou loin à la réalisation de ce travail</w:t>
      </w:r>
    </w:p>
    <w:p w14:paraId="17C467EC" w14:textId="77777777" w:rsidR="003E3FB4" w:rsidRDefault="00385ED0">
      <w:pPr>
        <w:jc w:val="center"/>
        <w:rPr>
          <w:rFonts w:ascii="Monotype Corsiva" w:hAnsi="Monotype Corsiva" w:cstheme="majorBidi"/>
          <w:sz w:val="28"/>
          <w:szCs w:val="28"/>
          <w:lang w:bidi="ar-DZ"/>
        </w:rPr>
      </w:pPr>
      <w:r>
        <w:rPr>
          <w:rFonts w:ascii="Monotype Corsiva" w:hAnsi="Monotype Corsiva" w:cstheme="majorBidi"/>
          <w:sz w:val="28"/>
          <w:szCs w:val="28"/>
          <w:lang w:bidi="ar-DZ"/>
        </w:rPr>
        <w:t>A toute mes collèges de la promotion de Master II Microbiologie Appliquée je leur souhaite beaucoup de réussite.</w:t>
      </w:r>
    </w:p>
    <w:p w14:paraId="64D37EE8" w14:textId="77777777" w:rsidR="003E3FB4" w:rsidRDefault="003E3FB4">
      <w:pPr>
        <w:jc w:val="center"/>
        <w:rPr>
          <w:rFonts w:ascii="Monotype Corsiva" w:hAnsi="Monotype Corsiva" w:cstheme="majorBidi"/>
          <w:sz w:val="28"/>
          <w:szCs w:val="28"/>
          <w:lang w:bidi="ar-DZ"/>
        </w:rPr>
      </w:pPr>
    </w:p>
    <w:p w14:paraId="20B870A3" w14:textId="77777777" w:rsidR="003E3FB4" w:rsidRDefault="00385ED0">
      <w:pPr>
        <w:spacing w:after="240"/>
        <w:rPr>
          <w:rFonts w:ascii="Times New Roman" w:hAnsi="Times New Roman" w:cs="Times New Roman"/>
          <w:b/>
          <w:color w:val="000000" w:themeColor="text1"/>
          <w:sz w:val="28"/>
          <w:szCs w:val="28"/>
        </w:rPr>
      </w:pPr>
      <w:r>
        <w:rPr>
          <w:rFonts w:ascii="Monotype Corsiva" w:hAnsi="Monotype Corsiva" w:cstheme="majorBidi"/>
          <w:b/>
          <w:bCs/>
          <w:sz w:val="52"/>
          <w:szCs w:val="52"/>
          <w:lang w:bidi="ar-DZ"/>
        </w:rPr>
        <w:t xml:space="preserve">                               _Hafidha _</w:t>
      </w:r>
    </w:p>
    <w:p w14:paraId="5EC5D556" w14:textId="77777777" w:rsidR="003E3FB4" w:rsidRDefault="00385ED0">
      <w:pPr>
        <w:spacing w:after="0" w:line="480" w:lineRule="auto"/>
        <w:jc w:val="cente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Résumé</w:t>
      </w:r>
    </w:p>
    <w:p w14:paraId="73C21805" w14:textId="51EEC00D" w:rsidR="00FC2BDF" w:rsidRPr="000724B3" w:rsidRDefault="00FC2BDF" w:rsidP="00FC2BDF">
      <w:pPr>
        <w:jc w:val="both"/>
        <w:rPr>
          <w:rFonts w:asciiTheme="majorBidi" w:hAnsiTheme="majorBidi" w:cstheme="majorBidi"/>
          <w:sz w:val="24"/>
          <w:szCs w:val="24"/>
        </w:rPr>
      </w:pPr>
      <w:r w:rsidRPr="000724B3">
        <w:rPr>
          <w:rFonts w:asciiTheme="majorBidi" w:hAnsiTheme="majorBidi" w:cstheme="majorBidi"/>
          <w:sz w:val="24"/>
          <w:szCs w:val="24"/>
        </w:rPr>
        <w:lastRenderedPageBreak/>
        <w:t>Le fenugrec (Trigonella foenum-graecum L.) est une plante médicinale ancienne, appartenant à la famille des Fabaceae, largement utilisée à travers le monde pour ses vertus nutritionnelles et thérapeutiques. Riche en composés bioactifs.</w:t>
      </w:r>
    </w:p>
    <w:p w14:paraId="78206E46" w14:textId="77777777" w:rsidR="00FC2BDF" w:rsidRPr="000724B3" w:rsidRDefault="00FC2BDF" w:rsidP="00FC2BDF">
      <w:pPr>
        <w:jc w:val="both"/>
        <w:rPr>
          <w:rFonts w:asciiTheme="majorBidi" w:hAnsiTheme="majorBidi" w:cstheme="majorBidi"/>
          <w:sz w:val="24"/>
          <w:szCs w:val="24"/>
        </w:rPr>
      </w:pPr>
      <w:r w:rsidRPr="000724B3">
        <w:rPr>
          <w:rFonts w:asciiTheme="majorBidi" w:hAnsiTheme="majorBidi" w:cstheme="majorBidi"/>
          <w:sz w:val="24"/>
          <w:szCs w:val="24"/>
        </w:rPr>
        <w:t xml:space="preserve">Cette étude a été menée afin d’évaluer les principales activités biologiques des graines de fenugrec importées d’Inde (activité antiaxydante, anti-inflammatoire in vitro, antimicrobienne), dans le but d’explorer leur potentiel thérapeutique et valoriser leur usage traditionnel. Les extraits aqueux et éthanoliques ont été obtenus par macération à température ambiante, et un criblage phytochimique qualitatif et quantitatif a été réalisé pour identifier les métabolites secondaires majeurs. Les rendements d’extraction obtenus sont 3,88 % et 13,25 % </w:t>
      </w:r>
      <w:r>
        <w:rPr>
          <w:rFonts w:asciiTheme="majorBidi" w:hAnsiTheme="majorBidi" w:cstheme="majorBidi"/>
          <w:sz w:val="24"/>
          <w:szCs w:val="24"/>
        </w:rPr>
        <w:t xml:space="preserve">pour </w:t>
      </w:r>
      <w:r w:rsidRPr="00207209">
        <w:rPr>
          <w:rFonts w:asciiTheme="majorBidi" w:hAnsiTheme="majorBidi" w:cstheme="majorBidi"/>
          <w:sz w:val="24"/>
          <w:szCs w:val="24"/>
        </w:rPr>
        <w:t>l</w:t>
      </w:r>
      <w:r>
        <w:rPr>
          <w:rFonts w:asciiTheme="majorBidi" w:hAnsiTheme="majorBidi" w:cstheme="majorBidi"/>
          <w:sz w:val="24"/>
          <w:szCs w:val="24"/>
        </w:rPr>
        <w:t>`extrait aqueux et ethanolique respectivement. Les</w:t>
      </w:r>
      <w:r w:rsidRPr="000724B3">
        <w:rPr>
          <w:rFonts w:asciiTheme="majorBidi" w:hAnsiTheme="majorBidi" w:cstheme="majorBidi"/>
          <w:sz w:val="24"/>
          <w:szCs w:val="24"/>
        </w:rPr>
        <w:t xml:space="preserve"> analyses phytochimiques ont révélé la présence de flavonoïdes, alcaloïdes, tanins, quinones libres et saponines dans les deux extraits. Sur le plan quantitatif, l’extrait aqueux s’est avéré plus riche en polyphénols totaux (196,9 mg EAG/g) et en flavonoïdes (32,72 ± 1,16 mg EQ/g), tandis que l’extrait éthanolique présentait une teneur plus élevée en tanins (16,3 ± 0,06 mg EC/g).</w:t>
      </w:r>
    </w:p>
    <w:p w14:paraId="0F337A61" w14:textId="77777777" w:rsidR="00FC2BDF" w:rsidRPr="000724B3" w:rsidRDefault="00FC2BDF" w:rsidP="00FC2BDF">
      <w:pPr>
        <w:jc w:val="both"/>
        <w:rPr>
          <w:rFonts w:asciiTheme="majorBidi" w:hAnsiTheme="majorBidi" w:cstheme="majorBidi"/>
          <w:sz w:val="24"/>
          <w:szCs w:val="24"/>
        </w:rPr>
      </w:pPr>
      <w:r w:rsidRPr="000724B3">
        <w:rPr>
          <w:rFonts w:asciiTheme="majorBidi" w:hAnsiTheme="majorBidi" w:cstheme="majorBidi"/>
          <w:sz w:val="24"/>
          <w:szCs w:val="24"/>
        </w:rPr>
        <w:t>L’activité antioxydante a été évaluée par les tests DPPH et FRAP. L’extrait éthanolique a montré une meilleure capacité de piégeage des radicaux libres (IC₅₀ = 23,30 µg/ml) que l’extrait aqueux (IC₅₀ = 25,27 µg/ml). Le test FRAP a confirmé cette tendance, avec une activité antioxydante plus marquée pour l’extrait éthanolique.</w:t>
      </w:r>
    </w:p>
    <w:p w14:paraId="44EA93F6" w14:textId="77777777" w:rsidR="00FC2BDF" w:rsidRPr="000724B3" w:rsidRDefault="00FC2BDF" w:rsidP="00FC2BDF">
      <w:pPr>
        <w:jc w:val="both"/>
        <w:rPr>
          <w:rFonts w:asciiTheme="majorBidi" w:hAnsiTheme="majorBidi" w:cstheme="majorBidi"/>
          <w:sz w:val="24"/>
          <w:szCs w:val="24"/>
        </w:rPr>
      </w:pPr>
      <w:r w:rsidRPr="000724B3">
        <w:rPr>
          <w:rFonts w:asciiTheme="majorBidi" w:hAnsiTheme="majorBidi" w:cstheme="majorBidi"/>
          <w:sz w:val="24"/>
          <w:szCs w:val="24"/>
        </w:rPr>
        <w:t>L’activité anti-inflammatoire in vitro, évaluée par l’inhibition de la dénaturation de l’ovalbumine, a révélé des IC₅₀ de 83,93 µg/ml pour l’extrait éthanolique et de 86,48 µg/ml pour l’extrait aqueux, tous deux plus actifs que l’aspirine (IC₅₀ = 129,35 µg/ml).</w:t>
      </w:r>
    </w:p>
    <w:p w14:paraId="763B0B19" w14:textId="77777777" w:rsidR="00FC2BDF" w:rsidRPr="000724B3" w:rsidRDefault="00FC2BDF" w:rsidP="00FC2BDF">
      <w:pPr>
        <w:jc w:val="both"/>
        <w:rPr>
          <w:rFonts w:asciiTheme="majorBidi" w:hAnsiTheme="majorBidi" w:cstheme="majorBidi"/>
          <w:sz w:val="24"/>
          <w:szCs w:val="24"/>
        </w:rPr>
      </w:pPr>
      <w:r w:rsidRPr="000724B3">
        <w:rPr>
          <w:rFonts w:asciiTheme="majorBidi" w:hAnsiTheme="majorBidi" w:cstheme="majorBidi"/>
          <w:sz w:val="24"/>
          <w:szCs w:val="24"/>
        </w:rPr>
        <w:t>Sur le plan antibactérien, l’extrait aqueux a montré une activité modérée contre Bacillus subtilis et Staphylococcus epidermidis, avec des diamètres d’inhibition de 12 mm et 15 mm respectivement. L’extrait éthanolique a été actif uniquement contre Staphylococcus epidermidis (zone d’inhibition de 11 mm). Cependant, l’efficacité des deux extraits reste inférieure à celle des antibiotiques standards (zones d’inhibition entre 23 et 48 mm).</w:t>
      </w:r>
    </w:p>
    <w:p w14:paraId="5225A9E7" w14:textId="4CDA6171" w:rsidR="00FC2BDF" w:rsidRPr="000724B3" w:rsidRDefault="00FC2BDF" w:rsidP="00FC2BDF">
      <w:pPr>
        <w:jc w:val="both"/>
        <w:rPr>
          <w:rFonts w:asciiTheme="majorBidi" w:hAnsiTheme="majorBidi" w:cstheme="majorBidi"/>
          <w:sz w:val="24"/>
          <w:szCs w:val="24"/>
        </w:rPr>
      </w:pPr>
      <w:r w:rsidRPr="000724B3">
        <w:rPr>
          <w:rFonts w:asciiTheme="majorBidi" w:hAnsiTheme="majorBidi" w:cstheme="majorBidi"/>
          <w:sz w:val="24"/>
          <w:szCs w:val="24"/>
        </w:rPr>
        <w:t>L’évaluation antifongique a révélé une sensibilité modérée de Candida albicans et une inhibition marquée d’Aspergillus brasiliensis (81,9 % par l’extrait aqueux). Botrytis cinerea a été inhibée par les deux extraits (63,3 % pour l’aqueux, 66,66 % pour l’éthanolique). Une activité significative a également été notée contre Colletotrichum sp. Et Monilinia sp.</w:t>
      </w:r>
    </w:p>
    <w:p w14:paraId="09F3EB72" w14:textId="77777777" w:rsidR="00FC2BDF" w:rsidRDefault="00FC2BDF" w:rsidP="00FC2BDF">
      <w:pPr>
        <w:jc w:val="both"/>
        <w:rPr>
          <w:rFonts w:asciiTheme="majorBidi" w:hAnsiTheme="majorBidi" w:cstheme="majorBidi"/>
          <w:sz w:val="24"/>
          <w:szCs w:val="24"/>
        </w:rPr>
      </w:pPr>
      <w:r w:rsidRPr="000724B3">
        <w:rPr>
          <w:rFonts w:asciiTheme="majorBidi" w:hAnsiTheme="majorBidi" w:cstheme="majorBidi"/>
          <w:sz w:val="24"/>
          <w:szCs w:val="24"/>
        </w:rPr>
        <w:t xml:space="preserve"> En conclusion, les graines de fenugrec présentent un potentiel thérapeutique considérable grâce à leurs propriétés antioxydantes, antimicrobiennes et anti-inflammatoires, soutenant leur valorisation dans les domaines pharmaceutique et préventif. </w:t>
      </w:r>
    </w:p>
    <w:p w14:paraId="5D0B27E2" w14:textId="1C294329" w:rsidR="00FC2BDF" w:rsidRPr="000724B3" w:rsidRDefault="00FC2BDF" w:rsidP="00FC2BDF">
      <w:pPr>
        <w:jc w:val="both"/>
        <w:rPr>
          <w:rFonts w:asciiTheme="majorBidi" w:hAnsiTheme="majorBidi" w:cstheme="majorBidi"/>
          <w:sz w:val="24"/>
          <w:szCs w:val="24"/>
        </w:rPr>
      </w:pPr>
      <w:r w:rsidRPr="00C2237A">
        <w:rPr>
          <w:rFonts w:asciiTheme="majorBidi" w:hAnsiTheme="majorBidi" w:cstheme="majorBidi"/>
          <w:b/>
          <w:bCs/>
          <w:sz w:val="24"/>
          <w:szCs w:val="24"/>
        </w:rPr>
        <w:t>Mots-clés</w:t>
      </w:r>
      <w:r w:rsidRPr="00FC2BDF">
        <w:rPr>
          <w:rFonts w:asciiTheme="majorBidi" w:hAnsiTheme="majorBidi" w:cstheme="majorBidi"/>
          <w:sz w:val="24"/>
          <w:szCs w:val="24"/>
        </w:rPr>
        <w:t xml:space="preserve"> : Fenugrec, Rendement d’extraction, Activité antioxydante, Activité antimicrobienne, Activité antifongique, Activité anti-inflammatoire, Polyphénols, Flavonoïdes, Extraits aqueux, Extrait éthanolique.</w:t>
      </w:r>
    </w:p>
    <w:p w14:paraId="6D9C36CC" w14:textId="77777777" w:rsidR="00FC2BDF" w:rsidRPr="000724B3" w:rsidRDefault="00FC2BDF" w:rsidP="00FC2BDF">
      <w:pPr>
        <w:jc w:val="both"/>
        <w:rPr>
          <w:rFonts w:asciiTheme="majorBidi" w:hAnsiTheme="majorBidi" w:cstheme="majorBidi"/>
          <w:sz w:val="24"/>
          <w:szCs w:val="24"/>
        </w:rPr>
      </w:pPr>
    </w:p>
    <w:p w14:paraId="093AE176" w14:textId="0ED719B7" w:rsidR="00FC2BDF" w:rsidRDefault="00FC2BDF">
      <w:pPr>
        <w:spacing w:after="240"/>
        <w:rPr>
          <w:rFonts w:ascii="Times New Roman" w:hAnsi="Times New Roman" w:cs="Times New Roman"/>
          <w:b/>
          <w:color w:val="000000" w:themeColor="text1"/>
          <w:sz w:val="28"/>
          <w:szCs w:val="28"/>
        </w:rPr>
      </w:pPr>
    </w:p>
    <w:p w14:paraId="0BAD4A8A" w14:textId="00A5B3AC" w:rsidR="000C693D" w:rsidRPr="00774959" w:rsidRDefault="000C693D">
      <w:pPr>
        <w:spacing w:after="240"/>
        <w:rPr>
          <w:rFonts w:ascii="Times New Roman" w:hAnsi="Times New Roman" w:cs="Times New Roman"/>
          <w:b/>
          <w:color w:val="000000" w:themeColor="text1"/>
          <w:sz w:val="28"/>
          <w:szCs w:val="28"/>
          <w:lang w:val="en-US"/>
        </w:rPr>
      </w:pPr>
      <w:r>
        <w:rPr>
          <w:rFonts w:ascii="Times New Roman" w:hAnsi="Times New Roman" w:cs="Times New Roman"/>
          <w:b/>
          <w:color w:val="000000" w:themeColor="text1"/>
          <w:sz w:val="28"/>
          <w:szCs w:val="28"/>
        </w:rPr>
        <w:t xml:space="preserve">                                                     </w:t>
      </w:r>
      <w:r w:rsidRPr="00774959">
        <w:rPr>
          <w:rFonts w:ascii="Times New Roman" w:hAnsi="Times New Roman" w:cs="Times New Roman"/>
          <w:b/>
          <w:color w:val="000000" w:themeColor="text1"/>
          <w:sz w:val="28"/>
          <w:szCs w:val="28"/>
          <w:lang w:val="en-US"/>
        </w:rPr>
        <w:t>Abstract</w:t>
      </w:r>
    </w:p>
    <w:p w14:paraId="0B91D71B" w14:textId="77777777" w:rsidR="000C693D" w:rsidRDefault="000C693D" w:rsidP="000C693D">
      <w:pPr>
        <w:jc w:val="both"/>
        <w:rPr>
          <w:rFonts w:asciiTheme="majorBidi" w:hAnsiTheme="majorBidi" w:cstheme="majorBidi"/>
          <w:sz w:val="24"/>
          <w:szCs w:val="24"/>
          <w:lang w:val="en-US"/>
        </w:rPr>
      </w:pPr>
      <w:r w:rsidRPr="00FE3E0C">
        <w:rPr>
          <w:rFonts w:asciiTheme="majorBidi" w:hAnsiTheme="majorBidi" w:cstheme="majorBidi"/>
          <w:sz w:val="24"/>
          <w:szCs w:val="24"/>
          <w:lang w:val="en-US"/>
        </w:rPr>
        <w:lastRenderedPageBreak/>
        <w:t>Fenugreek (Trigonella foenum-graecum L.) is an ancient medicinal plant belonging to the Fabaceae family, widely used around the world for its nutritional and therapeutic virtues. Rich in bioactive compounds</w:t>
      </w:r>
      <w:r>
        <w:rPr>
          <w:rFonts w:asciiTheme="majorBidi" w:hAnsiTheme="majorBidi" w:cstheme="majorBidi"/>
          <w:sz w:val="24"/>
          <w:szCs w:val="24"/>
          <w:lang w:val="en-US"/>
        </w:rPr>
        <w:t>.</w:t>
      </w:r>
    </w:p>
    <w:p w14:paraId="74F5DA82" w14:textId="77777777" w:rsidR="000C693D" w:rsidRPr="00FE3E0C" w:rsidRDefault="000C693D" w:rsidP="000C693D">
      <w:pPr>
        <w:jc w:val="both"/>
        <w:rPr>
          <w:rFonts w:asciiTheme="majorBidi" w:hAnsiTheme="majorBidi" w:cstheme="majorBidi"/>
          <w:sz w:val="24"/>
          <w:szCs w:val="24"/>
          <w:lang w:val="en-US"/>
        </w:rPr>
      </w:pPr>
      <w:r w:rsidRPr="00FE3E0C">
        <w:rPr>
          <w:rFonts w:asciiTheme="majorBidi" w:hAnsiTheme="majorBidi" w:cstheme="majorBidi"/>
          <w:sz w:val="24"/>
          <w:szCs w:val="24"/>
          <w:lang w:val="en-US"/>
        </w:rPr>
        <w:t xml:space="preserve"> this study was conducted to evaluate the main biological activities of fenugreek seeds imported from India (antioxidant, in vitro anti-inflammatory, and antimicrobial activities), with the aim of exploring their therapeutic potential and promoting their traditional use. Aqueous and ethanolic extracts were obtained by maceration at room temperature, and qualitative and quantitative phytochemical screening was performed to identify the major secondary metabolites. Extraction yields were 3.88% for the aqueous extract and 13.25% for the ethanolic extract, indicating greater extraction efficiency with ethanol.</w:t>
      </w:r>
    </w:p>
    <w:p w14:paraId="16CC93CE" w14:textId="77777777" w:rsidR="000C693D" w:rsidRPr="00FE3E0C" w:rsidRDefault="000C693D" w:rsidP="000C693D">
      <w:pPr>
        <w:jc w:val="both"/>
        <w:rPr>
          <w:rFonts w:asciiTheme="majorBidi" w:hAnsiTheme="majorBidi" w:cstheme="majorBidi"/>
          <w:sz w:val="24"/>
          <w:szCs w:val="24"/>
          <w:lang w:val="en-US"/>
        </w:rPr>
      </w:pPr>
      <w:r w:rsidRPr="00FE3E0C">
        <w:rPr>
          <w:rFonts w:asciiTheme="majorBidi" w:hAnsiTheme="majorBidi" w:cstheme="majorBidi"/>
          <w:sz w:val="24"/>
          <w:szCs w:val="24"/>
          <w:lang w:val="en-US"/>
        </w:rPr>
        <w:t>Phytochemical analyses revealed the presence of flavonoids, alkaloids, tannins, free quinones, and saponins in both extracts. Quantitatively, the aqueous extract was richer in total polyphenols (196.9 mg GAE/g) and flavonoids (32.72 ± 1.16 mg QE/g), while the ethanolic extract had a higher tannin content (16.3 ± 0.06 mg CE/g).</w:t>
      </w:r>
    </w:p>
    <w:p w14:paraId="414F12F0" w14:textId="77777777" w:rsidR="000C693D" w:rsidRPr="00FE3E0C" w:rsidRDefault="000C693D" w:rsidP="000C693D">
      <w:pPr>
        <w:jc w:val="both"/>
        <w:rPr>
          <w:rFonts w:asciiTheme="majorBidi" w:hAnsiTheme="majorBidi" w:cstheme="majorBidi"/>
          <w:sz w:val="24"/>
          <w:szCs w:val="24"/>
          <w:lang w:val="en-US"/>
        </w:rPr>
      </w:pPr>
      <w:r w:rsidRPr="00FE3E0C">
        <w:rPr>
          <w:rFonts w:asciiTheme="majorBidi" w:hAnsiTheme="majorBidi" w:cstheme="majorBidi"/>
          <w:sz w:val="24"/>
          <w:szCs w:val="24"/>
          <w:lang w:val="en-US"/>
        </w:rPr>
        <w:t xml:space="preserve"> The antioxidant activity was evaluated using DPPH and FRAP assays. The ethanolic extract showed a better free radical scavenging capacity (IC₅₀ = 23.30 µg/ml) compared to the aqueous extract (IC₅₀ = 25.27 µg/ml). The FRAP test confirmed this trend, indicating stronger antioxidant activity for the ethanolic extract.</w:t>
      </w:r>
    </w:p>
    <w:p w14:paraId="11965782" w14:textId="77777777" w:rsidR="000C693D" w:rsidRPr="00FE3E0C" w:rsidRDefault="000C693D" w:rsidP="000C693D">
      <w:pPr>
        <w:jc w:val="both"/>
        <w:rPr>
          <w:rFonts w:asciiTheme="majorBidi" w:hAnsiTheme="majorBidi" w:cstheme="majorBidi"/>
          <w:sz w:val="24"/>
          <w:szCs w:val="24"/>
          <w:lang w:val="en-US"/>
        </w:rPr>
      </w:pPr>
      <w:r w:rsidRPr="00FE3E0C">
        <w:rPr>
          <w:rFonts w:asciiTheme="majorBidi" w:hAnsiTheme="majorBidi" w:cstheme="majorBidi"/>
          <w:sz w:val="24"/>
          <w:szCs w:val="24"/>
          <w:lang w:val="en-US"/>
        </w:rPr>
        <w:t xml:space="preserve"> The in vitro anti-inflammatory activity, assessed by the inhibition of ovalbumin denaturation, revealed IC₅₀ values of 83.93 µg/ml for the ethanolic extract and 86.48 µg/ml for the aqueous extract, both more active than aspirin (IC₅₀ = 129.35 µg/ml).</w:t>
      </w:r>
    </w:p>
    <w:p w14:paraId="4FA7D34B" w14:textId="77777777" w:rsidR="000C693D" w:rsidRPr="00FE3E0C" w:rsidRDefault="000C693D" w:rsidP="000C693D">
      <w:pPr>
        <w:jc w:val="both"/>
        <w:rPr>
          <w:rFonts w:asciiTheme="majorBidi" w:hAnsiTheme="majorBidi" w:cstheme="majorBidi"/>
          <w:sz w:val="24"/>
          <w:szCs w:val="24"/>
          <w:lang w:val="en-US"/>
        </w:rPr>
      </w:pPr>
      <w:r w:rsidRPr="00FE3E0C">
        <w:rPr>
          <w:rFonts w:asciiTheme="majorBidi" w:hAnsiTheme="majorBidi" w:cstheme="majorBidi"/>
          <w:sz w:val="24"/>
          <w:szCs w:val="24"/>
          <w:lang w:val="en-US"/>
        </w:rPr>
        <w:t xml:space="preserve"> Regarding antibacterial activity, the aqueous extract showed moderate activity against Bacillus subtilis and Staphylococcus epidermidis, with inhibition zones of 12 mm and 15 mm, respectively. The ethanolic extract was active only against Staphylococcus epidermidis (inhibition zone of 11 mm). However, the efficacy of both extracts remained lower than that of standard antibiotics (inhibition zones ranging from 23 to 48 mm).</w:t>
      </w:r>
    </w:p>
    <w:p w14:paraId="7461BF82" w14:textId="77777777" w:rsidR="000C693D" w:rsidRPr="00FE3E0C" w:rsidRDefault="000C693D" w:rsidP="000C693D">
      <w:pPr>
        <w:jc w:val="both"/>
        <w:rPr>
          <w:rFonts w:asciiTheme="majorBidi" w:hAnsiTheme="majorBidi" w:cstheme="majorBidi"/>
          <w:sz w:val="24"/>
          <w:szCs w:val="24"/>
          <w:lang w:val="en-US"/>
        </w:rPr>
      </w:pPr>
      <w:r w:rsidRPr="00FE3E0C">
        <w:rPr>
          <w:rFonts w:asciiTheme="majorBidi" w:hAnsiTheme="majorBidi" w:cstheme="majorBidi"/>
          <w:sz w:val="24"/>
          <w:szCs w:val="24"/>
          <w:lang w:val="en-US"/>
        </w:rPr>
        <w:t>The antifungal evaluation revealed moderate sensitivity of Candida albicans and marked inhibition of Aspergillus brasiliensis (81.9% by the aqueous extract). Botrytis cinerea was inhibited by both extracts (63.3% for the aqueous extract and 66.66% for the ethanolic extract). Significant activity was also noted against Colletotrichum sp. and Monilinia sp.</w:t>
      </w:r>
    </w:p>
    <w:p w14:paraId="64FCC134" w14:textId="77777777" w:rsidR="000C693D" w:rsidRPr="00FE3E0C" w:rsidRDefault="000C693D" w:rsidP="000C693D">
      <w:pPr>
        <w:jc w:val="both"/>
        <w:rPr>
          <w:rFonts w:asciiTheme="majorBidi" w:hAnsiTheme="majorBidi" w:cstheme="majorBidi"/>
          <w:sz w:val="24"/>
          <w:szCs w:val="24"/>
          <w:lang w:val="en-US"/>
        </w:rPr>
      </w:pPr>
      <w:r w:rsidRPr="00FE3E0C">
        <w:rPr>
          <w:rFonts w:asciiTheme="majorBidi" w:hAnsiTheme="majorBidi" w:cstheme="majorBidi"/>
          <w:sz w:val="24"/>
          <w:szCs w:val="24"/>
          <w:lang w:val="en-US"/>
        </w:rPr>
        <w:t xml:space="preserve"> In conclusion, fenugreek seeds exhibit considerable therapeutic potential due to their antioxidant, antimicrobial, and anti-inflammatory properties, supporting their valorization in pharmaceutical and preventive applications.</w:t>
      </w:r>
    </w:p>
    <w:p w14:paraId="4F8CE625" w14:textId="77777777" w:rsidR="000C693D" w:rsidRPr="00FE3E0C" w:rsidRDefault="000C693D" w:rsidP="000C693D">
      <w:pPr>
        <w:jc w:val="both"/>
        <w:rPr>
          <w:rFonts w:asciiTheme="majorBidi" w:hAnsiTheme="majorBidi" w:cstheme="majorBidi"/>
          <w:sz w:val="24"/>
          <w:szCs w:val="24"/>
          <w:lang w:val="en-US"/>
        </w:rPr>
      </w:pPr>
      <w:r w:rsidRPr="00C2237A">
        <w:rPr>
          <w:rFonts w:asciiTheme="majorBidi" w:hAnsiTheme="majorBidi" w:cstheme="majorBidi"/>
          <w:b/>
          <w:bCs/>
          <w:sz w:val="24"/>
          <w:szCs w:val="24"/>
          <w:lang w:val="en-US"/>
        </w:rPr>
        <w:t>Keywords</w:t>
      </w:r>
      <w:r w:rsidRPr="00FE3E0C">
        <w:rPr>
          <w:rFonts w:asciiTheme="majorBidi" w:hAnsiTheme="majorBidi" w:cstheme="majorBidi"/>
          <w:sz w:val="24"/>
          <w:szCs w:val="24"/>
          <w:lang w:val="en-US"/>
        </w:rPr>
        <w:t xml:space="preserve">: Fenugreek, Extraction yield, Antioxidant activity, </w:t>
      </w:r>
      <w:proofErr w:type="gramStart"/>
      <w:r w:rsidRPr="00FE3E0C">
        <w:rPr>
          <w:rFonts w:asciiTheme="majorBidi" w:hAnsiTheme="majorBidi" w:cstheme="majorBidi"/>
          <w:sz w:val="24"/>
          <w:szCs w:val="24"/>
          <w:lang w:val="en-US"/>
        </w:rPr>
        <w:t>Antimicrobial</w:t>
      </w:r>
      <w:proofErr w:type="gramEnd"/>
      <w:r w:rsidRPr="00FE3E0C">
        <w:rPr>
          <w:rFonts w:asciiTheme="majorBidi" w:hAnsiTheme="majorBidi" w:cstheme="majorBidi"/>
          <w:sz w:val="24"/>
          <w:szCs w:val="24"/>
          <w:lang w:val="en-US"/>
        </w:rPr>
        <w:t xml:space="preserve"> activity, Antifungal activity, Anti-inflammatory activity, Polyphenols, Flavonoids, Aqueous extracts, Ethanolic extract.</w:t>
      </w:r>
    </w:p>
    <w:p w14:paraId="6B65F5C0" w14:textId="77777777" w:rsidR="000C693D" w:rsidRPr="00FE3E0C" w:rsidRDefault="000C693D" w:rsidP="000C693D">
      <w:pPr>
        <w:jc w:val="both"/>
        <w:rPr>
          <w:rFonts w:asciiTheme="majorBidi" w:hAnsiTheme="majorBidi" w:cstheme="majorBidi"/>
          <w:sz w:val="24"/>
          <w:szCs w:val="24"/>
          <w:lang w:val="en-US"/>
        </w:rPr>
      </w:pPr>
    </w:p>
    <w:p w14:paraId="3125A0AD" w14:textId="77777777" w:rsidR="000C693D" w:rsidRPr="000C693D" w:rsidRDefault="000C693D">
      <w:pPr>
        <w:spacing w:after="240"/>
        <w:rPr>
          <w:rFonts w:asciiTheme="majorBidi" w:hAnsiTheme="majorBidi" w:cstheme="majorBidi"/>
          <w:b/>
          <w:bCs/>
          <w:sz w:val="28"/>
          <w:szCs w:val="28"/>
          <w:lang w:val="en-US" w:bidi="ar-DZ"/>
        </w:rPr>
      </w:pPr>
    </w:p>
    <w:p w14:paraId="7A520CBB" w14:textId="05D5DC3C" w:rsidR="003E3FB4" w:rsidRDefault="00385ED0" w:rsidP="00C2237A">
      <w:pPr>
        <w:spacing w:after="240"/>
        <w:jc w:val="center"/>
        <w:rPr>
          <w:rFonts w:asciiTheme="majorBidi" w:hAnsiTheme="majorBidi" w:cstheme="majorBidi"/>
          <w:b/>
          <w:bCs/>
          <w:sz w:val="32"/>
          <w:szCs w:val="32"/>
          <w:lang w:val="en-US" w:bidi="ar-DZ"/>
        </w:rPr>
      </w:pPr>
      <w:r>
        <w:rPr>
          <w:rFonts w:asciiTheme="majorBidi" w:hAnsiTheme="majorBidi" w:cstheme="majorBidi" w:hint="cs"/>
          <w:b/>
          <w:bCs/>
          <w:sz w:val="32"/>
          <w:szCs w:val="32"/>
          <w:rtl/>
          <w:lang w:val="en-US" w:bidi="ar-DZ"/>
        </w:rPr>
        <w:t>الملخص</w:t>
      </w:r>
    </w:p>
    <w:p w14:paraId="23D5B951" w14:textId="77777777" w:rsidR="005A27F3" w:rsidRPr="00B92277" w:rsidRDefault="005A27F3" w:rsidP="00C2237A">
      <w:pPr>
        <w:bidi/>
        <w:spacing w:line="276" w:lineRule="auto"/>
        <w:jc w:val="both"/>
        <w:rPr>
          <w:rFonts w:asciiTheme="majorBidi" w:hAnsiTheme="majorBidi" w:cs="Times New Roman"/>
          <w:sz w:val="24"/>
          <w:szCs w:val="24"/>
          <w:lang w:val="en-US"/>
        </w:rPr>
      </w:pPr>
      <w:r w:rsidRPr="00B92277">
        <w:rPr>
          <w:rFonts w:asciiTheme="majorBidi" w:hAnsiTheme="majorBidi" w:cstheme="majorBidi" w:hint="cs"/>
          <w:sz w:val="24"/>
          <w:szCs w:val="24"/>
          <w:rtl/>
          <w:lang w:val="en-US"/>
        </w:rPr>
        <w:lastRenderedPageBreak/>
        <w:t>)</w:t>
      </w:r>
      <w:r w:rsidRPr="00B92277">
        <w:rPr>
          <w:rFonts w:asciiTheme="majorBidi" w:hAnsiTheme="majorBidi" w:cstheme="majorBidi"/>
          <w:sz w:val="24"/>
          <w:szCs w:val="24"/>
          <w:lang w:val="en-US"/>
        </w:rPr>
        <w:t xml:space="preserve"> Fabaceae</w:t>
      </w:r>
      <w:r w:rsidRPr="00B92277">
        <w:rPr>
          <w:rFonts w:asciiTheme="majorBidi" w:hAnsiTheme="majorBidi" w:cs="Times New Roman"/>
          <w:sz w:val="24"/>
          <w:szCs w:val="24"/>
          <w:rtl/>
          <w:lang w:val="en-US"/>
        </w:rPr>
        <w:t xml:space="preserve"> هي نبات طبي قديم ينتمي إلى عائلة </w:t>
      </w:r>
      <w:r w:rsidRPr="00B92277">
        <w:rPr>
          <w:rFonts w:asciiTheme="majorBidi" w:hAnsiTheme="majorBidi" w:cs="Times New Roman" w:hint="cs"/>
          <w:sz w:val="24"/>
          <w:szCs w:val="24"/>
          <w:rtl/>
          <w:lang w:val="en-US"/>
        </w:rPr>
        <w:t xml:space="preserve">البقوليات </w:t>
      </w:r>
      <w:r w:rsidRPr="00B92277">
        <w:rPr>
          <w:rFonts w:asciiTheme="majorBidi" w:hAnsiTheme="majorBidi" w:cs="Times New Roman"/>
          <w:sz w:val="24"/>
          <w:szCs w:val="24"/>
          <w:rtl/>
          <w:lang w:val="en-US"/>
        </w:rPr>
        <w:t>(</w:t>
      </w:r>
      <w:r w:rsidRPr="00B92277">
        <w:rPr>
          <w:rFonts w:asciiTheme="majorBidi" w:hAnsiTheme="majorBidi" w:cstheme="majorBidi"/>
          <w:sz w:val="24"/>
          <w:szCs w:val="24"/>
          <w:lang w:val="en-US"/>
        </w:rPr>
        <w:t xml:space="preserve">Trigonella foenum-graecum L) </w:t>
      </w:r>
      <w:r w:rsidRPr="00B92277">
        <w:rPr>
          <w:rFonts w:asciiTheme="majorBidi" w:hAnsiTheme="majorBidi" w:cstheme="majorBidi"/>
          <w:sz w:val="24"/>
          <w:szCs w:val="24"/>
          <w:rtl/>
          <w:lang w:val="en-US"/>
        </w:rPr>
        <w:t>الحلبة</w:t>
      </w:r>
    </w:p>
    <w:p w14:paraId="5933241A" w14:textId="77777777" w:rsidR="005A27F3" w:rsidRPr="00B92277" w:rsidRDefault="005A27F3" w:rsidP="00C2237A">
      <w:pPr>
        <w:bidi/>
        <w:spacing w:line="276" w:lineRule="auto"/>
        <w:jc w:val="both"/>
        <w:rPr>
          <w:rFonts w:asciiTheme="majorBidi" w:hAnsiTheme="majorBidi" w:cstheme="majorBidi"/>
          <w:sz w:val="24"/>
          <w:szCs w:val="24"/>
          <w:lang w:val="en-US"/>
        </w:rPr>
      </w:pPr>
      <w:r w:rsidRPr="00B92277">
        <w:rPr>
          <w:rFonts w:asciiTheme="majorBidi" w:hAnsiTheme="majorBidi" w:cs="Times New Roman"/>
          <w:sz w:val="24"/>
          <w:szCs w:val="24"/>
          <w:rtl/>
          <w:lang w:val="en-US"/>
        </w:rPr>
        <w:t xml:space="preserve">ويُستخدم على نطاق واسع في جميع أنحاء العالم لما يتميز به من فوائد غذائية وعلاجية. غنيّة بالمركّبات النشطة بيولوجيًا، وقد أُجريت هذه الدراسة لتقييم الأنشطة البيولوجية الرئيسية لبذور الحلبة المستوردة من الهند (النشاط المضاد للأكسدة، والنشاط المضاد للالتهاب في المختبر، والنشاط المضاد للميكروبات)، بهدف استكشاف إمكاناتها العلاجية وتعزيز استخدامها التقليدي. تم الحصول على المستخلصات المائية </w:t>
      </w:r>
      <w:r w:rsidRPr="00B92277">
        <w:rPr>
          <w:rFonts w:asciiTheme="majorBidi" w:hAnsiTheme="majorBidi" w:cs="Times New Roman" w:hint="cs"/>
          <w:sz w:val="24"/>
          <w:szCs w:val="24"/>
          <w:rtl/>
          <w:lang w:val="en-US"/>
        </w:rPr>
        <w:t>الايثانولية</w:t>
      </w:r>
      <w:r w:rsidRPr="00B92277">
        <w:rPr>
          <w:rFonts w:asciiTheme="majorBidi" w:hAnsiTheme="majorBidi" w:cs="Times New Roman"/>
          <w:sz w:val="24"/>
          <w:szCs w:val="24"/>
          <w:rtl/>
          <w:lang w:val="en-US"/>
        </w:rPr>
        <w:t xml:space="preserve"> عن طريق النقع في درجة حرارة الغرفة، وأُجري فحص </w:t>
      </w:r>
      <w:r w:rsidRPr="00B92277">
        <w:rPr>
          <w:rFonts w:asciiTheme="majorBidi" w:hAnsiTheme="majorBidi" w:cs="Times New Roman" w:hint="cs"/>
          <w:sz w:val="24"/>
          <w:szCs w:val="24"/>
          <w:rtl/>
          <w:lang w:val="en-US"/>
        </w:rPr>
        <w:t>فيتو كيميائ</w:t>
      </w:r>
      <w:r w:rsidRPr="00B92277">
        <w:rPr>
          <w:rFonts w:asciiTheme="majorBidi" w:hAnsiTheme="majorBidi" w:cs="Times New Roman" w:hint="eastAsia"/>
          <w:sz w:val="24"/>
          <w:szCs w:val="24"/>
          <w:rtl/>
          <w:lang w:val="en-US"/>
        </w:rPr>
        <w:t>ي</w:t>
      </w:r>
      <w:r w:rsidRPr="00B92277">
        <w:rPr>
          <w:rFonts w:asciiTheme="majorBidi" w:hAnsiTheme="majorBidi" w:cs="Times New Roman"/>
          <w:sz w:val="24"/>
          <w:szCs w:val="24"/>
          <w:rtl/>
          <w:lang w:val="en-US"/>
        </w:rPr>
        <w:t xml:space="preserve"> نوعي وكمي لتحديد </w:t>
      </w:r>
      <w:r w:rsidRPr="00B92277">
        <w:rPr>
          <w:rFonts w:asciiTheme="majorBidi" w:hAnsiTheme="majorBidi" w:cs="Times New Roman" w:hint="cs"/>
          <w:sz w:val="24"/>
          <w:szCs w:val="24"/>
          <w:rtl/>
          <w:lang w:val="en-US"/>
        </w:rPr>
        <w:t>المستقبلات</w:t>
      </w:r>
      <w:r w:rsidRPr="00B92277">
        <w:rPr>
          <w:rFonts w:asciiTheme="majorBidi" w:hAnsiTheme="majorBidi" w:cs="Times New Roman"/>
          <w:sz w:val="24"/>
          <w:szCs w:val="24"/>
          <w:rtl/>
          <w:lang w:val="en-US"/>
        </w:rPr>
        <w:t xml:space="preserve"> الثانوية الرئيسية. بلغت مردودية الاستخلاص 3.88% للمستخلص المائي و13.25% للمستخلص الإيثانولي، مما يشير إلى كفاءة استخلاص أعلى باستخدام الإيثانول</w:t>
      </w:r>
    </w:p>
    <w:p w14:paraId="79410507" w14:textId="19FCE4D2" w:rsidR="003E3FB4" w:rsidRPr="00B92277" w:rsidRDefault="005A27F3" w:rsidP="00C2237A">
      <w:pPr>
        <w:tabs>
          <w:tab w:val="left" w:pos="6173"/>
        </w:tabs>
        <w:bidi/>
        <w:spacing w:line="276" w:lineRule="auto"/>
        <w:jc w:val="both"/>
        <w:rPr>
          <w:rFonts w:ascii="Times New Roman" w:hAnsi="Times New Roman" w:cs="Times New Roman"/>
          <w:color w:val="000000" w:themeColor="text1"/>
          <w:sz w:val="24"/>
          <w:szCs w:val="24"/>
        </w:rPr>
      </w:pPr>
      <w:r w:rsidRPr="00B92277">
        <w:rPr>
          <w:rFonts w:asciiTheme="majorBidi" w:hAnsiTheme="majorBidi" w:cs="Times New Roman"/>
          <w:sz w:val="24"/>
          <w:szCs w:val="24"/>
          <w:rtl/>
          <w:lang w:val="en-US"/>
        </w:rPr>
        <w:t>كشفت التحاليل الفيتوكيميائية عن وجود الفلافونويدات، والقلويدات، والتانينات، والكينونات الحرة، والصابونينات في كلا المستخلصين. من الناحية الكمية، تبيّن أن المستخلص المائي أغنى بالبوليفينولات الكلية (196.9 ملغ مكافئ حمض الغاليك/غ) والفلافونويدات (32.72 ± 1.16 ملغ مكافئ كيرسيتين/غ)، في حين احتوى المستخلص الإيثانولي على نسبة أعلى من التانينات (16.3 ± 0.06 ملغ مكافئ كاتيكين/غ)</w:t>
      </w:r>
    </w:p>
    <w:p w14:paraId="4E6AE8AF" w14:textId="77777777" w:rsidR="003E3FB4" w:rsidRPr="00B92277" w:rsidRDefault="00385ED0" w:rsidP="00C2237A">
      <w:pPr>
        <w:tabs>
          <w:tab w:val="left" w:pos="6173"/>
        </w:tabs>
        <w:bidi/>
        <w:spacing w:after="120" w:line="276" w:lineRule="auto"/>
        <w:jc w:val="both"/>
        <w:rPr>
          <w:rFonts w:ascii="Times New Roman" w:hAnsi="Times New Roman" w:cs="Times New Roman"/>
          <w:color w:val="000000" w:themeColor="text1"/>
          <w:sz w:val="24"/>
          <w:szCs w:val="24"/>
        </w:rPr>
      </w:pPr>
      <w:r w:rsidRPr="00B92277">
        <w:rPr>
          <w:rFonts w:ascii="Times New Roman" w:hAnsi="Times New Roman" w:cs="Times New Roman"/>
          <w:color w:val="000000" w:themeColor="text1"/>
          <w:sz w:val="24"/>
          <w:szCs w:val="24"/>
          <w:rtl/>
          <w:lang w:val="en-US"/>
        </w:rPr>
        <w:t xml:space="preserve">تم تقييم النشاط المضاد للأكسدة باستخدام اختباري </w:t>
      </w:r>
      <w:r w:rsidRPr="00B92277">
        <w:rPr>
          <w:rFonts w:ascii="Times New Roman" w:hAnsi="Times New Roman" w:cs="Times New Roman"/>
          <w:color w:val="000000" w:themeColor="text1"/>
          <w:sz w:val="24"/>
          <w:szCs w:val="24"/>
        </w:rPr>
        <w:t>DPPH</w:t>
      </w:r>
      <w:r w:rsidRPr="00B92277">
        <w:rPr>
          <w:rFonts w:ascii="Times New Roman" w:hAnsi="Times New Roman" w:cs="Times New Roman"/>
          <w:color w:val="000000" w:themeColor="text1"/>
          <w:sz w:val="24"/>
          <w:szCs w:val="24"/>
          <w:rtl/>
          <w:lang w:val="en-US"/>
        </w:rPr>
        <w:t>و</w:t>
      </w:r>
      <w:r w:rsidRPr="00B92277">
        <w:rPr>
          <w:rFonts w:ascii="Times New Roman" w:hAnsi="Times New Roman" w:cs="Times New Roman"/>
          <w:color w:val="000000" w:themeColor="text1"/>
          <w:sz w:val="24"/>
          <w:szCs w:val="24"/>
        </w:rPr>
        <w:t xml:space="preserve"> FRAP</w:t>
      </w:r>
    </w:p>
    <w:p w14:paraId="766D6740" w14:textId="77777777" w:rsidR="003E3FB4" w:rsidRPr="00B92277" w:rsidRDefault="00385ED0" w:rsidP="00C2237A">
      <w:pPr>
        <w:tabs>
          <w:tab w:val="left" w:pos="6173"/>
        </w:tabs>
        <w:bidi/>
        <w:spacing w:after="120" w:line="276" w:lineRule="auto"/>
        <w:jc w:val="both"/>
        <w:rPr>
          <w:rFonts w:ascii="Times New Roman" w:hAnsi="Times New Roman" w:cs="Times New Roman"/>
          <w:color w:val="000000" w:themeColor="text1"/>
          <w:sz w:val="24"/>
          <w:szCs w:val="24"/>
        </w:rPr>
      </w:pPr>
      <w:r w:rsidRPr="00B92277">
        <w:rPr>
          <w:rFonts w:ascii="Times New Roman" w:hAnsi="Times New Roman" w:cs="Times New Roman"/>
          <w:color w:val="000000" w:themeColor="text1"/>
          <w:sz w:val="24"/>
          <w:szCs w:val="24"/>
          <w:rtl/>
          <w:lang w:val="en-US"/>
        </w:rPr>
        <w:t xml:space="preserve">اظهر المستخلص الايثانولي قدرة اعلي على التخلص من الجذور الحرة </w:t>
      </w:r>
      <w:r w:rsidRPr="00B92277">
        <w:rPr>
          <w:rFonts w:ascii="Times New Roman" w:hAnsi="Times New Roman" w:cs="Times New Roman"/>
          <w:color w:val="000000" w:themeColor="text1"/>
          <w:sz w:val="24"/>
          <w:szCs w:val="24"/>
        </w:rPr>
        <w:t>23 ,30)</w:t>
      </w:r>
      <w:r w:rsidRPr="00B92277">
        <w:rPr>
          <w:rFonts w:ascii="Times New Roman" w:hAnsi="Times New Roman" w:cs="Times New Roman" w:hint="cs"/>
          <w:color w:val="000000" w:themeColor="text1"/>
          <w:sz w:val="24"/>
          <w:szCs w:val="24"/>
          <w:rtl/>
          <w:lang w:val="en-US"/>
        </w:rPr>
        <w:t xml:space="preserve"> ميكروغرا</w:t>
      </w:r>
      <w:r w:rsidRPr="00B92277">
        <w:rPr>
          <w:rFonts w:ascii="Times New Roman" w:hAnsi="Times New Roman" w:cs="Times New Roman" w:hint="eastAsia"/>
          <w:color w:val="000000" w:themeColor="text1"/>
          <w:sz w:val="24"/>
          <w:szCs w:val="24"/>
          <w:rtl/>
          <w:lang w:val="en-US"/>
        </w:rPr>
        <w:t>م</w:t>
      </w:r>
      <w:r w:rsidRPr="00B92277">
        <w:rPr>
          <w:rFonts w:ascii="Times New Roman" w:hAnsi="Times New Roman" w:cs="Times New Roman"/>
          <w:color w:val="000000" w:themeColor="text1"/>
          <w:sz w:val="24"/>
          <w:szCs w:val="24"/>
          <w:rtl/>
          <w:lang w:val="en-US"/>
        </w:rPr>
        <w:t xml:space="preserve"> </w:t>
      </w:r>
      <w:r w:rsidRPr="00B92277">
        <w:rPr>
          <w:rFonts w:ascii="Times New Roman" w:hAnsi="Times New Roman" w:cs="Times New Roman"/>
          <w:color w:val="000000" w:themeColor="text1"/>
          <w:sz w:val="24"/>
          <w:szCs w:val="24"/>
        </w:rPr>
        <w:t>/</w:t>
      </w:r>
      <w:r w:rsidRPr="00B92277">
        <w:rPr>
          <w:rFonts w:ascii="Times New Roman" w:hAnsi="Times New Roman" w:cs="Times New Roman"/>
          <w:color w:val="000000" w:themeColor="text1"/>
          <w:sz w:val="24"/>
          <w:szCs w:val="24"/>
          <w:rtl/>
          <w:lang w:val="en-US"/>
        </w:rPr>
        <w:t>مل</w:t>
      </w:r>
      <w:r w:rsidRPr="00B92277">
        <w:rPr>
          <w:rFonts w:ascii="Times New Roman" w:hAnsi="Times New Roman" w:cs="Times New Roman"/>
          <w:color w:val="000000" w:themeColor="text1"/>
          <w:sz w:val="24"/>
          <w:szCs w:val="24"/>
        </w:rPr>
        <w:t xml:space="preserve"> IC 50=</w:t>
      </w:r>
      <w:r w:rsidRPr="00B92277">
        <w:rPr>
          <w:rFonts w:ascii="Times New Roman" w:hAnsi="Times New Roman" w:cs="Times New Roman"/>
          <w:color w:val="000000" w:themeColor="text1"/>
          <w:sz w:val="24"/>
          <w:szCs w:val="24"/>
          <w:rtl/>
          <w:lang w:val="en-US"/>
        </w:rPr>
        <w:t xml:space="preserve"> </w:t>
      </w:r>
      <w:r w:rsidRPr="00B92277">
        <w:rPr>
          <w:rFonts w:ascii="Times New Roman" w:hAnsi="Times New Roman" w:cs="Times New Roman"/>
          <w:color w:val="000000" w:themeColor="text1"/>
          <w:sz w:val="24"/>
          <w:szCs w:val="24"/>
        </w:rPr>
        <w:t>(</w:t>
      </w:r>
      <w:r w:rsidRPr="00B92277">
        <w:rPr>
          <w:rFonts w:ascii="Times New Roman" w:hAnsi="Times New Roman" w:cs="Times New Roman"/>
          <w:color w:val="000000" w:themeColor="text1"/>
          <w:sz w:val="24"/>
          <w:szCs w:val="24"/>
          <w:rtl/>
        </w:rPr>
        <w:t>مقارنة</w:t>
      </w:r>
      <w:r w:rsidRPr="00B92277">
        <w:rPr>
          <w:rFonts w:ascii="Times New Roman" w:hAnsi="Times New Roman" w:cs="Times New Roman"/>
          <w:color w:val="000000" w:themeColor="text1"/>
          <w:sz w:val="24"/>
          <w:szCs w:val="24"/>
          <w:rtl/>
          <w:lang w:val="en-US"/>
        </w:rPr>
        <w:t xml:space="preserve"> بالمستخلص المائي</w:t>
      </w:r>
      <w:r w:rsidRPr="00B92277">
        <w:rPr>
          <w:rFonts w:ascii="Times New Roman" w:hAnsi="Times New Roman" w:cs="Times New Roman"/>
          <w:color w:val="000000" w:themeColor="text1"/>
          <w:sz w:val="24"/>
          <w:szCs w:val="24"/>
        </w:rPr>
        <w:t>25,27</w:t>
      </w:r>
      <w:r w:rsidRPr="00B92277">
        <w:rPr>
          <w:rFonts w:ascii="Times New Roman" w:hAnsi="Times New Roman" w:cs="Times New Roman"/>
          <w:color w:val="000000" w:themeColor="text1"/>
          <w:sz w:val="24"/>
          <w:szCs w:val="24"/>
          <w:rtl/>
          <w:lang w:val="en-US"/>
        </w:rPr>
        <w:t xml:space="preserve">ميكروغرام </w:t>
      </w:r>
      <w:r w:rsidRPr="00B92277">
        <w:rPr>
          <w:rFonts w:ascii="Times New Roman" w:hAnsi="Times New Roman" w:cs="Times New Roman"/>
          <w:color w:val="000000" w:themeColor="text1"/>
          <w:sz w:val="24"/>
          <w:szCs w:val="24"/>
        </w:rPr>
        <w:t>/</w:t>
      </w:r>
      <w:r w:rsidRPr="00B92277">
        <w:rPr>
          <w:rFonts w:ascii="Times New Roman" w:hAnsi="Times New Roman" w:cs="Times New Roman"/>
          <w:color w:val="000000" w:themeColor="text1"/>
          <w:sz w:val="24"/>
          <w:szCs w:val="24"/>
          <w:rtl/>
          <w:lang w:val="en-US"/>
        </w:rPr>
        <w:t>مل</w:t>
      </w:r>
      <w:r w:rsidRPr="00B92277">
        <w:rPr>
          <w:rFonts w:ascii="Times New Roman" w:hAnsi="Times New Roman" w:cs="Times New Roman"/>
          <w:color w:val="000000" w:themeColor="text1"/>
          <w:sz w:val="24"/>
          <w:szCs w:val="24"/>
        </w:rPr>
        <w:t xml:space="preserve"> IC 50=</w:t>
      </w:r>
      <w:r w:rsidRPr="00B92277">
        <w:rPr>
          <w:rFonts w:ascii="Times New Roman" w:hAnsi="Times New Roman" w:cs="Times New Roman"/>
          <w:color w:val="000000" w:themeColor="text1"/>
          <w:sz w:val="24"/>
          <w:szCs w:val="24"/>
          <w:rtl/>
          <w:lang w:val="en-US"/>
        </w:rPr>
        <w:t xml:space="preserve"> </w:t>
      </w:r>
      <w:r w:rsidRPr="00B92277">
        <w:rPr>
          <w:rFonts w:ascii="Times New Roman" w:hAnsi="Times New Roman" w:cs="Times New Roman"/>
          <w:color w:val="000000" w:themeColor="text1"/>
          <w:sz w:val="24"/>
          <w:szCs w:val="24"/>
        </w:rPr>
        <w:t>(,</w:t>
      </w:r>
      <w:r w:rsidRPr="00B92277">
        <w:rPr>
          <w:rFonts w:ascii="Times New Roman" w:hAnsi="Times New Roman" w:cs="Times New Roman"/>
          <w:color w:val="000000" w:themeColor="text1"/>
          <w:sz w:val="24"/>
          <w:szCs w:val="24"/>
          <w:rtl/>
          <w:lang w:val="en-US"/>
        </w:rPr>
        <w:t>وقد أكد اختبار</w:t>
      </w:r>
      <w:r w:rsidRPr="00B92277">
        <w:rPr>
          <w:rFonts w:ascii="Times New Roman" w:hAnsi="Times New Roman" w:cs="Times New Roman"/>
          <w:color w:val="000000" w:themeColor="text1"/>
          <w:sz w:val="24"/>
          <w:szCs w:val="24"/>
        </w:rPr>
        <w:t xml:space="preserve"> FRAP</w:t>
      </w:r>
      <w:r w:rsidRPr="00B92277">
        <w:rPr>
          <w:rFonts w:ascii="Times New Roman" w:hAnsi="Times New Roman" w:cs="Times New Roman"/>
          <w:color w:val="000000" w:themeColor="text1"/>
          <w:sz w:val="24"/>
          <w:szCs w:val="24"/>
          <w:rtl/>
          <w:lang w:val="en-US"/>
        </w:rPr>
        <w:t xml:space="preserve">هذه النتائج حيث اظهر المستخلص الايثانولي فعالية مضادة للأكسدة اعلي من المستخلص </w:t>
      </w:r>
      <w:r w:rsidRPr="00B92277">
        <w:rPr>
          <w:rFonts w:ascii="Times New Roman" w:hAnsi="Times New Roman" w:cs="Times New Roman" w:hint="cs"/>
          <w:color w:val="000000" w:themeColor="text1"/>
          <w:sz w:val="24"/>
          <w:szCs w:val="24"/>
          <w:rtl/>
          <w:lang w:val="en-US"/>
        </w:rPr>
        <w:t>المائي.</w:t>
      </w:r>
      <w:r w:rsidRPr="00B92277">
        <w:rPr>
          <w:rFonts w:ascii="Times New Roman" w:hAnsi="Times New Roman" w:cs="Times New Roman"/>
          <w:color w:val="000000" w:themeColor="text1"/>
          <w:sz w:val="24"/>
          <w:szCs w:val="24"/>
          <w:rtl/>
          <w:lang w:val="en-US"/>
        </w:rPr>
        <w:t xml:space="preserve"> </w:t>
      </w:r>
    </w:p>
    <w:p w14:paraId="5E1EEEBF" w14:textId="77777777" w:rsidR="003E3FB4" w:rsidRPr="00B92277" w:rsidRDefault="00385ED0" w:rsidP="00C2237A">
      <w:pPr>
        <w:tabs>
          <w:tab w:val="left" w:pos="6173"/>
        </w:tabs>
        <w:bidi/>
        <w:spacing w:after="120" w:line="276" w:lineRule="auto"/>
        <w:jc w:val="both"/>
        <w:rPr>
          <w:rFonts w:ascii="Times New Roman" w:hAnsi="Times New Roman" w:cs="Times New Roman"/>
          <w:color w:val="000000" w:themeColor="text1"/>
          <w:sz w:val="24"/>
          <w:szCs w:val="24"/>
        </w:rPr>
      </w:pPr>
      <w:r w:rsidRPr="00B92277">
        <w:rPr>
          <w:rFonts w:ascii="Times New Roman" w:hAnsi="Times New Roman" w:cs="Times New Roman"/>
          <w:color w:val="000000" w:themeColor="text1"/>
          <w:sz w:val="24"/>
          <w:szCs w:val="24"/>
          <w:rtl/>
          <w:lang w:val="en-US"/>
        </w:rPr>
        <w:t>تم تقييم النشاط المضاد للالتهابات مخبريا من خلال تثبيط تحلل بروتين الأ</w:t>
      </w:r>
      <w:r w:rsidRPr="00B92277">
        <w:rPr>
          <w:rFonts w:ascii="Times New Roman" w:hAnsi="Times New Roman" w:cs="Times New Roman" w:hint="cs"/>
          <w:color w:val="000000" w:themeColor="text1"/>
          <w:sz w:val="24"/>
          <w:szCs w:val="24"/>
          <w:rtl/>
          <w:lang w:val="en-US" w:bidi="ar-DZ"/>
        </w:rPr>
        <w:t>فا</w:t>
      </w:r>
      <w:r w:rsidRPr="00B92277">
        <w:rPr>
          <w:rFonts w:ascii="Times New Roman" w:hAnsi="Times New Roman" w:cs="Times New Roman"/>
          <w:color w:val="000000" w:themeColor="text1"/>
          <w:sz w:val="24"/>
          <w:szCs w:val="24"/>
          <w:rtl/>
          <w:lang w:val="en-US"/>
        </w:rPr>
        <w:t xml:space="preserve">لبومين حيث أظهرت النتائج أن </w:t>
      </w:r>
      <w:r w:rsidRPr="00B92277">
        <w:rPr>
          <w:rFonts w:ascii="Times New Roman" w:hAnsi="Times New Roman" w:cs="Times New Roman"/>
          <w:color w:val="000000" w:themeColor="text1"/>
          <w:sz w:val="24"/>
          <w:szCs w:val="24"/>
        </w:rPr>
        <w:t>IC 50</w:t>
      </w:r>
      <w:r w:rsidRPr="00B92277">
        <w:rPr>
          <w:rFonts w:ascii="Times New Roman" w:hAnsi="Times New Roman" w:cs="Times New Roman"/>
          <w:color w:val="000000" w:themeColor="text1"/>
          <w:sz w:val="24"/>
          <w:szCs w:val="24"/>
          <w:rtl/>
          <w:lang w:val="en-US"/>
        </w:rPr>
        <w:t xml:space="preserve"> </w:t>
      </w:r>
      <w:r w:rsidRPr="00B92277">
        <w:rPr>
          <w:rFonts w:ascii="Times New Roman" w:hAnsi="Times New Roman" w:cs="Times New Roman" w:hint="cs"/>
          <w:color w:val="000000" w:themeColor="text1"/>
          <w:sz w:val="24"/>
          <w:szCs w:val="24"/>
          <w:rtl/>
          <w:lang w:val="en-US"/>
        </w:rPr>
        <w:t xml:space="preserve">كانت </w:t>
      </w:r>
      <w:r w:rsidRPr="00B92277">
        <w:rPr>
          <w:rFonts w:ascii="Times New Roman" w:hAnsi="Times New Roman" w:cs="Times New Roman"/>
          <w:color w:val="000000" w:themeColor="text1"/>
          <w:sz w:val="24"/>
          <w:szCs w:val="24"/>
        </w:rPr>
        <w:t xml:space="preserve">83,93 </w:t>
      </w:r>
      <w:r w:rsidRPr="00B92277">
        <w:rPr>
          <w:rFonts w:ascii="Times New Roman" w:hAnsi="Times New Roman" w:cs="Times New Roman" w:hint="cs"/>
          <w:color w:val="000000" w:themeColor="text1"/>
          <w:sz w:val="24"/>
          <w:szCs w:val="24"/>
          <w:rtl/>
          <w:lang w:val="en-US"/>
        </w:rPr>
        <w:t>ميكروغرام</w:t>
      </w:r>
      <w:r w:rsidRPr="00B92277">
        <w:rPr>
          <w:rFonts w:ascii="Times New Roman" w:hAnsi="Times New Roman" w:cs="Times New Roman"/>
          <w:color w:val="000000" w:themeColor="text1"/>
          <w:sz w:val="24"/>
          <w:szCs w:val="24"/>
          <w:rtl/>
          <w:lang w:val="en-US"/>
        </w:rPr>
        <w:t xml:space="preserve"> </w:t>
      </w:r>
      <w:r w:rsidRPr="00B92277">
        <w:rPr>
          <w:rFonts w:ascii="Times New Roman" w:hAnsi="Times New Roman" w:cs="Times New Roman"/>
          <w:color w:val="000000" w:themeColor="text1"/>
          <w:sz w:val="24"/>
          <w:szCs w:val="24"/>
        </w:rPr>
        <w:t>/</w:t>
      </w:r>
      <w:r w:rsidRPr="00B92277">
        <w:rPr>
          <w:rFonts w:ascii="Times New Roman" w:hAnsi="Times New Roman" w:cs="Times New Roman"/>
          <w:color w:val="000000" w:themeColor="text1"/>
          <w:sz w:val="24"/>
          <w:szCs w:val="24"/>
          <w:rtl/>
          <w:lang w:val="en-US"/>
        </w:rPr>
        <w:t>مل</w:t>
      </w:r>
      <w:r w:rsidRPr="00B92277">
        <w:rPr>
          <w:rFonts w:ascii="Times New Roman" w:hAnsi="Times New Roman" w:cs="Times New Roman"/>
          <w:color w:val="000000" w:themeColor="text1"/>
          <w:sz w:val="24"/>
          <w:szCs w:val="24"/>
        </w:rPr>
        <w:t xml:space="preserve"> </w:t>
      </w:r>
      <w:r w:rsidRPr="00B92277">
        <w:rPr>
          <w:rFonts w:ascii="Times New Roman" w:hAnsi="Times New Roman" w:cs="Times New Roman"/>
          <w:color w:val="000000" w:themeColor="text1"/>
          <w:sz w:val="24"/>
          <w:szCs w:val="24"/>
          <w:rtl/>
          <w:lang w:val="en-US"/>
        </w:rPr>
        <w:t>للمستخلص الايثانولي و</w:t>
      </w:r>
      <w:r w:rsidRPr="00B92277">
        <w:rPr>
          <w:rFonts w:ascii="Times New Roman" w:hAnsi="Times New Roman" w:cs="Times New Roman"/>
          <w:color w:val="000000" w:themeColor="text1"/>
          <w:sz w:val="24"/>
          <w:szCs w:val="24"/>
        </w:rPr>
        <w:t>86,48</w:t>
      </w:r>
      <w:r w:rsidRPr="00B92277">
        <w:rPr>
          <w:rFonts w:ascii="Times New Roman" w:hAnsi="Times New Roman" w:cs="Times New Roman"/>
          <w:color w:val="000000" w:themeColor="text1"/>
          <w:sz w:val="24"/>
          <w:szCs w:val="24"/>
          <w:rtl/>
          <w:lang w:val="en-US"/>
        </w:rPr>
        <w:t xml:space="preserve"> ميكروغرام </w:t>
      </w:r>
      <w:r w:rsidRPr="00B92277">
        <w:rPr>
          <w:rFonts w:ascii="Times New Roman" w:hAnsi="Times New Roman" w:cs="Times New Roman"/>
          <w:color w:val="000000" w:themeColor="text1"/>
          <w:sz w:val="24"/>
          <w:szCs w:val="24"/>
        </w:rPr>
        <w:t>/</w:t>
      </w:r>
      <w:r w:rsidRPr="00B92277">
        <w:rPr>
          <w:rFonts w:ascii="Times New Roman" w:hAnsi="Times New Roman" w:cs="Times New Roman"/>
          <w:color w:val="000000" w:themeColor="text1"/>
          <w:sz w:val="24"/>
          <w:szCs w:val="24"/>
          <w:rtl/>
          <w:lang w:val="en-US"/>
        </w:rPr>
        <w:t xml:space="preserve">مل للمستخلص </w:t>
      </w:r>
      <w:r w:rsidRPr="00B92277">
        <w:rPr>
          <w:rFonts w:ascii="Times New Roman" w:hAnsi="Times New Roman" w:cs="Times New Roman" w:hint="cs"/>
          <w:color w:val="000000" w:themeColor="text1"/>
          <w:sz w:val="24"/>
          <w:szCs w:val="24"/>
          <w:rtl/>
          <w:lang w:val="en-US"/>
        </w:rPr>
        <w:t>المائي وكلاهما</w:t>
      </w:r>
      <w:r w:rsidRPr="00B92277">
        <w:rPr>
          <w:rFonts w:ascii="Times New Roman" w:hAnsi="Times New Roman" w:cs="Times New Roman"/>
          <w:color w:val="000000" w:themeColor="text1"/>
          <w:sz w:val="24"/>
          <w:szCs w:val="24"/>
          <w:rtl/>
          <w:lang w:val="en-US"/>
        </w:rPr>
        <w:t xml:space="preserve"> اظهر فعالية اعلي من الاسبيرين</w:t>
      </w:r>
      <w:r w:rsidRPr="00B92277">
        <w:rPr>
          <w:rFonts w:ascii="Times New Roman" w:hAnsi="Times New Roman" w:cs="Times New Roman"/>
          <w:color w:val="000000" w:themeColor="text1"/>
          <w:sz w:val="24"/>
          <w:szCs w:val="24"/>
        </w:rPr>
        <w:t>129,35</w:t>
      </w:r>
      <w:r w:rsidRPr="00B92277">
        <w:rPr>
          <w:rFonts w:ascii="Times New Roman" w:hAnsi="Times New Roman" w:cs="Times New Roman"/>
          <w:color w:val="000000" w:themeColor="text1"/>
          <w:sz w:val="24"/>
          <w:szCs w:val="24"/>
          <w:rtl/>
          <w:lang w:val="en-US"/>
        </w:rPr>
        <w:t xml:space="preserve">ميكروغرام </w:t>
      </w:r>
      <w:r w:rsidRPr="00B92277">
        <w:rPr>
          <w:rFonts w:ascii="Times New Roman" w:hAnsi="Times New Roman" w:cs="Times New Roman"/>
          <w:color w:val="000000" w:themeColor="text1"/>
          <w:sz w:val="24"/>
          <w:szCs w:val="24"/>
        </w:rPr>
        <w:t>/</w:t>
      </w:r>
      <w:r w:rsidRPr="00B92277">
        <w:rPr>
          <w:rFonts w:ascii="Times New Roman" w:hAnsi="Times New Roman" w:cs="Times New Roman"/>
          <w:color w:val="000000" w:themeColor="text1"/>
          <w:sz w:val="24"/>
          <w:szCs w:val="24"/>
          <w:rtl/>
          <w:lang w:val="en-US"/>
        </w:rPr>
        <w:t>مل</w:t>
      </w:r>
      <w:r w:rsidRPr="00B92277">
        <w:rPr>
          <w:rFonts w:ascii="Times New Roman" w:hAnsi="Times New Roman" w:cs="Times New Roman"/>
          <w:color w:val="000000" w:themeColor="text1"/>
          <w:sz w:val="24"/>
          <w:szCs w:val="24"/>
        </w:rPr>
        <w:t xml:space="preserve"> IC 50=</w:t>
      </w:r>
    </w:p>
    <w:p w14:paraId="63B9EFD3" w14:textId="77777777" w:rsidR="003E3FB4" w:rsidRPr="00B92277" w:rsidRDefault="00385ED0" w:rsidP="00C2237A">
      <w:pPr>
        <w:tabs>
          <w:tab w:val="left" w:pos="6173"/>
        </w:tabs>
        <w:bidi/>
        <w:spacing w:after="120" w:line="276" w:lineRule="auto"/>
        <w:jc w:val="both"/>
        <w:rPr>
          <w:rFonts w:ascii="Times New Roman" w:hAnsi="Times New Roman" w:cs="Times New Roman"/>
          <w:color w:val="000000" w:themeColor="text1"/>
          <w:sz w:val="24"/>
          <w:szCs w:val="24"/>
        </w:rPr>
      </w:pPr>
      <w:r w:rsidRPr="00B92277">
        <w:rPr>
          <w:rFonts w:ascii="Times New Roman" w:hAnsi="Times New Roman" w:cs="Times New Roman"/>
          <w:color w:val="000000" w:themeColor="text1"/>
          <w:sz w:val="24"/>
          <w:szCs w:val="24"/>
          <w:rtl/>
        </w:rPr>
        <w:t xml:space="preserve">أظهر المستخلص الإيثانولي لبذور الحلبة فعالية محدودة، حيث لم يُظهر أي نشاط مضاد للبكتيريا ضد معظم السلالات التي تم اختبارها، باستثناء </w:t>
      </w:r>
      <w:r w:rsidRPr="00B92277">
        <w:rPr>
          <w:rFonts w:ascii="Times New Roman" w:hAnsi="Times New Roman" w:cs="Times New Roman"/>
          <w:i/>
          <w:iCs/>
          <w:color w:val="000000" w:themeColor="text1"/>
          <w:sz w:val="24"/>
          <w:szCs w:val="24"/>
        </w:rPr>
        <w:t>Staphylococcus epidermidis</w:t>
      </w:r>
      <w:r w:rsidRPr="00B92277">
        <w:rPr>
          <w:rFonts w:ascii="Times New Roman" w:hAnsi="Times New Roman" w:cs="Times New Roman"/>
          <w:color w:val="000000" w:themeColor="text1"/>
          <w:sz w:val="24"/>
          <w:szCs w:val="24"/>
          <w:rtl/>
        </w:rPr>
        <w:t xml:space="preserve"> التي سجلت منطقة تثبيط بلغ قطرها 11 مم.</w:t>
      </w:r>
    </w:p>
    <w:p w14:paraId="6F3254B4" w14:textId="77777777" w:rsidR="003E3FB4" w:rsidRPr="00B92277" w:rsidRDefault="00385ED0" w:rsidP="00C2237A">
      <w:pPr>
        <w:tabs>
          <w:tab w:val="left" w:pos="6173"/>
        </w:tabs>
        <w:bidi/>
        <w:spacing w:after="120" w:line="276" w:lineRule="auto"/>
        <w:jc w:val="both"/>
        <w:rPr>
          <w:rFonts w:ascii="Times New Roman" w:hAnsi="Times New Roman" w:cs="Times New Roman"/>
          <w:color w:val="000000" w:themeColor="text1"/>
          <w:sz w:val="24"/>
          <w:szCs w:val="24"/>
        </w:rPr>
      </w:pPr>
      <w:r w:rsidRPr="00B92277">
        <w:rPr>
          <w:rFonts w:ascii="Times New Roman" w:hAnsi="Times New Roman" w:cs="Times New Roman"/>
          <w:color w:val="000000" w:themeColor="text1"/>
          <w:sz w:val="24"/>
          <w:szCs w:val="24"/>
          <w:rtl/>
        </w:rPr>
        <w:t xml:space="preserve">وعلى النقيض من ذلك، أظهر المستخلص المائي نشاطًا معتدلًا ضد </w:t>
      </w:r>
      <w:r w:rsidRPr="00B92277">
        <w:rPr>
          <w:rFonts w:ascii="Times New Roman" w:hAnsi="Times New Roman" w:cs="Times New Roman"/>
          <w:i/>
          <w:iCs/>
          <w:color w:val="000000" w:themeColor="text1"/>
          <w:sz w:val="24"/>
          <w:szCs w:val="24"/>
        </w:rPr>
        <w:t>Bacillus subtilis</w:t>
      </w:r>
      <w:r w:rsidRPr="00B92277">
        <w:rPr>
          <w:rFonts w:ascii="Times New Roman" w:hAnsi="Times New Roman" w:cs="Times New Roman"/>
          <w:i/>
          <w:iCs/>
          <w:color w:val="000000" w:themeColor="text1"/>
          <w:sz w:val="24"/>
          <w:szCs w:val="24"/>
          <w:rtl/>
        </w:rPr>
        <w:t xml:space="preserve"> و</w:t>
      </w:r>
      <w:r w:rsidRPr="00B92277">
        <w:rPr>
          <w:rFonts w:ascii="Times New Roman" w:hAnsi="Times New Roman" w:cs="Times New Roman"/>
          <w:i/>
          <w:iCs/>
          <w:color w:val="000000" w:themeColor="text1"/>
          <w:sz w:val="24"/>
          <w:szCs w:val="24"/>
        </w:rPr>
        <w:t>Staphylococcus epidermidis</w:t>
      </w:r>
      <w:r w:rsidRPr="00B92277">
        <w:rPr>
          <w:rFonts w:ascii="Times New Roman" w:hAnsi="Times New Roman" w:cs="Times New Roman"/>
          <w:i/>
          <w:iCs/>
          <w:color w:val="000000" w:themeColor="text1"/>
          <w:sz w:val="24"/>
          <w:szCs w:val="24"/>
          <w:rtl/>
        </w:rPr>
        <w:t xml:space="preserve">، </w:t>
      </w:r>
      <w:r w:rsidRPr="00B92277">
        <w:rPr>
          <w:rFonts w:ascii="Times New Roman" w:hAnsi="Times New Roman" w:cs="Times New Roman"/>
          <w:color w:val="000000" w:themeColor="text1"/>
          <w:sz w:val="24"/>
          <w:szCs w:val="24"/>
          <w:rtl/>
        </w:rPr>
        <w:t xml:space="preserve">حيث بلغت أقطار مناطق التثبيط </w:t>
      </w:r>
      <w:r w:rsidRPr="00B92277">
        <w:rPr>
          <w:rFonts w:ascii="Times New Roman" w:hAnsi="Times New Roman" w:cs="Times New Roman"/>
          <w:color w:val="000000" w:themeColor="text1"/>
          <w:sz w:val="24"/>
          <w:szCs w:val="24"/>
        </w:rPr>
        <w:t>2</w:t>
      </w:r>
      <w:r w:rsidRPr="00B92277">
        <w:rPr>
          <w:rFonts w:ascii="Times New Roman" w:hAnsi="Times New Roman" w:cs="Times New Roman"/>
          <w:color w:val="000000" w:themeColor="text1"/>
          <w:sz w:val="24"/>
          <w:szCs w:val="24"/>
          <w:rtl/>
        </w:rPr>
        <w:t>1 مم و15 مم على التوالي.</w:t>
      </w:r>
    </w:p>
    <w:p w14:paraId="78E88289" w14:textId="77777777" w:rsidR="003E3FB4" w:rsidRPr="00B92277" w:rsidRDefault="00385ED0" w:rsidP="00C2237A">
      <w:pPr>
        <w:tabs>
          <w:tab w:val="left" w:pos="6173"/>
        </w:tabs>
        <w:bidi/>
        <w:spacing w:after="120" w:line="276" w:lineRule="auto"/>
        <w:jc w:val="both"/>
        <w:rPr>
          <w:rFonts w:ascii="Times New Roman" w:hAnsi="Times New Roman" w:cs="Times New Roman"/>
          <w:color w:val="000000" w:themeColor="text1"/>
          <w:sz w:val="24"/>
          <w:szCs w:val="24"/>
        </w:rPr>
      </w:pPr>
      <w:r w:rsidRPr="00B92277">
        <w:rPr>
          <w:rFonts w:ascii="Times New Roman" w:hAnsi="Times New Roman" w:cs="Times New Roman"/>
          <w:color w:val="000000" w:themeColor="text1"/>
          <w:sz w:val="24"/>
          <w:szCs w:val="24"/>
          <w:rtl/>
        </w:rPr>
        <w:t>ومع ذلك، تظل فعالية كلا المستخلصين أقل بكثير مقارنة بالمضادات الحيوية القياسية، التي تراوحت أقطار مناطق التثبيط الخاصة بها بين 23 مم و48 مم.</w:t>
      </w:r>
      <w:r w:rsidRPr="00B92277">
        <w:rPr>
          <w:rFonts w:ascii="Times New Roman" w:hAnsi="Times New Roman" w:cs="Times New Roman"/>
          <w:color w:val="000000" w:themeColor="text1"/>
          <w:sz w:val="24"/>
          <w:szCs w:val="24"/>
        </w:rPr>
        <w:t>.</w:t>
      </w:r>
    </w:p>
    <w:p w14:paraId="0AE4B96F" w14:textId="77777777" w:rsidR="003E3FB4" w:rsidRPr="00B92277" w:rsidRDefault="00385ED0" w:rsidP="00C2237A">
      <w:pPr>
        <w:tabs>
          <w:tab w:val="left" w:pos="6173"/>
        </w:tabs>
        <w:bidi/>
        <w:spacing w:after="120" w:line="276" w:lineRule="auto"/>
        <w:jc w:val="both"/>
        <w:rPr>
          <w:rFonts w:ascii="Times New Roman" w:hAnsi="Times New Roman" w:cs="Times New Roman"/>
          <w:color w:val="000000" w:themeColor="text1"/>
          <w:sz w:val="24"/>
          <w:szCs w:val="24"/>
        </w:rPr>
      </w:pPr>
      <w:r w:rsidRPr="00B92277">
        <w:rPr>
          <w:rFonts w:ascii="Times New Roman" w:hAnsi="Times New Roman" w:cs="Times New Roman"/>
          <w:color w:val="000000" w:themeColor="text1"/>
          <w:sz w:val="24"/>
          <w:szCs w:val="24"/>
          <w:rtl/>
          <w:lang w:val="en-US"/>
        </w:rPr>
        <w:t xml:space="preserve">كذلك اظهر التقييم المضاد للفطريات حساسية متوسطة لمستخلصات الحلبة ضد </w:t>
      </w:r>
      <w:r w:rsidRPr="00B92277">
        <w:rPr>
          <w:rFonts w:ascii="Times New Roman" w:hAnsi="Times New Roman" w:cs="Times New Roman"/>
          <w:i/>
          <w:iCs/>
          <w:color w:val="000000" w:themeColor="text1"/>
          <w:sz w:val="24"/>
          <w:szCs w:val="24"/>
        </w:rPr>
        <w:t>condidat albicans</w:t>
      </w:r>
      <w:r w:rsidRPr="00B92277">
        <w:rPr>
          <w:rFonts w:ascii="Times New Roman" w:hAnsi="Times New Roman" w:cs="Times New Roman"/>
          <w:color w:val="000000" w:themeColor="text1"/>
          <w:sz w:val="24"/>
          <w:szCs w:val="24"/>
          <w:rtl/>
        </w:rPr>
        <w:t>،</w:t>
      </w:r>
      <w:r w:rsidRPr="00B92277">
        <w:rPr>
          <w:rFonts w:ascii="Times New Roman" w:hAnsi="Times New Roman" w:cs="Times New Roman"/>
          <w:color w:val="000000" w:themeColor="text1"/>
          <w:sz w:val="24"/>
          <w:szCs w:val="24"/>
        </w:rPr>
        <w:t xml:space="preserve"> </w:t>
      </w:r>
      <w:r w:rsidRPr="00B92277">
        <w:rPr>
          <w:rFonts w:ascii="Times New Roman" w:hAnsi="Times New Roman" w:cs="Times New Roman"/>
          <w:color w:val="000000" w:themeColor="text1"/>
          <w:sz w:val="24"/>
          <w:szCs w:val="24"/>
          <w:rtl/>
        </w:rPr>
        <w:t>وقد</w:t>
      </w:r>
      <w:r w:rsidRPr="00B92277">
        <w:rPr>
          <w:rFonts w:ascii="Times New Roman" w:hAnsi="Times New Roman" w:cs="Times New Roman"/>
          <w:color w:val="000000" w:themeColor="text1"/>
          <w:sz w:val="24"/>
          <w:szCs w:val="24"/>
          <w:rtl/>
          <w:lang w:val="en-US"/>
        </w:rPr>
        <w:t xml:space="preserve"> ثبط المستخلص المائي نمو</w:t>
      </w:r>
      <w:r w:rsidRPr="00B92277">
        <w:rPr>
          <w:rFonts w:ascii="Times New Roman" w:hAnsi="Times New Roman" w:cs="Times New Roman"/>
          <w:i/>
          <w:iCs/>
          <w:color w:val="000000" w:themeColor="text1"/>
          <w:sz w:val="24"/>
          <w:szCs w:val="24"/>
        </w:rPr>
        <w:t xml:space="preserve"> Aspergillus brasiliensis</w:t>
      </w:r>
      <w:r w:rsidRPr="00B92277">
        <w:rPr>
          <w:rFonts w:ascii="Times New Roman" w:hAnsi="Times New Roman" w:cs="Times New Roman"/>
          <w:color w:val="000000" w:themeColor="text1"/>
          <w:sz w:val="24"/>
          <w:szCs w:val="24"/>
          <w:rtl/>
          <w:lang w:val="en-US"/>
        </w:rPr>
        <w:t xml:space="preserve"> بشكل </w:t>
      </w:r>
      <w:r w:rsidRPr="00B92277">
        <w:rPr>
          <w:rFonts w:ascii="Times New Roman" w:hAnsi="Times New Roman" w:cs="Times New Roman" w:hint="cs"/>
          <w:color w:val="000000" w:themeColor="text1"/>
          <w:sz w:val="24"/>
          <w:szCs w:val="24"/>
          <w:rtl/>
          <w:lang w:val="en-US"/>
        </w:rPr>
        <w:t>كبير</w:t>
      </w:r>
      <w:r w:rsidRPr="00B92277">
        <w:rPr>
          <w:rFonts w:ascii="Times New Roman" w:hAnsi="Times New Roman" w:cs="Times New Roman"/>
          <w:color w:val="000000" w:themeColor="text1"/>
          <w:sz w:val="24"/>
          <w:szCs w:val="24"/>
        </w:rPr>
        <w:t xml:space="preserve"> (81,9%)</w:t>
      </w:r>
      <w:r w:rsidRPr="00B92277">
        <w:rPr>
          <w:rFonts w:ascii="Times New Roman" w:hAnsi="Times New Roman" w:cs="Times New Roman" w:hint="cs"/>
          <w:color w:val="000000" w:themeColor="text1"/>
          <w:sz w:val="24"/>
          <w:szCs w:val="24"/>
          <w:rtl/>
          <w:lang w:val="en-US"/>
        </w:rPr>
        <w:t xml:space="preserve"> كم</w:t>
      </w:r>
      <w:r w:rsidRPr="00B92277">
        <w:rPr>
          <w:rFonts w:ascii="Times New Roman" w:hAnsi="Times New Roman" w:cs="Times New Roman" w:hint="eastAsia"/>
          <w:color w:val="000000" w:themeColor="text1"/>
          <w:sz w:val="24"/>
          <w:szCs w:val="24"/>
          <w:rtl/>
          <w:lang w:val="en-US"/>
        </w:rPr>
        <w:t>ا</w:t>
      </w:r>
      <w:r w:rsidRPr="00B92277">
        <w:rPr>
          <w:rFonts w:ascii="Times New Roman" w:hAnsi="Times New Roman" w:cs="Times New Roman"/>
          <w:color w:val="000000" w:themeColor="text1"/>
          <w:sz w:val="24"/>
          <w:szCs w:val="24"/>
          <w:rtl/>
          <w:lang w:val="en-US"/>
        </w:rPr>
        <w:t xml:space="preserve"> تم تثبيط </w:t>
      </w:r>
      <w:r w:rsidRPr="00B92277">
        <w:rPr>
          <w:rFonts w:ascii="Times New Roman" w:hAnsi="Times New Roman" w:cs="Times New Roman"/>
          <w:i/>
          <w:iCs/>
          <w:color w:val="000000" w:themeColor="text1"/>
          <w:sz w:val="24"/>
          <w:szCs w:val="24"/>
        </w:rPr>
        <w:t>Botrytis cinerea</w:t>
      </w:r>
      <w:r w:rsidRPr="00B92277">
        <w:rPr>
          <w:rFonts w:ascii="Times New Roman" w:hAnsi="Times New Roman" w:cs="Times New Roman" w:hint="cs"/>
          <w:i/>
          <w:iCs/>
          <w:color w:val="000000" w:themeColor="text1"/>
          <w:sz w:val="24"/>
          <w:szCs w:val="24"/>
          <w:rtl/>
          <w:lang w:val="en-US"/>
        </w:rPr>
        <w:t xml:space="preserve"> </w:t>
      </w:r>
      <w:r w:rsidRPr="00B92277">
        <w:rPr>
          <w:rFonts w:ascii="Times New Roman" w:hAnsi="Times New Roman" w:cs="Times New Roman" w:hint="cs"/>
          <w:color w:val="000000" w:themeColor="text1"/>
          <w:sz w:val="24"/>
          <w:szCs w:val="24"/>
          <w:rtl/>
          <w:lang w:val="en-US"/>
        </w:rPr>
        <w:t>بواسطة</w:t>
      </w:r>
      <w:r w:rsidRPr="00B92277">
        <w:rPr>
          <w:rFonts w:ascii="Times New Roman" w:hAnsi="Times New Roman" w:cs="Times New Roman"/>
          <w:color w:val="000000" w:themeColor="text1"/>
          <w:sz w:val="24"/>
          <w:szCs w:val="24"/>
          <w:rtl/>
          <w:lang w:val="en-US"/>
        </w:rPr>
        <w:t xml:space="preserve"> كلا المستخلصين</w:t>
      </w:r>
      <w:r w:rsidRPr="00B92277">
        <w:rPr>
          <w:rFonts w:ascii="Times New Roman" w:hAnsi="Times New Roman" w:cs="Times New Roman"/>
          <w:color w:val="000000" w:themeColor="text1"/>
          <w:sz w:val="24"/>
          <w:szCs w:val="24"/>
        </w:rPr>
        <w:t>63,6%)</w:t>
      </w:r>
      <w:r w:rsidRPr="00B92277">
        <w:rPr>
          <w:rFonts w:ascii="Times New Roman" w:hAnsi="Times New Roman" w:cs="Times New Roman" w:hint="cs"/>
          <w:color w:val="000000" w:themeColor="text1"/>
          <w:sz w:val="24"/>
          <w:szCs w:val="24"/>
          <w:rtl/>
        </w:rPr>
        <w:t>،</w:t>
      </w:r>
      <w:r w:rsidRPr="00B92277">
        <w:rPr>
          <w:rFonts w:ascii="Times New Roman" w:hAnsi="Times New Roman" w:cs="Times New Roman"/>
          <w:color w:val="000000" w:themeColor="text1"/>
          <w:sz w:val="24"/>
          <w:szCs w:val="24"/>
        </w:rPr>
        <w:t xml:space="preserve"> </w:t>
      </w:r>
      <w:r w:rsidRPr="00B92277">
        <w:rPr>
          <w:rFonts w:ascii="Times New Roman" w:hAnsi="Times New Roman" w:cs="Times New Roman" w:hint="cs"/>
          <w:color w:val="000000" w:themeColor="text1"/>
          <w:sz w:val="24"/>
          <w:szCs w:val="24"/>
          <w:rtl/>
          <w:lang w:val="en-US"/>
        </w:rPr>
        <w:t>للمائي</w:t>
      </w:r>
      <w:r w:rsidRPr="00B92277">
        <w:rPr>
          <w:rFonts w:ascii="Times New Roman" w:hAnsi="Times New Roman" w:cs="Times New Roman"/>
          <w:color w:val="000000" w:themeColor="text1"/>
          <w:sz w:val="24"/>
          <w:szCs w:val="24"/>
          <w:rtl/>
          <w:lang w:val="en-US"/>
        </w:rPr>
        <w:t xml:space="preserve"> و</w:t>
      </w:r>
      <w:r w:rsidRPr="00B92277">
        <w:rPr>
          <w:rFonts w:ascii="Times New Roman" w:hAnsi="Times New Roman" w:cs="Times New Roman"/>
          <w:color w:val="000000" w:themeColor="text1"/>
          <w:sz w:val="24"/>
          <w:szCs w:val="24"/>
        </w:rPr>
        <w:t>66,66%</w:t>
      </w:r>
      <w:r w:rsidRPr="00B92277">
        <w:rPr>
          <w:rFonts w:ascii="Times New Roman" w:hAnsi="Times New Roman" w:cs="Times New Roman"/>
          <w:color w:val="000000" w:themeColor="text1"/>
          <w:sz w:val="24"/>
          <w:szCs w:val="24"/>
          <w:rtl/>
          <w:lang w:val="en-US"/>
        </w:rPr>
        <w:t xml:space="preserve"> للايثانولي </w:t>
      </w:r>
      <w:r w:rsidRPr="00B92277">
        <w:rPr>
          <w:rFonts w:ascii="Times New Roman" w:hAnsi="Times New Roman" w:cs="Times New Roman"/>
          <w:color w:val="000000" w:themeColor="text1"/>
          <w:sz w:val="24"/>
          <w:szCs w:val="24"/>
        </w:rPr>
        <w:t>(</w:t>
      </w:r>
      <w:r w:rsidRPr="00B92277">
        <w:rPr>
          <w:rFonts w:ascii="Times New Roman" w:hAnsi="Times New Roman" w:cs="Times New Roman"/>
          <w:color w:val="000000" w:themeColor="text1"/>
          <w:sz w:val="24"/>
          <w:szCs w:val="24"/>
          <w:rtl/>
          <w:lang w:val="en-US"/>
        </w:rPr>
        <w:t xml:space="preserve">كما لوحظ نشاطا ملحوظا </w:t>
      </w:r>
      <w:r w:rsidRPr="00B92277">
        <w:rPr>
          <w:rFonts w:ascii="Times New Roman" w:hAnsi="Times New Roman" w:cs="Times New Roman" w:hint="cs"/>
          <w:color w:val="000000" w:themeColor="text1"/>
          <w:sz w:val="24"/>
          <w:szCs w:val="24"/>
          <w:rtl/>
          <w:lang w:val="en-US"/>
        </w:rPr>
        <w:t>ضد</w:t>
      </w:r>
      <w:r w:rsidRPr="00B92277">
        <w:rPr>
          <w:rFonts w:ascii="Times New Roman" w:hAnsi="Times New Roman" w:cs="Times New Roman"/>
          <w:color w:val="000000" w:themeColor="text1"/>
          <w:sz w:val="24"/>
          <w:szCs w:val="24"/>
          <w:lang w:val="en-US"/>
        </w:rPr>
        <w:t xml:space="preserve"> </w:t>
      </w:r>
      <w:r w:rsidRPr="00B92277">
        <w:rPr>
          <w:rFonts w:ascii="Times New Roman" w:hAnsi="Times New Roman" w:cs="Times New Roman"/>
          <w:i/>
          <w:iCs/>
          <w:color w:val="000000" w:themeColor="text1"/>
          <w:sz w:val="24"/>
          <w:szCs w:val="24"/>
        </w:rPr>
        <w:t>monilia</w:t>
      </w:r>
      <w:r w:rsidRPr="00B92277">
        <w:rPr>
          <w:rFonts w:ascii="Times New Roman" w:hAnsi="Times New Roman" w:cs="Times New Roman"/>
          <w:i/>
          <w:iCs/>
          <w:color w:val="000000" w:themeColor="text1"/>
          <w:sz w:val="24"/>
          <w:szCs w:val="24"/>
          <w:lang w:val="en-US"/>
        </w:rPr>
        <w:t>a sp</w:t>
      </w:r>
      <w:r w:rsidRPr="00B92277">
        <w:rPr>
          <w:rFonts w:ascii="Times New Roman" w:hAnsi="Times New Roman" w:cs="Times New Roman"/>
          <w:i/>
          <w:iCs/>
          <w:color w:val="000000" w:themeColor="text1"/>
          <w:sz w:val="24"/>
          <w:szCs w:val="24"/>
          <w:rtl/>
          <w:lang w:val="en-US"/>
        </w:rPr>
        <w:t>و</w:t>
      </w:r>
      <w:r w:rsidRPr="00B92277">
        <w:rPr>
          <w:rFonts w:ascii="Times New Roman" w:hAnsi="Times New Roman" w:cs="Times New Roman"/>
          <w:color w:val="000000" w:themeColor="text1"/>
          <w:sz w:val="24"/>
          <w:szCs w:val="24"/>
          <w:rtl/>
          <w:lang w:val="en-US"/>
        </w:rPr>
        <w:t xml:space="preserve"> </w:t>
      </w:r>
      <w:r w:rsidRPr="00B92277">
        <w:rPr>
          <w:rFonts w:ascii="Times New Roman" w:hAnsi="Times New Roman" w:cs="Times New Roman"/>
          <w:color w:val="000000" w:themeColor="text1"/>
          <w:sz w:val="24"/>
          <w:szCs w:val="24"/>
        </w:rPr>
        <w:t>Colletotricum sp.</w:t>
      </w:r>
    </w:p>
    <w:p w14:paraId="03AA8DF3" w14:textId="77777777" w:rsidR="003E3FB4" w:rsidRPr="00B92277" w:rsidRDefault="00385ED0" w:rsidP="00C2237A">
      <w:pPr>
        <w:tabs>
          <w:tab w:val="left" w:pos="6173"/>
        </w:tabs>
        <w:bidi/>
        <w:spacing w:after="120" w:line="276" w:lineRule="auto"/>
        <w:jc w:val="both"/>
        <w:rPr>
          <w:rFonts w:ascii="Times New Roman" w:hAnsi="Times New Roman" w:cs="Times New Roman"/>
          <w:color w:val="000000" w:themeColor="text1"/>
          <w:sz w:val="24"/>
          <w:szCs w:val="24"/>
          <w:rtl/>
          <w:lang w:val="en-US"/>
        </w:rPr>
      </w:pPr>
      <w:r w:rsidRPr="00B92277">
        <w:rPr>
          <w:rFonts w:ascii="Times New Roman" w:hAnsi="Times New Roman" w:cs="Times New Roman" w:hint="cs"/>
          <w:color w:val="000000" w:themeColor="text1"/>
          <w:sz w:val="24"/>
          <w:szCs w:val="24"/>
          <w:rtl/>
          <w:lang w:val="en-US"/>
        </w:rPr>
        <w:t>خلاصة:</w:t>
      </w:r>
      <w:r w:rsidRPr="00B92277">
        <w:rPr>
          <w:rFonts w:ascii="Times New Roman" w:hAnsi="Times New Roman" w:cs="Times New Roman"/>
          <w:color w:val="000000" w:themeColor="text1"/>
          <w:sz w:val="24"/>
          <w:szCs w:val="24"/>
          <w:rtl/>
          <w:lang w:val="en-US"/>
        </w:rPr>
        <w:t xml:space="preserve"> تظهر بذور الحلبة إمكانات علاجية كبيرة بفضل خصائصها المضادة </w:t>
      </w:r>
      <w:r w:rsidRPr="00B92277">
        <w:rPr>
          <w:rFonts w:ascii="Times New Roman" w:hAnsi="Times New Roman" w:cs="Times New Roman" w:hint="cs"/>
          <w:color w:val="000000" w:themeColor="text1"/>
          <w:sz w:val="24"/>
          <w:szCs w:val="24"/>
          <w:rtl/>
          <w:lang w:val="en-US"/>
        </w:rPr>
        <w:t>للأكسدة</w:t>
      </w:r>
      <w:r w:rsidRPr="00B92277">
        <w:rPr>
          <w:rFonts w:ascii="Times New Roman" w:hAnsi="Times New Roman" w:cs="Times New Roman"/>
          <w:color w:val="000000" w:themeColor="text1"/>
          <w:sz w:val="24"/>
          <w:szCs w:val="24"/>
          <w:rtl/>
          <w:lang w:val="en-US"/>
        </w:rPr>
        <w:t xml:space="preserve"> </w:t>
      </w:r>
      <w:r w:rsidRPr="00B92277">
        <w:rPr>
          <w:rFonts w:ascii="Times New Roman" w:hAnsi="Times New Roman" w:cs="Times New Roman" w:hint="cs"/>
          <w:color w:val="000000" w:themeColor="text1"/>
          <w:sz w:val="24"/>
          <w:szCs w:val="24"/>
          <w:rtl/>
          <w:lang w:val="en-US"/>
        </w:rPr>
        <w:t>والمضادة</w:t>
      </w:r>
      <w:r w:rsidRPr="00B92277">
        <w:rPr>
          <w:rFonts w:ascii="Times New Roman" w:hAnsi="Times New Roman" w:cs="Times New Roman"/>
          <w:color w:val="000000" w:themeColor="text1"/>
          <w:sz w:val="24"/>
          <w:szCs w:val="24"/>
          <w:rtl/>
          <w:lang w:val="en-US"/>
        </w:rPr>
        <w:t xml:space="preserve"> للميكروبات </w:t>
      </w:r>
      <w:r w:rsidRPr="00B92277">
        <w:rPr>
          <w:rFonts w:ascii="Times New Roman" w:hAnsi="Times New Roman" w:cs="Times New Roman" w:hint="cs"/>
          <w:color w:val="000000" w:themeColor="text1"/>
          <w:sz w:val="24"/>
          <w:szCs w:val="24"/>
          <w:rtl/>
          <w:lang w:val="en-US"/>
        </w:rPr>
        <w:t>والمضادة</w:t>
      </w:r>
      <w:r w:rsidRPr="00B92277">
        <w:rPr>
          <w:rFonts w:ascii="Times New Roman" w:hAnsi="Times New Roman" w:cs="Times New Roman"/>
          <w:color w:val="000000" w:themeColor="text1"/>
          <w:sz w:val="24"/>
          <w:szCs w:val="24"/>
          <w:rtl/>
          <w:lang w:val="en-US"/>
        </w:rPr>
        <w:t xml:space="preserve"> للالتهابات مما يدعم استخدامها في المجالات الصيدلانية </w:t>
      </w:r>
      <w:r w:rsidRPr="00B92277">
        <w:rPr>
          <w:rFonts w:ascii="Times New Roman" w:hAnsi="Times New Roman" w:cs="Times New Roman" w:hint="cs"/>
          <w:color w:val="000000" w:themeColor="text1"/>
          <w:sz w:val="24"/>
          <w:szCs w:val="24"/>
          <w:rtl/>
          <w:lang w:val="en-US"/>
        </w:rPr>
        <w:t>والوقائية</w:t>
      </w:r>
      <w:r w:rsidRPr="00B92277">
        <w:rPr>
          <w:rFonts w:ascii="Times New Roman" w:hAnsi="Times New Roman" w:cs="Times New Roman"/>
          <w:color w:val="000000" w:themeColor="text1"/>
          <w:sz w:val="24"/>
          <w:szCs w:val="24"/>
          <w:lang w:val="en-US"/>
        </w:rPr>
        <w:t>.</w:t>
      </w:r>
      <w:r w:rsidRPr="00B92277">
        <w:rPr>
          <w:rFonts w:ascii="Times New Roman" w:hAnsi="Times New Roman" w:cs="Times New Roman"/>
          <w:color w:val="000000" w:themeColor="text1"/>
          <w:sz w:val="24"/>
          <w:szCs w:val="24"/>
          <w:rtl/>
          <w:lang w:val="en-US"/>
        </w:rPr>
        <w:t xml:space="preserve"> </w:t>
      </w:r>
    </w:p>
    <w:p w14:paraId="411466B7" w14:textId="053AEAA3" w:rsidR="003E3FB4" w:rsidRPr="00B92277" w:rsidRDefault="00385ED0" w:rsidP="00C2237A">
      <w:pPr>
        <w:tabs>
          <w:tab w:val="left" w:pos="6173"/>
        </w:tabs>
        <w:bidi/>
        <w:spacing w:after="120" w:line="276" w:lineRule="auto"/>
        <w:jc w:val="both"/>
        <w:rPr>
          <w:rFonts w:ascii="Times New Roman" w:hAnsi="Times New Roman" w:cs="Times New Roman"/>
          <w:color w:val="000000" w:themeColor="text1"/>
          <w:sz w:val="24"/>
          <w:szCs w:val="24"/>
          <w:lang w:val="en-US"/>
        </w:rPr>
      </w:pPr>
      <w:r w:rsidRPr="00C2237A">
        <w:rPr>
          <w:rFonts w:ascii="Times New Roman" w:hAnsi="Times New Roman" w:cs="Times New Roman"/>
          <w:b/>
          <w:bCs/>
          <w:color w:val="000000" w:themeColor="text1"/>
          <w:sz w:val="24"/>
          <w:szCs w:val="24"/>
          <w:rtl/>
          <w:lang w:val="en-US"/>
        </w:rPr>
        <w:t xml:space="preserve">الكلمات </w:t>
      </w:r>
      <w:r w:rsidRPr="00C2237A">
        <w:rPr>
          <w:rFonts w:ascii="Times New Roman" w:hAnsi="Times New Roman" w:cs="Times New Roman" w:hint="cs"/>
          <w:b/>
          <w:bCs/>
          <w:color w:val="000000" w:themeColor="text1"/>
          <w:sz w:val="24"/>
          <w:szCs w:val="24"/>
          <w:rtl/>
          <w:lang w:val="en-US"/>
        </w:rPr>
        <w:t>المفتاحية:</w:t>
      </w:r>
      <w:r w:rsidRPr="00B92277">
        <w:rPr>
          <w:rFonts w:ascii="Times New Roman" w:hAnsi="Times New Roman" w:cs="Times New Roman" w:hint="cs"/>
          <w:color w:val="000000" w:themeColor="text1"/>
          <w:sz w:val="24"/>
          <w:szCs w:val="24"/>
          <w:rtl/>
          <w:lang w:val="en-US"/>
        </w:rPr>
        <w:t xml:space="preserve"> </w:t>
      </w:r>
      <w:r w:rsidR="005A27F3" w:rsidRPr="00B92277">
        <w:rPr>
          <w:rFonts w:ascii="Times New Roman" w:hAnsi="Times New Roman" w:cs="Times New Roman" w:hint="cs"/>
          <w:color w:val="000000" w:themeColor="text1"/>
          <w:sz w:val="24"/>
          <w:szCs w:val="24"/>
          <w:rtl/>
          <w:lang w:val="en-US"/>
        </w:rPr>
        <w:t>الحلبة،</w:t>
      </w:r>
      <w:r w:rsidRPr="00B92277">
        <w:rPr>
          <w:rFonts w:ascii="Times New Roman" w:hAnsi="Times New Roman" w:cs="Times New Roman" w:hint="cs"/>
          <w:color w:val="000000" w:themeColor="text1"/>
          <w:sz w:val="24"/>
          <w:szCs w:val="24"/>
          <w:rtl/>
          <w:lang w:val="en-US"/>
        </w:rPr>
        <w:t xml:space="preserve"> الفينولات، الفلافونويدات، المستخلصا</w:t>
      </w:r>
      <w:r w:rsidRPr="00B92277">
        <w:rPr>
          <w:rFonts w:ascii="Times New Roman" w:hAnsi="Times New Roman" w:cs="Times New Roman" w:hint="eastAsia"/>
          <w:color w:val="000000" w:themeColor="text1"/>
          <w:sz w:val="24"/>
          <w:szCs w:val="24"/>
          <w:rtl/>
          <w:lang w:val="en-US"/>
        </w:rPr>
        <w:t>ت</w:t>
      </w:r>
      <w:r w:rsidRPr="00B92277">
        <w:rPr>
          <w:rFonts w:ascii="Times New Roman" w:hAnsi="Times New Roman" w:cs="Times New Roman"/>
          <w:color w:val="000000" w:themeColor="text1"/>
          <w:sz w:val="24"/>
          <w:szCs w:val="24"/>
          <w:rtl/>
          <w:lang w:val="en-US"/>
        </w:rPr>
        <w:t xml:space="preserve"> </w:t>
      </w:r>
      <w:r w:rsidRPr="00B92277">
        <w:rPr>
          <w:rFonts w:ascii="Times New Roman" w:hAnsi="Times New Roman" w:cs="Times New Roman" w:hint="cs"/>
          <w:color w:val="000000" w:themeColor="text1"/>
          <w:sz w:val="24"/>
          <w:szCs w:val="24"/>
          <w:rtl/>
          <w:lang w:val="en-US"/>
        </w:rPr>
        <w:t>المائية المستخلص</w:t>
      </w:r>
      <w:r w:rsidRPr="00B92277">
        <w:rPr>
          <w:rFonts w:ascii="Times New Roman" w:hAnsi="Times New Roman" w:cs="Times New Roman"/>
          <w:color w:val="000000" w:themeColor="text1"/>
          <w:sz w:val="24"/>
          <w:szCs w:val="24"/>
          <w:rtl/>
          <w:lang w:val="en-US"/>
        </w:rPr>
        <w:t xml:space="preserve"> </w:t>
      </w:r>
      <w:r w:rsidRPr="00B92277">
        <w:rPr>
          <w:rFonts w:ascii="Times New Roman" w:hAnsi="Times New Roman" w:cs="Times New Roman" w:hint="cs"/>
          <w:color w:val="000000" w:themeColor="text1"/>
          <w:sz w:val="24"/>
          <w:szCs w:val="24"/>
          <w:rtl/>
          <w:lang w:val="en-US"/>
        </w:rPr>
        <w:t>الايثانولي، النشا</w:t>
      </w:r>
      <w:r w:rsidRPr="00B92277">
        <w:rPr>
          <w:rFonts w:ascii="Times New Roman" w:hAnsi="Times New Roman" w:cs="Times New Roman" w:hint="eastAsia"/>
          <w:color w:val="000000" w:themeColor="text1"/>
          <w:sz w:val="24"/>
          <w:szCs w:val="24"/>
          <w:rtl/>
          <w:lang w:val="en-US"/>
        </w:rPr>
        <w:t>ط</w:t>
      </w:r>
      <w:r w:rsidRPr="00B92277">
        <w:rPr>
          <w:rFonts w:ascii="Times New Roman" w:hAnsi="Times New Roman" w:cs="Times New Roman"/>
          <w:color w:val="000000" w:themeColor="text1"/>
          <w:sz w:val="24"/>
          <w:szCs w:val="24"/>
          <w:rtl/>
          <w:lang w:val="en-US"/>
        </w:rPr>
        <w:t xml:space="preserve"> المضاد للفطريات </w:t>
      </w:r>
      <w:r w:rsidRPr="00B92277">
        <w:rPr>
          <w:rFonts w:ascii="Times New Roman" w:hAnsi="Times New Roman" w:cs="Times New Roman"/>
          <w:color w:val="000000" w:themeColor="text1"/>
          <w:sz w:val="24"/>
          <w:szCs w:val="24"/>
        </w:rPr>
        <w:t>DPPH,</w:t>
      </w:r>
      <w:r w:rsidRPr="00B92277">
        <w:rPr>
          <w:rFonts w:ascii="Times New Roman" w:hAnsi="Times New Roman" w:cs="Times New Roman"/>
          <w:color w:val="000000" w:themeColor="text1"/>
          <w:sz w:val="24"/>
          <w:szCs w:val="24"/>
          <w:rtl/>
          <w:lang w:val="en-US"/>
        </w:rPr>
        <w:t>و</w:t>
      </w:r>
      <w:r w:rsidRPr="00B92277">
        <w:rPr>
          <w:rFonts w:ascii="Times New Roman" w:hAnsi="Times New Roman" w:cs="Times New Roman"/>
          <w:color w:val="000000" w:themeColor="text1"/>
          <w:sz w:val="24"/>
          <w:szCs w:val="24"/>
        </w:rPr>
        <w:t>. FRAP</w:t>
      </w:r>
    </w:p>
    <w:p w14:paraId="526C5EBD" w14:textId="1274AE1E" w:rsidR="003E3FB4" w:rsidRDefault="00385ED0" w:rsidP="00B92277">
      <w:pPr>
        <w:tabs>
          <w:tab w:val="left" w:pos="6173"/>
        </w:tabs>
        <w:spacing w:after="0" w:line="276" w:lineRule="auto"/>
        <w:jc w:val="right"/>
        <w:rPr>
          <w:rFonts w:asciiTheme="majorBidi" w:hAnsiTheme="majorBidi" w:cstheme="majorBidi"/>
          <w:b/>
          <w:bCs/>
          <w:sz w:val="28"/>
          <w:szCs w:val="28"/>
          <w:rtl/>
          <w:lang w:bidi="ar-DZ"/>
        </w:rPr>
      </w:pPr>
      <w:r>
        <w:rPr>
          <w:rFonts w:asciiTheme="majorBidi" w:hAnsiTheme="majorBidi" w:cstheme="majorBidi"/>
          <w:b/>
          <w:bCs/>
          <w:sz w:val="28"/>
          <w:szCs w:val="28"/>
          <w:lang w:bidi="ar-DZ"/>
        </w:rPr>
        <w:t xml:space="preserve">                                                 </w:t>
      </w:r>
    </w:p>
    <w:p w14:paraId="7126C490" w14:textId="2E1F192B" w:rsidR="00B92277" w:rsidRDefault="00B92277" w:rsidP="00B92277">
      <w:pPr>
        <w:tabs>
          <w:tab w:val="left" w:pos="6173"/>
        </w:tabs>
        <w:spacing w:after="0" w:line="276" w:lineRule="auto"/>
        <w:jc w:val="right"/>
        <w:rPr>
          <w:rFonts w:asciiTheme="majorBidi" w:hAnsiTheme="majorBidi" w:cstheme="majorBidi"/>
          <w:b/>
          <w:bCs/>
          <w:sz w:val="28"/>
          <w:szCs w:val="28"/>
          <w:rtl/>
          <w:lang w:bidi="ar-DZ"/>
        </w:rPr>
      </w:pPr>
    </w:p>
    <w:p w14:paraId="7A155CDC" w14:textId="77777777" w:rsidR="00CB46F3" w:rsidRDefault="00CB46F3" w:rsidP="00B92277">
      <w:pPr>
        <w:tabs>
          <w:tab w:val="left" w:pos="6173"/>
        </w:tabs>
        <w:spacing w:after="0" w:line="276" w:lineRule="auto"/>
        <w:jc w:val="right"/>
        <w:rPr>
          <w:rFonts w:asciiTheme="majorBidi" w:hAnsiTheme="majorBidi" w:cstheme="majorBidi"/>
          <w:b/>
          <w:bCs/>
          <w:sz w:val="28"/>
          <w:szCs w:val="28"/>
          <w:lang w:bidi="ar-DZ"/>
        </w:rPr>
      </w:pPr>
    </w:p>
    <w:p w14:paraId="227B6A2E" w14:textId="77777777" w:rsidR="003E3FB4" w:rsidRDefault="003E3FB4">
      <w:pPr>
        <w:tabs>
          <w:tab w:val="left" w:pos="6173"/>
        </w:tabs>
        <w:spacing w:after="0" w:line="276" w:lineRule="auto"/>
        <w:jc w:val="both"/>
        <w:rPr>
          <w:rFonts w:asciiTheme="majorBidi" w:hAnsiTheme="majorBidi" w:cstheme="majorBidi"/>
          <w:b/>
          <w:bCs/>
          <w:sz w:val="28"/>
          <w:szCs w:val="28"/>
          <w:lang w:bidi="ar-DZ"/>
        </w:rPr>
      </w:pPr>
    </w:p>
    <w:p w14:paraId="20FB88D3" w14:textId="77777777" w:rsidR="003E3FB4" w:rsidRDefault="00385ED0">
      <w:pPr>
        <w:tabs>
          <w:tab w:val="left" w:pos="6173"/>
        </w:tabs>
        <w:spacing w:after="0" w:line="276" w:lineRule="auto"/>
        <w:jc w:val="center"/>
        <w:rPr>
          <w:rFonts w:asciiTheme="majorBidi" w:hAnsiTheme="majorBidi" w:cstheme="majorBidi"/>
          <w:b/>
          <w:bCs/>
          <w:sz w:val="28"/>
          <w:szCs w:val="28"/>
          <w:lang w:bidi="ar-DZ"/>
        </w:rPr>
      </w:pPr>
      <w:r>
        <w:rPr>
          <w:rFonts w:asciiTheme="majorBidi" w:hAnsiTheme="majorBidi" w:cstheme="majorBidi"/>
          <w:b/>
          <w:bCs/>
          <w:sz w:val="28"/>
          <w:szCs w:val="28"/>
          <w:lang w:bidi="ar-DZ"/>
        </w:rPr>
        <w:t>Listes des figures</w:t>
      </w:r>
    </w:p>
    <w:p w14:paraId="6CBCD83F" w14:textId="77777777" w:rsidR="003E3FB4" w:rsidRDefault="003E3FB4">
      <w:pPr>
        <w:tabs>
          <w:tab w:val="left" w:pos="6173"/>
        </w:tabs>
        <w:spacing w:after="0" w:line="276" w:lineRule="auto"/>
        <w:jc w:val="both"/>
        <w:rPr>
          <w:rFonts w:asciiTheme="majorBidi" w:hAnsiTheme="majorBidi" w:cstheme="majorBidi"/>
          <w:b/>
          <w:bCs/>
          <w:sz w:val="28"/>
          <w:szCs w:val="28"/>
          <w:lang w:bidi="ar-DZ"/>
        </w:rPr>
      </w:pPr>
    </w:p>
    <w:p w14:paraId="23C0E1AC" w14:textId="77777777" w:rsidR="003E3FB4" w:rsidRDefault="00385ED0">
      <w:pPr>
        <w:tabs>
          <w:tab w:val="left" w:pos="6173"/>
        </w:tabs>
        <w:spacing w:after="120" w:line="360" w:lineRule="auto"/>
        <w:jc w:val="both"/>
        <w:rPr>
          <w:rFonts w:asciiTheme="majorBidi" w:hAnsiTheme="majorBidi" w:cstheme="majorBidi"/>
          <w:sz w:val="24"/>
          <w:szCs w:val="24"/>
          <w:lang w:bidi="ar-DZ"/>
        </w:rPr>
      </w:pPr>
      <w:r>
        <w:rPr>
          <w:rFonts w:asciiTheme="majorBidi" w:hAnsiTheme="majorBidi" w:cstheme="majorBidi"/>
          <w:b/>
          <w:bCs/>
          <w:sz w:val="24"/>
          <w:szCs w:val="24"/>
          <w:lang w:bidi="ar-DZ"/>
        </w:rPr>
        <w:lastRenderedPageBreak/>
        <w:t xml:space="preserve">Figure I.1. </w:t>
      </w:r>
      <w:r>
        <w:rPr>
          <w:rFonts w:asciiTheme="majorBidi" w:hAnsiTheme="majorBidi" w:cstheme="majorBidi"/>
          <w:sz w:val="24"/>
          <w:szCs w:val="24"/>
          <w:lang w:bidi="ar-DZ"/>
        </w:rPr>
        <w:t>Fenugrec………………………………………………………………………...5</w:t>
      </w:r>
    </w:p>
    <w:p w14:paraId="399E55D5" w14:textId="77777777" w:rsidR="003E3FB4" w:rsidRDefault="00385ED0">
      <w:pPr>
        <w:tabs>
          <w:tab w:val="left" w:pos="6173"/>
        </w:tabs>
        <w:spacing w:after="120" w:line="360" w:lineRule="auto"/>
        <w:jc w:val="both"/>
        <w:rPr>
          <w:rFonts w:asciiTheme="majorBidi" w:hAnsiTheme="majorBidi" w:cstheme="majorBidi"/>
          <w:sz w:val="24"/>
          <w:szCs w:val="24"/>
          <w:lang w:bidi="ar-DZ"/>
        </w:rPr>
      </w:pPr>
      <w:r>
        <w:rPr>
          <w:rFonts w:asciiTheme="majorBidi" w:hAnsiTheme="majorBidi" w:cstheme="majorBidi"/>
          <w:b/>
          <w:bCs/>
          <w:sz w:val="24"/>
          <w:szCs w:val="24"/>
          <w:lang w:bidi="ar-DZ"/>
        </w:rPr>
        <w:t>Figure I.2.</w:t>
      </w:r>
      <w:r>
        <w:rPr>
          <w:rFonts w:asciiTheme="majorBidi" w:hAnsiTheme="majorBidi" w:cstheme="majorBidi"/>
          <w:sz w:val="24"/>
          <w:szCs w:val="24"/>
          <w:lang w:bidi="ar-DZ"/>
        </w:rPr>
        <w:t xml:space="preserve"> Répartition géographique de fenugrec dans le monde………………………… 7</w:t>
      </w:r>
    </w:p>
    <w:p w14:paraId="0A4F97C3" w14:textId="77777777" w:rsidR="003E3FB4" w:rsidRDefault="00385ED0">
      <w:pPr>
        <w:tabs>
          <w:tab w:val="left" w:pos="6173"/>
        </w:tabs>
        <w:spacing w:after="120" w:line="360" w:lineRule="auto"/>
        <w:jc w:val="both"/>
        <w:rPr>
          <w:rFonts w:asciiTheme="majorBidi" w:hAnsiTheme="majorBidi" w:cstheme="majorBidi"/>
          <w:sz w:val="24"/>
          <w:szCs w:val="24"/>
          <w:lang w:bidi="ar-DZ"/>
        </w:rPr>
      </w:pPr>
      <w:r>
        <w:rPr>
          <w:rFonts w:asciiTheme="majorBidi" w:hAnsiTheme="majorBidi" w:cstheme="majorBidi"/>
          <w:b/>
          <w:bCs/>
          <w:sz w:val="24"/>
          <w:szCs w:val="24"/>
          <w:lang w:bidi="ar-DZ"/>
        </w:rPr>
        <w:t>Figure I.3.</w:t>
      </w:r>
      <w:r>
        <w:rPr>
          <w:rFonts w:asciiTheme="majorBidi" w:hAnsiTheme="majorBidi" w:cstheme="majorBidi"/>
          <w:sz w:val="24"/>
          <w:szCs w:val="24"/>
          <w:lang w:bidi="ar-DZ"/>
        </w:rPr>
        <w:t xml:space="preserve"> Principales classes des composés phénoliques………………………………...10</w:t>
      </w:r>
    </w:p>
    <w:p w14:paraId="2A7DBCFA" w14:textId="77777777" w:rsidR="003E3FB4" w:rsidRDefault="00385ED0">
      <w:pPr>
        <w:tabs>
          <w:tab w:val="left" w:pos="6173"/>
        </w:tabs>
        <w:spacing w:after="120" w:line="360" w:lineRule="auto"/>
        <w:jc w:val="both"/>
        <w:rPr>
          <w:rFonts w:asciiTheme="majorBidi" w:hAnsiTheme="majorBidi" w:cstheme="majorBidi"/>
          <w:sz w:val="24"/>
          <w:szCs w:val="24"/>
          <w:lang w:bidi="ar-DZ"/>
        </w:rPr>
      </w:pPr>
      <w:r>
        <w:rPr>
          <w:rFonts w:asciiTheme="majorBidi" w:hAnsiTheme="majorBidi" w:cstheme="majorBidi"/>
          <w:b/>
          <w:bCs/>
          <w:sz w:val="24"/>
          <w:szCs w:val="24"/>
          <w:lang w:bidi="ar-DZ"/>
        </w:rPr>
        <w:t xml:space="preserve">Figure I.4. </w:t>
      </w:r>
      <w:r>
        <w:rPr>
          <w:rFonts w:asciiTheme="majorBidi" w:hAnsiTheme="majorBidi" w:cstheme="majorBidi"/>
          <w:sz w:val="24"/>
          <w:szCs w:val="24"/>
          <w:lang w:bidi="ar-DZ"/>
        </w:rPr>
        <w:t>Structure chimique de quelques acides phénoliques………………………….  11</w:t>
      </w:r>
    </w:p>
    <w:p w14:paraId="34C791F2" w14:textId="77777777" w:rsidR="003E3FB4" w:rsidRDefault="00385ED0">
      <w:pPr>
        <w:tabs>
          <w:tab w:val="left" w:pos="6173"/>
        </w:tabs>
        <w:spacing w:after="120" w:line="360" w:lineRule="auto"/>
        <w:jc w:val="both"/>
        <w:rPr>
          <w:rFonts w:asciiTheme="majorBidi" w:hAnsiTheme="majorBidi" w:cstheme="majorBidi"/>
          <w:sz w:val="24"/>
          <w:szCs w:val="24"/>
          <w:lang w:bidi="ar-DZ"/>
        </w:rPr>
      </w:pPr>
      <w:r>
        <w:rPr>
          <w:rFonts w:asciiTheme="majorBidi" w:hAnsiTheme="majorBidi" w:cstheme="majorBidi"/>
          <w:b/>
          <w:bCs/>
          <w:sz w:val="24"/>
          <w:szCs w:val="24"/>
          <w:lang w:bidi="ar-DZ"/>
        </w:rPr>
        <w:t>Figure I.5.</w:t>
      </w:r>
      <w:r>
        <w:rPr>
          <w:rFonts w:asciiTheme="majorBidi" w:hAnsiTheme="majorBidi" w:cstheme="majorBidi"/>
          <w:sz w:val="24"/>
          <w:szCs w:val="24"/>
          <w:lang w:bidi="ar-DZ"/>
        </w:rPr>
        <w:t xml:space="preserve"> Structure tricyclique commune aux flavonoïdes……………………………… 11</w:t>
      </w:r>
    </w:p>
    <w:p w14:paraId="6736C38F" w14:textId="77777777" w:rsidR="003E3FB4" w:rsidRDefault="00385ED0">
      <w:pPr>
        <w:tabs>
          <w:tab w:val="left" w:pos="6173"/>
        </w:tabs>
        <w:spacing w:after="120" w:line="360" w:lineRule="auto"/>
        <w:jc w:val="both"/>
        <w:rPr>
          <w:rFonts w:asciiTheme="majorBidi" w:hAnsiTheme="majorBidi" w:cstheme="majorBidi"/>
          <w:sz w:val="24"/>
          <w:szCs w:val="24"/>
          <w:lang w:bidi="ar-DZ"/>
        </w:rPr>
      </w:pPr>
      <w:r>
        <w:rPr>
          <w:rFonts w:asciiTheme="majorBidi" w:hAnsiTheme="majorBidi" w:cstheme="majorBidi"/>
          <w:b/>
          <w:bCs/>
          <w:sz w:val="24"/>
          <w:szCs w:val="24"/>
          <w:lang w:bidi="ar-DZ"/>
        </w:rPr>
        <w:t>Figure I.6.</w:t>
      </w:r>
      <w:r>
        <w:rPr>
          <w:rFonts w:asciiTheme="majorBidi" w:hAnsiTheme="majorBidi" w:cstheme="majorBidi"/>
          <w:sz w:val="24"/>
          <w:szCs w:val="24"/>
          <w:lang w:bidi="ar-DZ"/>
        </w:rPr>
        <w:t xml:space="preserve"> Structure chimique des tanins…………………………………………………12</w:t>
      </w:r>
    </w:p>
    <w:p w14:paraId="3AF92C33" w14:textId="77777777" w:rsidR="003E3FB4" w:rsidRDefault="00385ED0">
      <w:pPr>
        <w:tabs>
          <w:tab w:val="left" w:pos="6173"/>
        </w:tabs>
        <w:spacing w:after="120" w:line="360" w:lineRule="auto"/>
        <w:jc w:val="both"/>
        <w:rPr>
          <w:rFonts w:asciiTheme="majorBidi" w:hAnsiTheme="majorBidi" w:cstheme="majorBidi"/>
          <w:sz w:val="24"/>
          <w:szCs w:val="24"/>
        </w:rPr>
      </w:pPr>
      <w:r>
        <w:rPr>
          <w:rFonts w:asciiTheme="majorBidi" w:hAnsiTheme="majorBidi" w:cstheme="majorBidi"/>
          <w:b/>
          <w:bCs/>
          <w:sz w:val="24"/>
          <w:szCs w:val="24"/>
        </w:rPr>
        <w:t xml:space="preserve">Figure I.7. </w:t>
      </w:r>
      <w:r>
        <w:rPr>
          <w:rFonts w:asciiTheme="majorBidi" w:hAnsiTheme="majorBidi" w:cstheme="majorBidi"/>
          <w:sz w:val="24"/>
          <w:szCs w:val="24"/>
        </w:rPr>
        <w:t>Structures des saponines………………………………………………………14</w:t>
      </w:r>
    </w:p>
    <w:p w14:paraId="042185E9" w14:textId="77777777" w:rsidR="003E3FB4" w:rsidRDefault="00385ED0">
      <w:pPr>
        <w:tabs>
          <w:tab w:val="left" w:pos="6173"/>
        </w:tabs>
        <w:spacing w:after="120" w:line="360" w:lineRule="auto"/>
        <w:jc w:val="both"/>
        <w:rPr>
          <w:rFonts w:asciiTheme="majorBidi" w:hAnsiTheme="majorBidi" w:cstheme="majorBidi"/>
          <w:sz w:val="24"/>
          <w:szCs w:val="24"/>
          <w:lang w:bidi="ar-DZ"/>
        </w:rPr>
      </w:pPr>
      <w:r>
        <w:rPr>
          <w:rFonts w:asciiTheme="majorBidi" w:hAnsiTheme="majorBidi" w:cstheme="majorBidi"/>
          <w:b/>
          <w:bCs/>
          <w:sz w:val="24"/>
          <w:szCs w:val="24"/>
        </w:rPr>
        <w:t>Figure II.1.</w:t>
      </w:r>
      <w:r>
        <w:rPr>
          <w:rFonts w:asciiTheme="majorBidi" w:hAnsiTheme="majorBidi" w:cstheme="majorBidi"/>
          <w:sz w:val="24"/>
          <w:szCs w:val="24"/>
        </w:rPr>
        <w:t xml:space="preserve"> </w:t>
      </w:r>
      <w:r>
        <w:rPr>
          <w:rFonts w:asciiTheme="majorBidi" w:hAnsiTheme="majorBidi" w:cstheme="majorBidi"/>
          <w:sz w:val="24"/>
          <w:szCs w:val="24"/>
          <w:lang w:bidi="ar-DZ"/>
        </w:rPr>
        <w:t>Graines de fenugrec d`inde (</w:t>
      </w:r>
      <w:r w:rsidRPr="007316EC">
        <w:rPr>
          <w:rFonts w:asciiTheme="majorBidi" w:hAnsiTheme="majorBidi" w:cstheme="majorBidi"/>
          <w:i/>
          <w:iCs/>
          <w:sz w:val="24"/>
          <w:szCs w:val="24"/>
          <w:lang w:bidi="ar-DZ"/>
        </w:rPr>
        <w:t>Trigonella foenum-graecum</w:t>
      </w:r>
      <w:r>
        <w:rPr>
          <w:rFonts w:asciiTheme="majorBidi" w:hAnsiTheme="majorBidi" w:cstheme="majorBidi"/>
          <w:sz w:val="24"/>
          <w:szCs w:val="24"/>
          <w:lang w:bidi="ar-DZ"/>
        </w:rPr>
        <w:t xml:space="preserve"> L) ………………  .21</w:t>
      </w:r>
    </w:p>
    <w:p w14:paraId="151AE5E8" w14:textId="77777777" w:rsidR="003E3FB4" w:rsidRDefault="00385ED0">
      <w:pPr>
        <w:tabs>
          <w:tab w:val="left" w:pos="3195"/>
        </w:tabs>
        <w:spacing w:after="120" w:line="360" w:lineRule="auto"/>
        <w:jc w:val="both"/>
        <w:rPr>
          <w:rFonts w:asciiTheme="majorBidi" w:hAnsiTheme="majorBidi" w:cstheme="majorBidi"/>
          <w:sz w:val="24"/>
          <w:szCs w:val="24"/>
        </w:rPr>
      </w:pPr>
      <w:r>
        <w:rPr>
          <w:rFonts w:asciiTheme="majorBidi" w:hAnsiTheme="majorBidi" w:cstheme="majorBidi"/>
          <w:b/>
          <w:bCs/>
          <w:sz w:val="24"/>
          <w:szCs w:val="24"/>
        </w:rPr>
        <w:t>Figure II.2.</w:t>
      </w:r>
      <w:r>
        <w:rPr>
          <w:rFonts w:asciiTheme="majorBidi" w:hAnsiTheme="majorBidi" w:cstheme="majorBidi"/>
          <w:sz w:val="24"/>
          <w:szCs w:val="24"/>
        </w:rPr>
        <w:t xml:space="preserve"> Préparation de poudre des graines de fenugrec </w:t>
      </w:r>
      <w:r>
        <w:rPr>
          <w:rFonts w:asciiTheme="majorBidi" w:hAnsiTheme="majorBidi" w:cstheme="majorBidi"/>
          <w:sz w:val="24"/>
          <w:szCs w:val="24"/>
          <w:lang w:bidi="ar-DZ"/>
        </w:rPr>
        <w:t>(</w:t>
      </w:r>
      <w:r>
        <w:rPr>
          <w:rFonts w:asciiTheme="majorBidi" w:hAnsiTheme="majorBidi" w:cstheme="majorBidi"/>
          <w:i/>
          <w:iCs/>
          <w:sz w:val="24"/>
          <w:szCs w:val="24"/>
          <w:lang w:bidi="ar-DZ"/>
        </w:rPr>
        <w:t>Trigonella foenum-graecum</w:t>
      </w:r>
      <w:r>
        <w:rPr>
          <w:rFonts w:asciiTheme="majorBidi" w:hAnsiTheme="majorBidi" w:cstheme="majorBidi"/>
          <w:sz w:val="24"/>
          <w:szCs w:val="24"/>
          <w:lang w:bidi="ar-DZ"/>
        </w:rPr>
        <w:t xml:space="preserve"> L.) ... ………………………………………………………………………………………. … 21</w:t>
      </w:r>
    </w:p>
    <w:p w14:paraId="43F2B9D7" w14:textId="77777777" w:rsidR="003E3FB4" w:rsidRDefault="00385ED0">
      <w:pPr>
        <w:tabs>
          <w:tab w:val="left" w:pos="6173"/>
        </w:tabs>
        <w:spacing w:after="120" w:line="360" w:lineRule="auto"/>
        <w:jc w:val="both"/>
        <w:rPr>
          <w:rFonts w:asciiTheme="majorBidi" w:hAnsiTheme="majorBidi" w:cstheme="majorBidi"/>
          <w:sz w:val="24"/>
          <w:szCs w:val="24"/>
          <w:lang w:bidi="ar-DZ"/>
        </w:rPr>
      </w:pPr>
      <w:r>
        <w:rPr>
          <w:rFonts w:asciiTheme="majorBidi" w:hAnsiTheme="majorBidi" w:cstheme="majorBidi"/>
          <w:b/>
          <w:bCs/>
          <w:sz w:val="24"/>
          <w:szCs w:val="24"/>
          <w:lang w:bidi="ar-DZ"/>
        </w:rPr>
        <w:t>Figure II.3</w:t>
      </w:r>
      <w:r>
        <w:rPr>
          <w:rFonts w:asciiTheme="majorBidi" w:hAnsiTheme="majorBidi" w:cstheme="majorBidi" w:hint="cs"/>
          <w:b/>
          <w:bCs/>
          <w:sz w:val="24"/>
          <w:szCs w:val="24"/>
          <w:rtl/>
          <w:lang w:bidi="ar-DZ"/>
        </w:rPr>
        <w:t>.</w:t>
      </w:r>
      <w:r>
        <w:rPr>
          <w:rFonts w:asciiTheme="majorBidi" w:hAnsiTheme="majorBidi" w:cstheme="majorBidi"/>
          <w:sz w:val="24"/>
          <w:szCs w:val="24"/>
          <w:lang w:bidi="ar-DZ"/>
        </w:rPr>
        <w:t xml:space="preserve"> Extraction aqueuse et éthanolique des graines de fenugrec …………………24</w:t>
      </w:r>
    </w:p>
    <w:p w14:paraId="51D04EA9" w14:textId="42BF82BC" w:rsidR="003E3FB4" w:rsidRPr="00751BDB" w:rsidRDefault="00385ED0">
      <w:pPr>
        <w:tabs>
          <w:tab w:val="left" w:pos="6173"/>
        </w:tabs>
        <w:spacing w:after="12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Pr>
          <w:rFonts w:asciiTheme="majorBidi" w:hAnsiTheme="majorBidi" w:cstheme="majorBidi"/>
          <w:b/>
          <w:bCs/>
          <w:sz w:val="24"/>
          <w:szCs w:val="24"/>
        </w:rPr>
        <w:t xml:space="preserve">Figure II.4. </w:t>
      </w:r>
      <w:r>
        <w:rPr>
          <w:rFonts w:asciiTheme="majorBidi" w:hAnsiTheme="majorBidi" w:cstheme="majorBidi"/>
          <w:sz w:val="24"/>
          <w:szCs w:val="24"/>
        </w:rPr>
        <w:t>Repiquage des germes………………………………………………………3</w:t>
      </w:r>
      <w:r w:rsidR="00751BDB" w:rsidRPr="00751BDB">
        <w:rPr>
          <w:rFonts w:asciiTheme="majorBidi" w:hAnsiTheme="majorBidi" w:cstheme="majorBidi"/>
          <w:sz w:val="24"/>
          <w:szCs w:val="24"/>
        </w:rPr>
        <w:t>1</w:t>
      </w:r>
    </w:p>
    <w:p w14:paraId="3F669644" w14:textId="77777777" w:rsidR="003E3FB4" w:rsidRDefault="00385ED0">
      <w:pPr>
        <w:tabs>
          <w:tab w:val="left" w:pos="6173"/>
        </w:tabs>
        <w:spacing w:after="120" w:line="360" w:lineRule="auto"/>
        <w:jc w:val="both"/>
        <w:rPr>
          <w:rFonts w:asciiTheme="majorBidi" w:hAnsiTheme="majorBidi" w:cstheme="majorBidi"/>
          <w:sz w:val="24"/>
          <w:szCs w:val="24"/>
        </w:rPr>
      </w:pPr>
      <w:r>
        <w:rPr>
          <w:rFonts w:asciiTheme="majorBidi" w:hAnsiTheme="majorBidi" w:cstheme="majorBidi"/>
          <w:b/>
          <w:bCs/>
          <w:sz w:val="24"/>
          <w:szCs w:val="24"/>
        </w:rPr>
        <w:t>Figure II.5.</w:t>
      </w:r>
      <w:r>
        <w:rPr>
          <w:rFonts w:asciiTheme="majorBidi" w:hAnsiTheme="majorBidi" w:cstheme="majorBidi"/>
          <w:sz w:val="24"/>
          <w:szCs w:val="24"/>
        </w:rPr>
        <w:t xml:space="preserve"> Evaluation de l’activité antibactérienne par la méthode des disques…………32</w:t>
      </w:r>
    </w:p>
    <w:p w14:paraId="5D9F859E" w14:textId="59EA2030" w:rsidR="003E3FB4" w:rsidRDefault="00385ED0">
      <w:pPr>
        <w:tabs>
          <w:tab w:val="left" w:pos="6173"/>
        </w:tabs>
        <w:spacing w:after="120" w:line="360" w:lineRule="auto"/>
        <w:jc w:val="both"/>
        <w:rPr>
          <w:rFonts w:asciiTheme="majorBidi" w:eastAsia="Calibri" w:hAnsiTheme="majorBidi" w:cstheme="majorBidi"/>
          <w:sz w:val="24"/>
          <w:szCs w:val="24"/>
        </w:rPr>
      </w:pPr>
      <w:r>
        <w:rPr>
          <w:rFonts w:asciiTheme="majorBidi" w:hAnsiTheme="majorBidi" w:cstheme="majorBidi"/>
          <w:b/>
          <w:bCs/>
          <w:sz w:val="24"/>
          <w:szCs w:val="24"/>
        </w:rPr>
        <w:t xml:space="preserve">Figure II.6.  </w:t>
      </w:r>
      <w:r>
        <w:rPr>
          <w:rFonts w:asciiTheme="majorBidi" w:eastAsia="Calibri" w:hAnsiTheme="majorBidi" w:cstheme="majorBidi"/>
          <w:sz w:val="24"/>
          <w:szCs w:val="24"/>
        </w:rPr>
        <w:t>Repiquage des souches fongiques……………………………………………3</w:t>
      </w:r>
      <w:r w:rsidR="00751BDB">
        <w:rPr>
          <w:rFonts w:asciiTheme="majorBidi" w:eastAsia="Calibri" w:hAnsiTheme="majorBidi" w:cstheme="majorBidi"/>
          <w:sz w:val="24"/>
          <w:szCs w:val="24"/>
        </w:rPr>
        <w:t>4</w:t>
      </w:r>
    </w:p>
    <w:p w14:paraId="4BD5F336" w14:textId="3E4F0AA3" w:rsidR="003E3FB4" w:rsidRDefault="00385ED0">
      <w:pPr>
        <w:tabs>
          <w:tab w:val="left" w:pos="6173"/>
        </w:tabs>
        <w:spacing w:after="120" w:line="360" w:lineRule="auto"/>
        <w:jc w:val="both"/>
        <w:rPr>
          <w:rFonts w:asciiTheme="majorBidi" w:hAnsiTheme="majorBidi" w:cstheme="majorBidi"/>
          <w:sz w:val="24"/>
          <w:szCs w:val="24"/>
          <w:lang w:bidi="ar-DZ"/>
        </w:rPr>
      </w:pPr>
      <w:r>
        <w:rPr>
          <w:rFonts w:asciiTheme="majorBidi" w:hAnsiTheme="majorBidi" w:cstheme="majorBidi"/>
          <w:b/>
          <w:bCs/>
          <w:sz w:val="24"/>
          <w:szCs w:val="24"/>
          <w:lang w:bidi="ar-DZ"/>
        </w:rPr>
        <w:t xml:space="preserve">Figure II.7. </w:t>
      </w:r>
      <w:r>
        <w:rPr>
          <w:rFonts w:asciiTheme="majorBidi" w:hAnsiTheme="majorBidi" w:cstheme="majorBidi"/>
          <w:sz w:val="24"/>
          <w:szCs w:val="24"/>
          <w:lang w:bidi="ar-DZ"/>
        </w:rPr>
        <w:t>Evaluation de l’activité antifongique par la méthode de contact direct………3</w:t>
      </w:r>
      <w:r w:rsidR="00751BDB">
        <w:rPr>
          <w:rFonts w:asciiTheme="majorBidi" w:hAnsiTheme="majorBidi" w:cstheme="majorBidi"/>
          <w:sz w:val="24"/>
          <w:szCs w:val="24"/>
          <w:lang w:bidi="ar-DZ"/>
        </w:rPr>
        <w:t>5</w:t>
      </w:r>
    </w:p>
    <w:p w14:paraId="69E03F46" w14:textId="3B91DB66" w:rsidR="003E3FB4" w:rsidRDefault="00385ED0">
      <w:pPr>
        <w:spacing w:after="120" w:line="360" w:lineRule="auto"/>
        <w:jc w:val="both"/>
        <w:rPr>
          <w:rFonts w:asciiTheme="majorBidi" w:hAnsiTheme="majorBidi" w:cstheme="majorBidi"/>
          <w:sz w:val="24"/>
          <w:szCs w:val="24"/>
        </w:rPr>
      </w:pPr>
      <w:r>
        <w:rPr>
          <w:rFonts w:asciiTheme="majorBidi" w:hAnsiTheme="majorBidi" w:cstheme="majorBidi"/>
          <w:b/>
          <w:bCs/>
          <w:sz w:val="24"/>
          <w:szCs w:val="24"/>
        </w:rPr>
        <w:t>Figure III.1.</w:t>
      </w:r>
      <w:r>
        <w:rPr>
          <w:rFonts w:asciiTheme="majorBidi" w:hAnsiTheme="majorBidi" w:cstheme="majorBidi"/>
          <w:sz w:val="24"/>
          <w:szCs w:val="24"/>
        </w:rPr>
        <w:t xml:space="preserve"> Le rendement de l’extrait aqueux et éthanolique de fenugrec………………3</w:t>
      </w:r>
      <w:r w:rsidR="00751BDB">
        <w:rPr>
          <w:rFonts w:asciiTheme="majorBidi" w:hAnsiTheme="majorBidi" w:cstheme="majorBidi"/>
          <w:sz w:val="24"/>
          <w:szCs w:val="24"/>
        </w:rPr>
        <w:t>8</w:t>
      </w:r>
    </w:p>
    <w:p w14:paraId="5AE84668" w14:textId="78AD869F" w:rsidR="003E3FB4" w:rsidRDefault="00385ED0">
      <w:pPr>
        <w:spacing w:after="120" w:line="360" w:lineRule="auto"/>
        <w:jc w:val="both"/>
        <w:rPr>
          <w:rFonts w:asciiTheme="majorBidi" w:hAnsiTheme="majorBidi" w:cstheme="majorBidi"/>
          <w:sz w:val="24"/>
          <w:szCs w:val="24"/>
        </w:rPr>
      </w:pPr>
      <w:r>
        <w:rPr>
          <w:rFonts w:asciiTheme="majorBidi" w:hAnsiTheme="majorBidi" w:cstheme="majorBidi"/>
          <w:b/>
          <w:bCs/>
          <w:sz w:val="24"/>
          <w:szCs w:val="24"/>
        </w:rPr>
        <w:t>Figure III.2.</w:t>
      </w:r>
      <w:r>
        <w:rPr>
          <w:rFonts w:asciiTheme="majorBidi" w:hAnsiTheme="majorBidi" w:cstheme="majorBidi"/>
          <w:sz w:val="24"/>
          <w:szCs w:val="24"/>
        </w:rPr>
        <w:t xml:space="preserve"> Le taux des polyphénols totaux dans l’extrait aqueux et l’extrait éthanolique de </w:t>
      </w:r>
      <w:r>
        <w:rPr>
          <w:rFonts w:asciiTheme="majorBidi" w:hAnsiTheme="majorBidi" w:cstheme="majorBidi"/>
          <w:i/>
          <w:iCs/>
          <w:sz w:val="24"/>
          <w:szCs w:val="24"/>
        </w:rPr>
        <w:t xml:space="preserve">Trigonella foenum-graecum </w:t>
      </w:r>
      <w:r>
        <w:rPr>
          <w:rFonts w:asciiTheme="majorBidi" w:hAnsiTheme="majorBidi" w:cstheme="majorBidi"/>
          <w:sz w:val="24"/>
          <w:szCs w:val="24"/>
        </w:rPr>
        <w:t>L………………………………………………………… .4</w:t>
      </w:r>
      <w:r w:rsidR="00751BDB">
        <w:rPr>
          <w:rFonts w:asciiTheme="majorBidi" w:hAnsiTheme="majorBidi" w:cstheme="majorBidi"/>
          <w:sz w:val="24"/>
          <w:szCs w:val="24"/>
        </w:rPr>
        <w:t>2</w:t>
      </w:r>
    </w:p>
    <w:p w14:paraId="1BE1E5CA" w14:textId="77E06517" w:rsidR="003E3FB4" w:rsidRDefault="00385ED0">
      <w:pPr>
        <w:spacing w:after="120" w:line="360" w:lineRule="auto"/>
        <w:jc w:val="both"/>
        <w:rPr>
          <w:rFonts w:asciiTheme="majorBidi" w:hAnsiTheme="majorBidi" w:cstheme="majorBidi"/>
          <w:sz w:val="24"/>
          <w:szCs w:val="24"/>
        </w:rPr>
      </w:pPr>
      <w:r>
        <w:rPr>
          <w:rFonts w:asciiTheme="majorBidi" w:hAnsiTheme="majorBidi" w:cstheme="majorBidi"/>
          <w:b/>
          <w:bCs/>
          <w:sz w:val="24"/>
          <w:szCs w:val="24"/>
        </w:rPr>
        <w:t>Figure III.3.</w:t>
      </w:r>
      <w:r>
        <w:rPr>
          <w:rFonts w:asciiTheme="majorBidi" w:hAnsiTheme="majorBidi" w:cstheme="majorBidi"/>
          <w:sz w:val="24"/>
          <w:szCs w:val="24"/>
        </w:rPr>
        <w:t xml:space="preserve"> Le taux des flavonoides dans l’extrait aqueux et l’extrait éthanolique de </w:t>
      </w:r>
      <w:r>
        <w:rPr>
          <w:rFonts w:asciiTheme="majorBidi" w:hAnsiTheme="majorBidi" w:cstheme="majorBidi"/>
          <w:i/>
          <w:iCs/>
          <w:sz w:val="24"/>
          <w:szCs w:val="24"/>
        </w:rPr>
        <w:t>Trigonella foenum-graecum</w:t>
      </w:r>
      <w:r>
        <w:rPr>
          <w:rFonts w:asciiTheme="majorBidi" w:hAnsiTheme="majorBidi" w:cstheme="majorBidi"/>
          <w:sz w:val="24"/>
          <w:szCs w:val="24"/>
        </w:rPr>
        <w:t xml:space="preserve"> L……………………………………………………………   4</w:t>
      </w:r>
      <w:r w:rsidR="00751BDB">
        <w:rPr>
          <w:rFonts w:asciiTheme="majorBidi" w:hAnsiTheme="majorBidi" w:cstheme="majorBidi"/>
          <w:sz w:val="24"/>
          <w:szCs w:val="24"/>
        </w:rPr>
        <w:t>3</w:t>
      </w:r>
    </w:p>
    <w:p w14:paraId="44394056" w14:textId="77777777" w:rsidR="003E3FB4" w:rsidRDefault="00385ED0">
      <w:pPr>
        <w:spacing w:after="120" w:line="360" w:lineRule="auto"/>
        <w:jc w:val="both"/>
        <w:rPr>
          <w:rFonts w:asciiTheme="majorBidi" w:hAnsiTheme="majorBidi" w:cstheme="majorBidi"/>
          <w:sz w:val="24"/>
          <w:szCs w:val="24"/>
        </w:rPr>
      </w:pPr>
      <w:r>
        <w:rPr>
          <w:rFonts w:asciiTheme="majorBidi" w:hAnsiTheme="majorBidi" w:cstheme="majorBidi"/>
          <w:b/>
          <w:bCs/>
          <w:sz w:val="24"/>
          <w:szCs w:val="24"/>
        </w:rPr>
        <w:t xml:space="preserve">Figure III.4. </w:t>
      </w:r>
      <w:r>
        <w:rPr>
          <w:rFonts w:asciiTheme="majorBidi" w:hAnsiTheme="majorBidi" w:cstheme="majorBidi"/>
          <w:sz w:val="24"/>
          <w:szCs w:val="24"/>
        </w:rPr>
        <w:t xml:space="preserve">Le taux des tanins dans l’extrait aqueux et l’extrait éthanolique de </w:t>
      </w:r>
      <w:r>
        <w:rPr>
          <w:rFonts w:asciiTheme="majorBidi" w:hAnsiTheme="majorBidi" w:cstheme="majorBidi"/>
          <w:i/>
          <w:iCs/>
          <w:sz w:val="24"/>
          <w:szCs w:val="24"/>
        </w:rPr>
        <w:t>Trigonella foenum-graecum</w:t>
      </w:r>
      <w:r>
        <w:rPr>
          <w:rFonts w:asciiTheme="majorBidi" w:hAnsiTheme="majorBidi" w:cstheme="majorBidi"/>
          <w:sz w:val="24"/>
          <w:szCs w:val="24"/>
        </w:rPr>
        <w:t xml:space="preserve"> L……………………………………………………………………….    44</w:t>
      </w:r>
    </w:p>
    <w:p w14:paraId="636607CB" w14:textId="05D655FA" w:rsidR="003E3FB4" w:rsidRDefault="00385ED0">
      <w:pPr>
        <w:spacing w:after="120" w:line="360" w:lineRule="auto"/>
        <w:jc w:val="both"/>
        <w:rPr>
          <w:rFonts w:asciiTheme="majorBidi" w:hAnsiTheme="majorBidi" w:cstheme="majorBidi"/>
          <w:sz w:val="24"/>
          <w:szCs w:val="24"/>
        </w:rPr>
      </w:pPr>
      <w:r>
        <w:rPr>
          <w:rFonts w:asciiTheme="majorBidi" w:hAnsiTheme="majorBidi" w:cstheme="majorBidi"/>
          <w:b/>
          <w:bCs/>
          <w:sz w:val="24"/>
          <w:szCs w:val="24"/>
        </w:rPr>
        <w:t>Figure III.5.</w:t>
      </w:r>
      <w:r>
        <w:rPr>
          <w:rFonts w:asciiTheme="majorBidi" w:hAnsiTheme="majorBidi" w:cstheme="majorBidi"/>
          <w:sz w:val="24"/>
          <w:szCs w:val="24"/>
        </w:rPr>
        <w:t xml:space="preserve"> Pourcentage d’inhibition de l’activité antiradicalaire en fonction des concentrations……………………………………………………………………………   4</w:t>
      </w:r>
      <w:r w:rsidR="00751BDB">
        <w:rPr>
          <w:rFonts w:asciiTheme="majorBidi" w:hAnsiTheme="majorBidi" w:cstheme="majorBidi"/>
          <w:sz w:val="24"/>
          <w:szCs w:val="24"/>
        </w:rPr>
        <w:t>6</w:t>
      </w:r>
    </w:p>
    <w:p w14:paraId="5C45EDCE" w14:textId="77777777" w:rsidR="003E3FB4" w:rsidRDefault="00385ED0">
      <w:pPr>
        <w:spacing w:after="120" w:line="360" w:lineRule="auto"/>
        <w:jc w:val="both"/>
        <w:rPr>
          <w:rFonts w:asciiTheme="majorBidi" w:hAnsiTheme="majorBidi" w:cstheme="majorBidi"/>
          <w:sz w:val="24"/>
          <w:szCs w:val="24"/>
        </w:rPr>
      </w:pPr>
      <w:r>
        <w:rPr>
          <w:rFonts w:asciiTheme="majorBidi" w:hAnsiTheme="majorBidi" w:cstheme="majorBidi"/>
          <w:b/>
          <w:bCs/>
          <w:sz w:val="24"/>
          <w:szCs w:val="24"/>
        </w:rPr>
        <w:t>Figure III. 6.</w:t>
      </w:r>
      <w:r>
        <w:rPr>
          <w:rFonts w:asciiTheme="majorBidi" w:hAnsiTheme="majorBidi" w:cstheme="majorBidi"/>
          <w:sz w:val="24"/>
          <w:szCs w:val="24"/>
        </w:rPr>
        <w:t xml:space="preserve"> Évaluation des absorbances des différents extraits aqueux et éthanolique des graines de fenugrec en fonction des concentrations dans le test de réduction de fer…………………………………………………………………………………………  48</w:t>
      </w:r>
    </w:p>
    <w:p w14:paraId="01C0E9BB" w14:textId="77777777" w:rsidR="003E3FB4" w:rsidRDefault="00385ED0">
      <w:pPr>
        <w:tabs>
          <w:tab w:val="left" w:pos="3656"/>
        </w:tabs>
        <w:spacing w:after="120" w:line="360" w:lineRule="auto"/>
        <w:jc w:val="both"/>
        <w:rPr>
          <w:rFonts w:asciiTheme="majorBidi" w:hAnsiTheme="majorBidi" w:cstheme="majorBidi"/>
          <w:b/>
          <w:bCs/>
          <w:sz w:val="24"/>
          <w:szCs w:val="24"/>
        </w:rPr>
      </w:pPr>
      <w:r>
        <w:rPr>
          <w:rFonts w:asciiTheme="majorBidi" w:hAnsiTheme="majorBidi" w:cstheme="majorBidi"/>
          <w:b/>
          <w:bCs/>
          <w:sz w:val="24"/>
          <w:szCs w:val="24"/>
        </w:rPr>
        <w:lastRenderedPageBreak/>
        <w:t xml:space="preserve">Figure III.7. </w:t>
      </w:r>
      <w:r>
        <w:rPr>
          <w:rFonts w:asciiTheme="majorBidi" w:hAnsiTheme="majorBidi" w:cstheme="majorBidi"/>
          <w:sz w:val="24"/>
          <w:szCs w:val="24"/>
        </w:rPr>
        <w:t>Pourcentage d’inhibition de la dénaturation de l’ovalbumine en fonction de la concentration de l’Aspirine ………………………………………………………………  52</w:t>
      </w:r>
    </w:p>
    <w:p w14:paraId="60D36201" w14:textId="2E321647" w:rsidR="003E3FB4" w:rsidRDefault="00385ED0">
      <w:pPr>
        <w:tabs>
          <w:tab w:val="left" w:pos="3309"/>
        </w:tabs>
        <w:spacing w:after="120" w:line="360" w:lineRule="auto"/>
        <w:jc w:val="both"/>
        <w:rPr>
          <w:rFonts w:asciiTheme="majorBidi" w:hAnsiTheme="majorBidi" w:cstheme="majorBidi"/>
          <w:sz w:val="24"/>
          <w:szCs w:val="24"/>
        </w:rPr>
      </w:pPr>
      <w:r>
        <w:rPr>
          <w:rFonts w:asciiTheme="majorBidi" w:hAnsiTheme="majorBidi" w:cstheme="majorBidi"/>
          <w:b/>
          <w:sz w:val="24"/>
          <w:szCs w:val="24"/>
        </w:rPr>
        <w:t xml:space="preserve">Figure III.8. </w:t>
      </w:r>
      <w:r>
        <w:rPr>
          <w:rFonts w:asciiTheme="majorBidi" w:hAnsiTheme="majorBidi" w:cstheme="majorBidi"/>
          <w:sz w:val="24"/>
          <w:szCs w:val="24"/>
        </w:rPr>
        <w:t xml:space="preserve"> Zones d’inhibition de </w:t>
      </w:r>
      <w:r>
        <w:rPr>
          <w:rFonts w:asciiTheme="majorBidi" w:hAnsiTheme="majorBidi" w:cstheme="majorBidi"/>
          <w:i/>
          <w:iCs/>
          <w:sz w:val="24"/>
          <w:szCs w:val="24"/>
        </w:rPr>
        <w:t xml:space="preserve">Trigonella foenum-graecum </w:t>
      </w:r>
      <w:r>
        <w:rPr>
          <w:rFonts w:asciiTheme="majorBidi" w:hAnsiTheme="majorBidi" w:cstheme="majorBidi"/>
          <w:sz w:val="24"/>
          <w:szCs w:val="24"/>
        </w:rPr>
        <w:t>L. sur les souches bactériennes testées………………………………………………………………………. 5</w:t>
      </w:r>
      <w:r w:rsidR="00751BDB">
        <w:rPr>
          <w:rFonts w:asciiTheme="majorBidi" w:hAnsiTheme="majorBidi" w:cstheme="majorBidi"/>
          <w:sz w:val="24"/>
          <w:szCs w:val="24"/>
        </w:rPr>
        <w:t>4</w:t>
      </w:r>
    </w:p>
    <w:p w14:paraId="2863AD9D" w14:textId="77777777" w:rsidR="003E3FB4" w:rsidRDefault="00385ED0">
      <w:pPr>
        <w:tabs>
          <w:tab w:val="left" w:pos="199"/>
          <w:tab w:val="left" w:pos="3309"/>
        </w:tabs>
        <w:spacing w:after="120" w:line="360" w:lineRule="auto"/>
        <w:jc w:val="both"/>
        <w:rPr>
          <w:rFonts w:asciiTheme="majorBidi" w:hAnsiTheme="majorBidi" w:cstheme="majorBidi"/>
          <w:b/>
          <w:bCs/>
          <w:sz w:val="24"/>
          <w:szCs w:val="24"/>
        </w:rPr>
      </w:pPr>
      <w:r>
        <w:rPr>
          <w:rFonts w:asciiTheme="majorBidi" w:hAnsiTheme="majorBidi" w:cstheme="majorBidi"/>
          <w:b/>
          <w:bCs/>
          <w:sz w:val="24"/>
          <w:szCs w:val="24"/>
        </w:rPr>
        <w:t>Figure III.9.</w:t>
      </w:r>
      <w:r>
        <w:rPr>
          <w:rFonts w:asciiTheme="majorBidi" w:hAnsiTheme="majorBidi" w:cstheme="majorBidi"/>
          <w:sz w:val="24"/>
          <w:szCs w:val="24"/>
        </w:rPr>
        <w:t xml:space="preserve"> Effet des extraits des graines de fenugrec sur </w:t>
      </w:r>
      <w:r>
        <w:rPr>
          <w:rFonts w:asciiTheme="majorBidi" w:hAnsiTheme="majorBidi" w:cstheme="majorBidi"/>
          <w:i/>
          <w:iCs/>
          <w:sz w:val="24"/>
          <w:szCs w:val="24"/>
        </w:rPr>
        <w:t>Candida albicans</w:t>
      </w:r>
      <w:r>
        <w:rPr>
          <w:rFonts w:asciiTheme="majorBidi" w:hAnsiTheme="majorBidi" w:cstheme="majorBidi"/>
          <w:sz w:val="24"/>
          <w:szCs w:val="24"/>
        </w:rPr>
        <w:t xml:space="preserve"> </w:t>
      </w:r>
      <w:r>
        <w:rPr>
          <w:rFonts w:asciiTheme="majorBidi" w:hAnsiTheme="majorBidi" w:cstheme="majorBidi"/>
          <w:i/>
          <w:iCs/>
          <w:sz w:val="24"/>
          <w:szCs w:val="24"/>
        </w:rPr>
        <w:t>ATCC  10231………………………………………………………………………………………………… 56</w:t>
      </w:r>
    </w:p>
    <w:p w14:paraId="13082413" w14:textId="77777777" w:rsidR="003E3FB4" w:rsidRDefault="00385ED0">
      <w:pPr>
        <w:tabs>
          <w:tab w:val="left" w:pos="3309"/>
        </w:tabs>
        <w:spacing w:after="120" w:line="360" w:lineRule="auto"/>
        <w:jc w:val="both"/>
        <w:rPr>
          <w:rFonts w:asciiTheme="majorBidi" w:hAnsiTheme="majorBidi" w:cstheme="majorBidi"/>
          <w:iCs/>
          <w:sz w:val="24"/>
          <w:szCs w:val="24"/>
        </w:rPr>
      </w:pPr>
      <w:r>
        <w:rPr>
          <w:rFonts w:asciiTheme="majorBidi" w:hAnsiTheme="majorBidi" w:cstheme="majorBidi"/>
          <w:b/>
          <w:bCs/>
          <w:sz w:val="24"/>
          <w:szCs w:val="24"/>
        </w:rPr>
        <w:t>Figure III.10.</w:t>
      </w:r>
      <w:r>
        <w:rPr>
          <w:rFonts w:asciiTheme="majorBidi" w:hAnsiTheme="majorBidi" w:cstheme="majorBidi"/>
          <w:sz w:val="24"/>
          <w:szCs w:val="24"/>
        </w:rPr>
        <w:t xml:space="preserve"> Effet des extraits des graines de </w:t>
      </w:r>
      <w:r>
        <w:rPr>
          <w:rFonts w:asciiTheme="majorBidi" w:hAnsiTheme="majorBidi" w:cstheme="majorBidi"/>
          <w:i/>
          <w:iCs/>
          <w:sz w:val="24"/>
          <w:szCs w:val="24"/>
        </w:rPr>
        <w:t>fenugrec</w:t>
      </w:r>
      <w:r>
        <w:rPr>
          <w:rFonts w:asciiTheme="majorBidi" w:hAnsiTheme="majorBidi" w:cstheme="majorBidi"/>
          <w:i/>
          <w:iCs/>
          <w:sz w:val="24"/>
          <w:szCs w:val="24"/>
          <w:rtl/>
        </w:rPr>
        <w:t xml:space="preserve"> </w:t>
      </w:r>
      <w:r>
        <w:rPr>
          <w:rFonts w:asciiTheme="majorBidi" w:hAnsiTheme="majorBidi" w:cstheme="majorBidi"/>
          <w:sz w:val="24"/>
          <w:szCs w:val="24"/>
        </w:rPr>
        <w:t>sur la souche fongique</w:t>
      </w:r>
      <w:r>
        <w:rPr>
          <w:rFonts w:asciiTheme="majorBidi" w:hAnsiTheme="majorBidi" w:cstheme="majorBidi"/>
          <w:sz w:val="24"/>
          <w:szCs w:val="24"/>
          <w:rtl/>
        </w:rPr>
        <w:t xml:space="preserve"> </w:t>
      </w:r>
      <w:r>
        <w:rPr>
          <w:rFonts w:asciiTheme="majorBidi" w:hAnsiTheme="majorBidi" w:cstheme="majorBidi"/>
          <w:i/>
          <w:sz w:val="24"/>
          <w:szCs w:val="24"/>
        </w:rPr>
        <w:t xml:space="preserve">Aspergillus </w:t>
      </w:r>
      <w:r>
        <w:rPr>
          <w:rFonts w:asciiTheme="majorBidi" w:eastAsia="Calibri" w:hAnsiTheme="majorBidi" w:cstheme="majorBidi"/>
          <w:i/>
          <w:iCs/>
          <w:sz w:val="24"/>
          <w:szCs w:val="24"/>
        </w:rPr>
        <w:t>brasiliensis</w:t>
      </w:r>
      <w:r>
        <w:rPr>
          <w:rFonts w:asciiTheme="majorBidi" w:eastAsia="Calibri" w:hAnsiTheme="majorBidi" w:cstheme="majorBidi" w:hint="cs"/>
          <w:i/>
          <w:iCs/>
          <w:sz w:val="24"/>
          <w:szCs w:val="24"/>
          <w:rtl/>
        </w:rPr>
        <w:t xml:space="preserve"> </w:t>
      </w:r>
      <w:r>
        <w:rPr>
          <w:rFonts w:asciiTheme="majorBidi" w:hAnsiTheme="majorBidi" w:cstheme="majorBidi"/>
          <w:b/>
          <w:bCs/>
          <w:iCs/>
          <w:sz w:val="24"/>
          <w:szCs w:val="24"/>
        </w:rPr>
        <w:t>…</w:t>
      </w:r>
      <w:r>
        <w:rPr>
          <w:rFonts w:asciiTheme="majorBidi" w:hAnsiTheme="majorBidi" w:cstheme="majorBidi"/>
          <w:iCs/>
          <w:sz w:val="24"/>
          <w:szCs w:val="24"/>
        </w:rPr>
        <w:t>……………………………………………………………………………...57</w:t>
      </w:r>
    </w:p>
    <w:p w14:paraId="3A5C9DAE" w14:textId="192E8321" w:rsidR="003E3FB4" w:rsidRDefault="00385ED0">
      <w:pPr>
        <w:tabs>
          <w:tab w:val="left" w:pos="3309"/>
        </w:tabs>
        <w:spacing w:after="120" w:line="360" w:lineRule="auto"/>
        <w:jc w:val="both"/>
        <w:rPr>
          <w:rFonts w:asciiTheme="majorBidi" w:hAnsiTheme="majorBidi" w:cstheme="majorBidi"/>
          <w:i/>
          <w:iCs/>
          <w:sz w:val="24"/>
          <w:szCs w:val="24"/>
        </w:rPr>
      </w:pPr>
      <w:r>
        <w:rPr>
          <w:rFonts w:asciiTheme="majorBidi" w:hAnsiTheme="majorBidi" w:cstheme="majorBidi"/>
          <w:b/>
          <w:bCs/>
          <w:sz w:val="24"/>
          <w:szCs w:val="24"/>
        </w:rPr>
        <w:t xml:space="preserve">Figure III.11. </w:t>
      </w:r>
      <w:r>
        <w:rPr>
          <w:rFonts w:asciiTheme="majorBidi" w:hAnsiTheme="majorBidi" w:cstheme="majorBidi"/>
          <w:sz w:val="24"/>
          <w:szCs w:val="24"/>
        </w:rPr>
        <w:t xml:space="preserve">Effet des extraits des graines de fenugrec sur </w:t>
      </w:r>
      <w:r>
        <w:rPr>
          <w:rFonts w:asciiTheme="majorBidi" w:hAnsiTheme="majorBidi" w:cstheme="majorBidi"/>
          <w:i/>
          <w:iCs/>
          <w:sz w:val="24"/>
          <w:szCs w:val="24"/>
        </w:rPr>
        <w:t>Aspergillus brasiliensis………5</w:t>
      </w:r>
      <w:r w:rsidR="00751BDB">
        <w:rPr>
          <w:rFonts w:asciiTheme="majorBidi" w:hAnsiTheme="majorBidi" w:cstheme="majorBidi"/>
          <w:i/>
          <w:iCs/>
          <w:sz w:val="24"/>
          <w:szCs w:val="24"/>
        </w:rPr>
        <w:t>7</w:t>
      </w:r>
      <w:r>
        <w:rPr>
          <w:rFonts w:asciiTheme="majorBidi" w:hAnsiTheme="majorBidi" w:cstheme="majorBidi"/>
          <w:i/>
          <w:iCs/>
          <w:sz w:val="24"/>
          <w:szCs w:val="24"/>
        </w:rPr>
        <w:t xml:space="preserve"> </w:t>
      </w:r>
    </w:p>
    <w:p w14:paraId="0E19FF92" w14:textId="6A2FDCA8" w:rsidR="003E3FB4" w:rsidRDefault="00385ED0">
      <w:pPr>
        <w:tabs>
          <w:tab w:val="left" w:pos="3309"/>
        </w:tabs>
        <w:spacing w:after="120" w:line="360" w:lineRule="auto"/>
        <w:jc w:val="both"/>
        <w:rPr>
          <w:rFonts w:asciiTheme="majorBidi" w:hAnsiTheme="majorBidi" w:cstheme="majorBidi"/>
          <w:i/>
          <w:iCs/>
          <w:sz w:val="24"/>
          <w:szCs w:val="24"/>
        </w:rPr>
      </w:pPr>
      <w:r>
        <w:rPr>
          <w:rFonts w:asciiTheme="majorBidi" w:hAnsiTheme="majorBidi" w:cstheme="majorBidi"/>
          <w:b/>
          <w:bCs/>
          <w:sz w:val="24"/>
          <w:szCs w:val="24"/>
        </w:rPr>
        <w:t>Figure III.12.</w:t>
      </w:r>
      <w:r>
        <w:rPr>
          <w:rFonts w:asciiTheme="majorBidi" w:hAnsiTheme="majorBidi" w:cstheme="majorBidi"/>
          <w:sz w:val="24"/>
          <w:szCs w:val="24"/>
        </w:rPr>
        <w:t xml:space="preserve"> Effet des extraits des graines de fenugrec sur la souche fongique </w:t>
      </w:r>
      <w:r>
        <w:rPr>
          <w:rFonts w:asciiTheme="majorBidi" w:hAnsiTheme="majorBidi" w:cstheme="majorBidi"/>
          <w:i/>
          <w:iCs/>
          <w:sz w:val="24"/>
          <w:szCs w:val="24"/>
        </w:rPr>
        <w:t>Botrytis cinerea ………………………………………………………………………………………………5</w:t>
      </w:r>
      <w:r w:rsidR="00751BDB">
        <w:rPr>
          <w:rFonts w:asciiTheme="majorBidi" w:hAnsiTheme="majorBidi" w:cstheme="majorBidi"/>
          <w:i/>
          <w:iCs/>
          <w:sz w:val="24"/>
          <w:szCs w:val="24"/>
        </w:rPr>
        <w:t>8</w:t>
      </w:r>
    </w:p>
    <w:p w14:paraId="166E31F9" w14:textId="03C74729" w:rsidR="003E3FB4" w:rsidRDefault="00385ED0">
      <w:pPr>
        <w:tabs>
          <w:tab w:val="left" w:pos="3309"/>
        </w:tabs>
        <w:spacing w:after="120" w:line="360" w:lineRule="auto"/>
        <w:jc w:val="both"/>
        <w:rPr>
          <w:rFonts w:asciiTheme="majorBidi" w:hAnsiTheme="majorBidi" w:cstheme="majorBidi"/>
          <w:i/>
          <w:iCs/>
          <w:sz w:val="24"/>
          <w:szCs w:val="24"/>
        </w:rPr>
      </w:pPr>
      <w:r>
        <w:rPr>
          <w:rFonts w:asciiTheme="majorBidi" w:hAnsiTheme="majorBidi" w:cstheme="majorBidi"/>
          <w:b/>
          <w:bCs/>
          <w:sz w:val="24"/>
          <w:szCs w:val="24"/>
        </w:rPr>
        <w:t>Figure III.13.</w:t>
      </w:r>
      <w:r>
        <w:rPr>
          <w:rFonts w:asciiTheme="majorBidi" w:hAnsiTheme="majorBidi" w:cstheme="majorBidi"/>
          <w:sz w:val="24"/>
          <w:szCs w:val="24"/>
        </w:rPr>
        <w:t xml:space="preserve"> Effet des extraits des graines de fenugrec sur la souche fongique </w:t>
      </w:r>
      <w:r>
        <w:rPr>
          <w:rFonts w:asciiTheme="majorBidi" w:hAnsiTheme="majorBidi" w:cstheme="majorBidi"/>
          <w:i/>
          <w:iCs/>
          <w:sz w:val="24"/>
          <w:szCs w:val="24"/>
        </w:rPr>
        <w:t>Colletotricum sp……………………………………………………………………………………</w:t>
      </w:r>
      <w:r w:rsidR="00751BDB">
        <w:rPr>
          <w:rFonts w:asciiTheme="majorBidi" w:hAnsiTheme="majorBidi" w:cstheme="majorBidi"/>
          <w:i/>
          <w:iCs/>
          <w:sz w:val="24"/>
          <w:szCs w:val="24"/>
        </w:rPr>
        <w:t>59</w:t>
      </w:r>
    </w:p>
    <w:p w14:paraId="1C7FDE33" w14:textId="77777777" w:rsidR="003E3FB4" w:rsidRDefault="00385ED0">
      <w:pPr>
        <w:tabs>
          <w:tab w:val="left" w:pos="3309"/>
        </w:tabs>
        <w:spacing w:after="120" w:line="360" w:lineRule="auto"/>
        <w:jc w:val="both"/>
        <w:rPr>
          <w:rFonts w:asciiTheme="majorBidi" w:hAnsiTheme="majorBidi" w:cstheme="majorBidi"/>
          <w:sz w:val="24"/>
          <w:szCs w:val="24"/>
        </w:rPr>
      </w:pPr>
      <w:r>
        <w:rPr>
          <w:rFonts w:asciiTheme="majorBidi" w:hAnsiTheme="majorBidi" w:cstheme="majorBidi"/>
          <w:b/>
          <w:bCs/>
          <w:sz w:val="24"/>
          <w:szCs w:val="24"/>
        </w:rPr>
        <w:t>Figure III.14.</w:t>
      </w:r>
      <w:r>
        <w:rPr>
          <w:rFonts w:asciiTheme="majorBidi" w:hAnsiTheme="majorBidi" w:cstheme="majorBidi"/>
          <w:sz w:val="24"/>
          <w:szCs w:val="24"/>
        </w:rPr>
        <w:t xml:space="preserve"> Effet des extraits des graines de fenugrec sur la souche fongique </w:t>
      </w:r>
      <w:r w:rsidRPr="007316EC">
        <w:rPr>
          <w:rFonts w:asciiTheme="majorBidi" w:hAnsiTheme="majorBidi" w:cstheme="majorBidi"/>
          <w:i/>
          <w:iCs/>
          <w:sz w:val="24"/>
          <w:szCs w:val="24"/>
        </w:rPr>
        <w:t xml:space="preserve">Monilia </w:t>
      </w:r>
      <w:r>
        <w:rPr>
          <w:rFonts w:asciiTheme="majorBidi" w:hAnsiTheme="majorBidi" w:cstheme="majorBidi"/>
          <w:sz w:val="24"/>
          <w:szCs w:val="24"/>
        </w:rPr>
        <w:t>sp…………………………………………………………………………………………. 61</w:t>
      </w:r>
    </w:p>
    <w:p w14:paraId="707BFB9A" w14:textId="77777777" w:rsidR="003E3FB4" w:rsidRDefault="003E3FB4">
      <w:pPr>
        <w:spacing w:after="120" w:line="360" w:lineRule="auto"/>
        <w:jc w:val="both"/>
        <w:rPr>
          <w:rFonts w:ascii="Times New Roman" w:hAnsi="Times New Roman" w:cs="Times New Roman"/>
          <w:b/>
          <w:sz w:val="28"/>
          <w:szCs w:val="28"/>
        </w:rPr>
      </w:pPr>
    </w:p>
    <w:p w14:paraId="5F70422C" w14:textId="77777777" w:rsidR="003E3FB4" w:rsidRDefault="003E3FB4">
      <w:pPr>
        <w:jc w:val="center"/>
        <w:rPr>
          <w:rFonts w:ascii="Times New Roman" w:hAnsi="Times New Roman" w:cs="Times New Roman"/>
          <w:b/>
          <w:sz w:val="28"/>
          <w:szCs w:val="28"/>
        </w:rPr>
      </w:pPr>
    </w:p>
    <w:p w14:paraId="70A77C4E" w14:textId="77777777" w:rsidR="003E3FB4" w:rsidRDefault="003E3FB4">
      <w:pPr>
        <w:jc w:val="center"/>
        <w:rPr>
          <w:rFonts w:ascii="Times New Roman" w:hAnsi="Times New Roman" w:cs="Times New Roman"/>
          <w:b/>
          <w:sz w:val="28"/>
          <w:szCs w:val="28"/>
        </w:rPr>
      </w:pPr>
    </w:p>
    <w:p w14:paraId="6458B2DF" w14:textId="77777777" w:rsidR="003E3FB4" w:rsidRDefault="003E3FB4">
      <w:pPr>
        <w:jc w:val="center"/>
        <w:rPr>
          <w:rFonts w:ascii="Times New Roman" w:hAnsi="Times New Roman" w:cs="Times New Roman"/>
          <w:b/>
          <w:sz w:val="28"/>
          <w:szCs w:val="28"/>
        </w:rPr>
      </w:pPr>
    </w:p>
    <w:p w14:paraId="39D2FCA3" w14:textId="77777777" w:rsidR="003E3FB4" w:rsidRDefault="003E3FB4">
      <w:pPr>
        <w:jc w:val="center"/>
        <w:rPr>
          <w:rFonts w:ascii="Times New Roman" w:hAnsi="Times New Roman" w:cs="Times New Roman"/>
          <w:b/>
          <w:sz w:val="28"/>
          <w:szCs w:val="28"/>
        </w:rPr>
      </w:pPr>
    </w:p>
    <w:p w14:paraId="6E32DB12" w14:textId="77777777" w:rsidR="003E3FB4" w:rsidRDefault="003E3FB4">
      <w:pPr>
        <w:jc w:val="center"/>
        <w:rPr>
          <w:rFonts w:ascii="Times New Roman" w:hAnsi="Times New Roman" w:cs="Times New Roman"/>
          <w:b/>
          <w:sz w:val="28"/>
          <w:szCs w:val="28"/>
        </w:rPr>
      </w:pPr>
    </w:p>
    <w:p w14:paraId="300B23EC" w14:textId="77777777" w:rsidR="003E3FB4" w:rsidRDefault="003E3FB4">
      <w:pPr>
        <w:jc w:val="center"/>
        <w:rPr>
          <w:rFonts w:ascii="Times New Roman" w:hAnsi="Times New Roman" w:cs="Times New Roman"/>
          <w:b/>
          <w:sz w:val="28"/>
          <w:szCs w:val="28"/>
        </w:rPr>
      </w:pPr>
    </w:p>
    <w:p w14:paraId="366DDB3E" w14:textId="77777777" w:rsidR="003E3FB4" w:rsidRDefault="003E3FB4">
      <w:pPr>
        <w:rPr>
          <w:rFonts w:ascii="Times New Roman" w:hAnsi="Times New Roman" w:cs="Times New Roman"/>
          <w:b/>
          <w:sz w:val="28"/>
          <w:szCs w:val="28"/>
        </w:rPr>
      </w:pPr>
    </w:p>
    <w:p w14:paraId="2F80B071" w14:textId="77777777" w:rsidR="003E3FB4" w:rsidRDefault="003E3FB4">
      <w:pPr>
        <w:rPr>
          <w:rFonts w:ascii="Times New Roman" w:hAnsi="Times New Roman" w:cs="Times New Roman"/>
          <w:b/>
          <w:sz w:val="28"/>
          <w:szCs w:val="28"/>
        </w:rPr>
      </w:pPr>
    </w:p>
    <w:p w14:paraId="76FDAD7F" w14:textId="72FC689F" w:rsidR="003E3FB4" w:rsidRDefault="003E3FB4">
      <w:pPr>
        <w:jc w:val="center"/>
        <w:rPr>
          <w:rFonts w:ascii="Times New Roman" w:hAnsi="Times New Roman" w:cs="Times New Roman"/>
          <w:b/>
          <w:sz w:val="28"/>
          <w:szCs w:val="28"/>
        </w:rPr>
      </w:pPr>
    </w:p>
    <w:p w14:paraId="58468A94" w14:textId="253F427C" w:rsidR="005F518F" w:rsidRDefault="005F518F">
      <w:pPr>
        <w:jc w:val="center"/>
        <w:rPr>
          <w:rFonts w:ascii="Times New Roman" w:hAnsi="Times New Roman" w:cs="Times New Roman"/>
          <w:b/>
          <w:sz w:val="28"/>
          <w:szCs w:val="28"/>
        </w:rPr>
      </w:pPr>
    </w:p>
    <w:p w14:paraId="06E6460C" w14:textId="4B19FA46" w:rsidR="005F518F" w:rsidRDefault="005F518F">
      <w:pPr>
        <w:jc w:val="center"/>
        <w:rPr>
          <w:rFonts w:ascii="Times New Roman" w:hAnsi="Times New Roman" w:cs="Times New Roman"/>
          <w:b/>
          <w:sz w:val="28"/>
          <w:szCs w:val="28"/>
        </w:rPr>
      </w:pPr>
    </w:p>
    <w:p w14:paraId="3EA326F2" w14:textId="77777777" w:rsidR="005F518F" w:rsidRDefault="005F518F">
      <w:pPr>
        <w:jc w:val="center"/>
        <w:rPr>
          <w:rFonts w:ascii="Times New Roman" w:hAnsi="Times New Roman" w:cs="Times New Roman"/>
          <w:b/>
          <w:sz w:val="28"/>
          <w:szCs w:val="28"/>
        </w:rPr>
      </w:pPr>
    </w:p>
    <w:p w14:paraId="00D82CAA" w14:textId="0CAD329B" w:rsidR="003E3FB4" w:rsidRDefault="00385ED0" w:rsidP="007316EC">
      <w:pPr>
        <w:jc w:val="center"/>
        <w:rPr>
          <w:rFonts w:ascii="Times New Roman" w:hAnsi="Times New Roman" w:cs="Times New Roman"/>
          <w:b/>
          <w:sz w:val="28"/>
          <w:szCs w:val="28"/>
        </w:rPr>
      </w:pPr>
      <w:r>
        <w:rPr>
          <w:rFonts w:ascii="Times New Roman" w:hAnsi="Times New Roman" w:cs="Times New Roman"/>
          <w:b/>
          <w:sz w:val="28"/>
          <w:szCs w:val="28"/>
        </w:rPr>
        <w:lastRenderedPageBreak/>
        <w:t>Liste des tableaux</w:t>
      </w:r>
    </w:p>
    <w:tbl>
      <w:tblPr>
        <w:tblpPr w:leftFromText="141" w:rightFromText="141" w:vertAnchor="text" w:tblpX="-426" w:tblpY="105"/>
        <w:tblW w:w="9137" w:type="dxa"/>
        <w:tblLayout w:type="fixed"/>
        <w:tblCellMar>
          <w:left w:w="70" w:type="dxa"/>
          <w:right w:w="70" w:type="dxa"/>
        </w:tblCellMar>
        <w:tblLook w:val="04A0" w:firstRow="1" w:lastRow="0" w:firstColumn="1" w:lastColumn="0" w:noHBand="0" w:noVBand="1"/>
      </w:tblPr>
      <w:tblGrid>
        <w:gridCol w:w="1739"/>
        <w:gridCol w:w="7398"/>
      </w:tblGrid>
      <w:tr w:rsidR="003E3FB4" w14:paraId="6126EC19" w14:textId="77777777" w:rsidTr="004A3F2A">
        <w:trPr>
          <w:trHeight w:val="331"/>
        </w:trPr>
        <w:tc>
          <w:tcPr>
            <w:tcW w:w="1739" w:type="dxa"/>
          </w:tcPr>
          <w:p w14:paraId="0036190E" w14:textId="77777777" w:rsidR="003E3FB4" w:rsidRDefault="00385ED0" w:rsidP="004A3F2A">
            <w:r>
              <w:rPr>
                <w:rFonts w:asciiTheme="majorBidi" w:hAnsiTheme="majorBidi" w:cstheme="majorBidi"/>
                <w:b/>
                <w:bCs/>
                <w:sz w:val="24"/>
                <w:szCs w:val="24"/>
                <w:lang w:bidi="ar-DZ"/>
              </w:rPr>
              <w:t>Tableau I.1</w:t>
            </w:r>
          </w:p>
        </w:tc>
        <w:tc>
          <w:tcPr>
            <w:tcW w:w="7398" w:type="dxa"/>
          </w:tcPr>
          <w:p w14:paraId="366BD068" w14:textId="77777777" w:rsidR="003E3FB4" w:rsidRDefault="00385ED0" w:rsidP="004A3F2A">
            <w:pPr>
              <w:tabs>
                <w:tab w:val="left" w:pos="6173"/>
              </w:tabs>
              <w:spacing w:line="276" w:lineRule="auto"/>
              <w:jc w:val="both"/>
            </w:pPr>
            <w:r>
              <w:rPr>
                <w:rFonts w:asciiTheme="majorBidi" w:hAnsiTheme="majorBidi" w:cstheme="majorBidi"/>
                <w:sz w:val="24"/>
                <w:szCs w:val="24"/>
                <w:lang w:bidi="ar-DZ"/>
              </w:rPr>
              <w:t>Noms communs de fenugrec (</w:t>
            </w:r>
            <w:r>
              <w:rPr>
                <w:rFonts w:asciiTheme="majorBidi" w:hAnsiTheme="majorBidi" w:cstheme="majorBidi"/>
                <w:i/>
                <w:iCs/>
                <w:sz w:val="24"/>
                <w:szCs w:val="24"/>
                <w:lang w:bidi="ar-DZ"/>
              </w:rPr>
              <w:t>Trigonella foenum- graecum</w:t>
            </w:r>
            <w:r>
              <w:rPr>
                <w:rFonts w:asciiTheme="majorBidi" w:hAnsiTheme="majorBidi" w:cstheme="majorBidi"/>
                <w:sz w:val="24"/>
                <w:szCs w:val="24"/>
                <w:lang w:bidi="ar-DZ"/>
              </w:rPr>
              <w:t xml:space="preserve"> L.) ………… 6</w:t>
            </w:r>
          </w:p>
        </w:tc>
      </w:tr>
      <w:tr w:rsidR="003E3FB4" w14:paraId="13AFC53F" w14:textId="77777777" w:rsidTr="004A3F2A">
        <w:trPr>
          <w:trHeight w:val="798"/>
        </w:trPr>
        <w:tc>
          <w:tcPr>
            <w:tcW w:w="1739" w:type="dxa"/>
          </w:tcPr>
          <w:p w14:paraId="2D3C6602" w14:textId="77777777" w:rsidR="003E3FB4" w:rsidRDefault="00385ED0" w:rsidP="004A3F2A">
            <w:pPr>
              <w:rPr>
                <w:rFonts w:asciiTheme="majorBidi" w:hAnsiTheme="majorBidi" w:cstheme="majorBidi"/>
                <w:b/>
                <w:bCs/>
                <w:sz w:val="24"/>
                <w:szCs w:val="24"/>
                <w:lang w:bidi="ar-DZ"/>
              </w:rPr>
            </w:pPr>
            <w:r>
              <w:rPr>
                <w:rFonts w:asciiTheme="majorBidi" w:hAnsiTheme="majorBidi" w:cstheme="majorBidi"/>
                <w:b/>
                <w:bCs/>
                <w:sz w:val="24"/>
                <w:szCs w:val="24"/>
              </w:rPr>
              <w:t>Tableau II.1</w:t>
            </w:r>
            <w:r>
              <w:rPr>
                <w:rFonts w:asciiTheme="majorBidi" w:hAnsiTheme="majorBidi" w:cstheme="majorBidi"/>
                <w:sz w:val="24"/>
                <w:szCs w:val="24"/>
              </w:rPr>
              <w:t xml:space="preserve">.  </w:t>
            </w:r>
          </w:p>
        </w:tc>
        <w:tc>
          <w:tcPr>
            <w:tcW w:w="7398" w:type="dxa"/>
          </w:tcPr>
          <w:p w14:paraId="012215ED" w14:textId="6B7B2B43" w:rsidR="003E3FB4" w:rsidRDefault="00385ED0" w:rsidP="004A3F2A">
            <w:pPr>
              <w:spacing w:line="276" w:lineRule="auto"/>
              <w:jc w:val="both"/>
              <w:rPr>
                <w:rFonts w:asciiTheme="majorBidi" w:hAnsiTheme="majorBidi" w:cstheme="majorBidi"/>
                <w:b/>
                <w:bCs/>
                <w:sz w:val="24"/>
                <w:szCs w:val="24"/>
                <w:lang w:bidi="ar-DZ"/>
              </w:rPr>
            </w:pPr>
            <w:r>
              <w:rPr>
                <w:rFonts w:asciiTheme="majorBidi" w:hAnsiTheme="majorBidi" w:cstheme="majorBidi"/>
                <w:sz w:val="24"/>
                <w:szCs w:val="24"/>
              </w:rPr>
              <w:t xml:space="preserve"> Souches bactériennes utilisées pour l’évaluation de l’activité antimicrobienne…………………………………………………………</w:t>
            </w:r>
            <w:r w:rsidR="007316EC">
              <w:rPr>
                <w:rFonts w:asciiTheme="majorBidi" w:hAnsiTheme="majorBidi" w:cstheme="majorBidi"/>
                <w:sz w:val="24"/>
                <w:szCs w:val="24"/>
              </w:rPr>
              <w:t>.</w:t>
            </w:r>
            <w:r>
              <w:rPr>
                <w:rFonts w:asciiTheme="majorBidi" w:hAnsiTheme="majorBidi" w:cstheme="majorBidi"/>
                <w:sz w:val="24"/>
                <w:szCs w:val="24"/>
              </w:rPr>
              <w:t xml:space="preserve">  22</w:t>
            </w:r>
          </w:p>
        </w:tc>
      </w:tr>
      <w:tr w:rsidR="003E3FB4" w14:paraId="2DC8B658" w14:textId="77777777" w:rsidTr="004A3F2A">
        <w:trPr>
          <w:trHeight w:val="651"/>
        </w:trPr>
        <w:tc>
          <w:tcPr>
            <w:tcW w:w="1739" w:type="dxa"/>
          </w:tcPr>
          <w:p w14:paraId="592EB271" w14:textId="77777777" w:rsidR="003E3FB4" w:rsidRDefault="00385ED0" w:rsidP="004A3F2A">
            <w:pPr>
              <w:rPr>
                <w:rFonts w:asciiTheme="majorBidi" w:hAnsiTheme="majorBidi" w:cstheme="majorBidi"/>
                <w:b/>
                <w:bCs/>
                <w:sz w:val="24"/>
                <w:szCs w:val="24"/>
                <w:lang w:bidi="ar-DZ"/>
              </w:rPr>
            </w:pPr>
            <w:r>
              <w:rPr>
                <w:rFonts w:asciiTheme="majorBidi" w:hAnsiTheme="majorBidi" w:cstheme="majorBidi"/>
                <w:b/>
                <w:bCs/>
                <w:sz w:val="24"/>
                <w:szCs w:val="24"/>
              </w:rPr>
              <w:t>Tableau II.2.</w:t>
            </w:r>
          </w:p>
        </w:tc>
        <w:tc>
          <w:tcPr>
            <w:tcW w:w="7398" w:type="dxa"/>
          </w:tcPr>
          <w:p w14:paraId="6F807300" w14:textId="77777777" w:rsidR="003E3FB4" w:rsidRDefault="00385ED0" w:rsidP="004A3F2A">
            <w:pPr>
              <w:spacing w:after="180" w:line="276" w:lineRule="auto"/>
              <w:jc w:val="both"/>
              <w:rPr>
                <w:rFonts w:asciiTheme="majorBidi" w:hAnsiTheme="majorBidi" w:cstheme="majorBidi"/>
                <w:b/>
                <w:bCs/>
                <w:sz w:val="24"/>
                <w:szCs w:val="24"/>
                <w:lang w:bidi="ar-DZ"/>
              </w:rPr>
            </w:pPr>
            <w:r>
              <w:rPr>
                <w:rFonts w:asciiTheme="majorBidi" w:hAnsiTheme="majorBidi" w:cstheme="majorBidi"/>
                <w:sz w:val="24"/>
                <w:szCs w:val="24"/>
              </w:rPr>
              <w:t>Caractéristiques et origine des souches fongiques testée…………………23</w:t>
            </w:r>
          </w:p>
        </w:tc>
      </w:tr>
      <w:tr w:rsidR="003E3FB4" w14:paraId="2D1015C7" w14:textId="77777777" w:rsidTr="004A3F2A">
        <w:trPr>
          <w:trHeight w:val="311"/>
        </w:trPr>
        <w:tc>
          <w:tcPr>
            <w:tcW w:w="1739" w:type="dxa"/>
          </w:tcPr>
          <w:p w14:paraId="080824D0" w14:textId="77777777" w:rsidR="003E3FB4" w:rsidRDefault="00385ED0" w:rsidP="004A3F2A">
            <w:pPr>
              <w:rPr>
                <w:rFonts w:asciiTheme="majorBidi" w:hAnsiTheme="majorBidi" w:cstheme="majorBidi"/>
                <w:b/>
                <w:bCs/>
                <w:sz w:val="24"/>
                <w:szCs w:val="24"/>
                <w:lang w:bidi="ar-DZ"/>
              </w:rPr>
            </w:pPr>
            <w:r>
              <w:rPr>
                <w:rFonts w:asciiTheme="majorBidi" w:hAnsiTheme="majorBidi" w:cstheme="majorBidi"/>
                <w:b/>
                <w:bCs/>
                <w:sz w:val="24"/>
                <w:szCs w:val="24"/>
              </w:rPr>
              <w:t>Tableau II.3.</w:t>
            </w:r>
          </w:p>
        </w:tc>
        <w:tc>
          <w:tcPr>
            <w:tcW w:w="7398" w:type="dxa"/>
          </w:tcPr>
          <w:p w14:paraId="3B79070B" w14:textId="01321B6E" w:rsidR="003E3FB4" w:rsidRDefault="00385ED0" w:rsidP="004A3F2A">
            <w:pPr>
              <w:spacing w:line="276" w:lineRule="auto"/>
              <w:jc w:val="both"/>
              <w:rPr>
                <w:rFonts w:asciiTheme="majorBidi" w:hAnsiTheme="majorBidi" w:cstheme="majorBidi"/>
                <w:b/>
                <w:bCs/>
                <w:sz w:val="24"/>
                <w:szCs w:val="24"/>
                <w:lang w:bidi="ar-DZ"/>
              </w:rPr>
            </w:pPr>
            <w:r>
              <w:rPr>
                <w:rFonts w:asciiTheme="majorBidi" w:eastAsia="Calibri" w:hAnsiTheme="majorBidi" w:cstheme="majorBidi"/>
                <w:sz w:val="24"/>
                <w:szCs w:val="24"/>
              </w:rPr>
              <w:t>Liste des antibiotiques testés pour chaque colonie bactérienne…………</w:t>
            </w:r>
            <w:r w:rsidR="007316EC">
              <w:rPr>
                <w:rFonts w:asciiTheme="majorBidi" w:eastAsia="Calibri" w:hAnsiTheme="majorBidi" w:cstheme="majorBidi"/>
                <w:sz w:val="24"/>
                <w:szCs w:val="24"/>
              </w:rPr>
              <w:t>.</w:t>
            </w:r>
            <w:r>
              <w:rPr>
                <w:rFonts w:asciiTheme="majorBidi" w:eastAsia="Calibri" w:hAnsiTheme="majorBidi" w:cstheme="majorBidi"/>
                <w:sz w:val="24"/>
                <w:szCs w:val="24"/>
              </w:rPr>
              <w:t xml:space="preserve"> 3</w:t>
            </w:r>
            <w:r w:rsidR="005124AC">
              <w:rPr>
                <w:rFonts w:asciiTheme="majorBidi" w:eastAsia="Calibri" w:hAnsiTheme="majorBidi" w:cstheme="majorBidi"/>
                <w:sz w:val="24"/>
                <w:szCs w:val="24"/>
              </w:rPr>
              <w:t>2</w:t>
            </w:r>
          </w:p>
        </w:tc>
      </w:tr>
      <w:tr w:rsidR="003E3FB4" w14:paraId="17DC5F63" w14:textId="77777777" w:rsidTr="004A3F2A">
        <w:trPr>
          <w:trHeight w:val="370"/>
        </w:trPr>
        <w:tc>
          <w:tcPr>
            <w:tcW w:w="1739" w:type="dxa"/>
          </w:tcPr>
          <w:p w14:paraId="5D203288" w14:textId="77777777" w:rsidR="003E3FB4" w:rsidRDefault="00385ED0" w:rsidP="004A3F2A">
            <w:pPr>
              <w:rPr>
                <w:rFonts w:asciiTheme="majorBidi" w:hAnsiTheme="majorBidi" w:cstheme="majorBidi"/>
                <w:b/>
                <w:bCs/>
                <w:sz w:val="24"/>
                <w:szCs w:val="24"/>
                <w:lang w:bidi="ar-DZ"/>
              </w:rPr>
            </w:pPr>
            <w:r>
              <w:rPr>
                <w:rFonts w:asciiTheme="majorBidi" w:eastAsia="Calibri" w:hAnsiTheme="majorBidi" w:cstheme="majorBidi"/>
                <w:b/>
                <w:bCs/>
                <w:color w:val="000000" w:themeColor="text1"/>
                <w:sz w:val="24"/>
                <w:szCs w:val="24"/>
              </w:rPr>
              <w:t>Tableau II.4.</w:t>
            </w:r>
            <w:r>
              <w:rPr>
                <w:rFonts w:asciiTheme="majorBidi" w:eastAsia="Calibri" w:hAnsiTheme="majorBidi" w:cstheme="majorBidi"/>
                <w:color w:val="000000" w:themeColor="text1"/>
                <w:sz w:val="24"/>
                <w:szCs w:val="24"/>
              </w:rPr>
              <w:t xml:space="preserve"> </w:t>
            </w:r>
          </w:p>
        </w:tc>
        <w:tc>
          <w:tcPr>
            <w:tcW w:w="7398" w:type="dxa"/>
          </w:tcPr>
          <w:p w14:paraId="373F70EF" w14:textId="5D53DC38" w:rsidR="003E3FB4" w:rsidRDefault="00385ED0" w:rsidP="004A3F2A">
            <w:pPr>
              <w:spacing w:line="276" w:lineRule="auto"/>
              <w:jc w:val="both"/>
              <w:rPr>
                <w:rFonts w:asciiTheme="majorBidi" w:hAnsiTheme="majorBidi" w:cstheme="majorBidi"/>
                <w:b/>
                <w:bCs/>
                <w:sz w:val="24"/>
                <w:szCs w:val="24"/>
              </w:rPr>
            </w:pPr>
            <w:r>
              <w:rPr>
                <w:rFonts w:asciiTheme="majorBidi" w:hAnsiTheme="majorBidi" w:cstheme="majorBidi"/>
                <w:color w:val="000000" w:themeColor="text1"/>
                <w:sz w:val="24"/>
                <w:szCs w:val="24"/>
              </w:rPr>
              <w:t>Sensibilité et degré d’activité selon le diamètre d’inhibition……………</w:t>
            </w:r>
            <w:r w:rsidR="007316EC">
              <w:rPr>
                <w:rFonts w:asciiTheme="majorBidi" w:hAnsiTheme="majorBidi" w:cstheme="majorBidi"/>
                <w:color w:val="000000" w:themeColor="text1"/>
                <w:sz w:val="24"/>
                <w:szCs w:val="24"/>
              </w:rPr>
              <w:t>.</w:t>
            </w:r>
            <w:r>
              <w:rPr>
                <w:rFonts w:asciiTheme="majorBidi" w:hAnsiTheme="majorBidi" w:cstheme="majorBidi"/>
                <w:color w:val="000000" w:themeColor="text1"/>
                <w:sz w:val="24"/>
                <w:szCs w:val="24"/>
              </w:rPr>
              <w:t xml:space="preserve"> 3</w:t>
            </w:r>
            <w:r w:rsidR="005124AC">
              <w:rPr>
                <w:rFonts w:asciiTheme="majorBidi" w:hAnsiTheme="majorBidi" w:cstheme="majorBidi"/>
                <w:color w:val="000000" w:themeColor="text1"/>
                <w:sz w:val="24"/>
                <w:szCs w:val="24"/>
              </w:rPr>
              <w:t>3</w:t>
            </w:r>
          </w:p>
        </w:tc>
      </w:tr>
      <w:tr w:rsidR="003E3FB4" w14:paraId="76358DB1" w14:textId="77777777" w:rsidTr="004A3F2A">
        <w:trPr>
          <w:trHeight w:val="759"/>
        </w:trPr>
        <w:tc>
          <w:tcPr>
            <w:tcW w:w="1739" w:type="dxa"/>
          </w:tcPr>
          <w:p w14:paraId="7C441547" w14:textId="77777777" w:rsidR="003E3FB4" w:rsidRDefault="00385ED0" w:rsidP="004A3F2A">
            <w:pPr>
              <w:rPr>
                <w:rFonts w:asciiTheme="majorBidi" w:hAnsiTheme="majorBidi" w:cstheme="majorBidi"/>
                <w:b/>
                <w:bCs/>
                <w:sz w:val="24"/>
                <w:szCs w:val="24"/>
                <w:lang w:bidi="ar-DZ"/>
              </w:rPr>
            </w:pPr>
            <w:r>
              <w:rPr>
                <w:rFonts w:asciiTheme="majorBidi" w:hAnsiTheme="majorBidi" w:cstheme="majorBidi"/>
                <w:b/>
                <w:bCs/>
                <w:sz w:val="24"/>
                <w:szCs w:val="24"/>
              </w:rPr>
              <w:t>Tableau III.1.</w:t>
            </w:r>
          </w:p>
        </w:tc>
        <w:tc>
          <w:tcPr>
            <w:tcW w:w="7398" w:type="dxa"/>
          </w:tcPr>
          <w:p w14:paraId="5AF14D76" w14:textId="77777777" w:rsidR="003E3FB4" w:rsidRDefault="00385ED0" w:rsidP="004A3F2A">
            <w:pPr>
              <w:spacing w:line="276" w:lineRule="auto"/>
              <w:jc w:val="both"/>
              <w:rPr>
                <w:rFonts w:asciiTheme="majorBidi" w:eastAsia="Calibri" w:hAnsiTheme="majorBidi" w:cstheme="majorBidi"/>
                <w:b/>
                <w:bCs/>
                <w:color w:val="000000" w:themeColor="text1"/>
                <w:sz w:val="24"/>
                <w:szCs w:val="24"/>
              </w:rPr>
            </w:pPr>
            <w:r>
              <w:rPr>
                <w:rFonts w:asciiTheme="majorBidi" w:hAnsiTheme="majorBidi" w:cstheme="majorBidi"/>
                <w:sz w:val="24"/>
                <w:szCs w:val="24"/>
              </w:rPr>
              <w:t xml:space="preserve"> Criblage phytochimique des graines de </w:t>
            </w:r>
            <w:r>
              <w:rPr>
                <w:rFonts w:asciiTheme="majorBidi" w:hAnsiTheme="majorBidi" w:cstheme="majorBidi"/>
                <w:i/>
                <w:iCs/>
                <w:sz w:val="24"/>
                <w:szCs w:val="24"/>
              </w:rPr>
              <w:t>Trigonella foenum-graecum</w:t>
            </w:r>
            <w:r>
              <w:rPr>
                <w:rFonts w:asciiTheme="majorBidi" w:hAnsiTheme="majorBidi" w:cstheme="majorBidi"/>
                <w:sz w:val="24"/>
                <w:szCs w:val="24"/>
              </w:rPr>
              <w:t xml:space="preserve"> L…39</w:t>
            </w:r>
          </w:p>
        </w:tc>
      </w:tr>
      <w:tr w:rsidR="003E3FB4" w14:paraId="66750C64" w14:textId="77777777" w:rsidTr="004A3F2A">
        <w:trPr>
          <w:trHeight w:val="731"/>
        </w:trPr>
        <w:tc>
          <w:tcPr>
            <w:tcW w:w="1739" w:type="dxa"/>
          </w:tcPr>
          <w:p w14:paraId="7F89B9BB" w14:textId="77777777" w:rsidR="003E3FB4" w:rsidRDefault="00385ED0" w:rsidP="004A3F2A">
            <w:pPr>
              <w:rPr>
                <w:rFonts w:asciiTheme="majorBidi" w:hAnsiTheme="majorBidi" w:cstheme="majorBidi"/>
                <w:b/>
                <w:bCs/>
                <w:sz w:val="24"/>
                <w:szCs w:val="24"/>
                <w:lang w:bidi="ar-DZ"/>
              </w:rPr>
            </w:pPr>
            <w:r>
              <w:rPr>
                <w:rFonts w:asciiTheme="majorBidi" w:hAnsiTheme="majorBidi" w:cstheme="majorBidi"/>
                <w:b/>
                <w:bCs/>
                <w:sz w:val="24"/>
                <w:szCs w:val="24"/>
              </w:rPr>
              <w:t>Tableau III.2.</w:t>
            </w:r>
          </w:p>
        </w:tc>
        <w:tc>
          <w:tcPr>
            <w:tcW w:w="7398" w:type="dxa"/>
          </w:tcPr>
          <w:p w14:paraId="61A733A4" w14:textId="77777777" w:rsidR="003E3FB4" w:rsidRDefault="00385ED0" w:rsidP="004A3F2A">
            <w:pPr>
              <w:tabs>
                <w:tab w:val="left" w:pos="3656"/>
              </w:tabs>
              <w:spacing w:line="276" w:lineRule="auto"/>
              <w:jc w:val="both"/>
              <w:rPr>
                <w:rFonts w:asciiTheme="majorBidi" w:eastAsia="Calibri" w:hAnsiTheme="majorBidi" w:cstheme="majorBidi"/>
                <w:b/>
                <w:bCs/>
                <w:color w:val="000000" w:themeColor="text1"/>
                <w:sz w:val="24"/>
                <w:szCs w:val="24"/>
              </w:rPr>
            </w:pPr>
            <w:r>
              <w:rPr>
                <w:rFonts w:asciiTheme="majorBidi" w:hAnsiTheme="majorBidi" w:cstheme="majorBidi"/>
                <w:sz w:val="24"/>
                <w:szCs w:val="24"/>
              </w:rPr>
              <w:t>IC 50 de l’activité anti-radicalaire des différents types d’extrait…………………………………………………………………...46</w:t>
            </w:r>
          </w:p>
        </w:tc>
      </w:tr>
      <w:tr w:rsidR="003E3FB4" w14:paraId="4CFEDA93" w14:textId="77777777" w:rsidTr="004A3F2A">
        <w:trPr>
          <w:trHeight w:val="898"/>
        </w:trPr>
        <w:tc>
          <w:tcPr>
            <w:tcW w:w="1739" w:type="dxa"/>
          </w:tcPr>
          <w:p w14:paraId="33695529" w14:textId="77777777" w:rsidR="003E3FB4" w:rsidRDefault="00385ED0" w:rsidP="004A3F2A">
            <w:pPr>
              <w:rPr>
                <w:rFonts w:asciiTheme="majorBidi" w:hAnsiTheme="majorBidi" w:cstheme="majorBidi"/>
                <w:b/>
                <w:bCs/>
                <w:sz w:val="24"/>
                <w:szCs w:val="24"/>
                <w:lang w:bidi="ar-DZ"/>
              </w:rPr>
            </w:pPr>
            <w:r>
              <w:rPr>
                <w:rFonts w:asciiTheme="majorBidi" w:hAnsiTheme="majorBidi" w:cstheme="majorBidi"/>
                <w:b/>
                <w:bCs/>
                <w:sz w:val="24"/>
                <w:szCs w:val="24"/>
              </w:rPr>
              <w:t>Tableau III.3.</w:t>
            </w:r>
          </w:p>
        </w:tc>
        <w:tc>
          <w:tcPr>
            <w:tcW w:w="7398" w:type="dxa"/>
          </w:tcPr>
          <w:p w14:paraId="6AF4D0E5" w14:textId="77777777" w:rsidR="003E3FB4" w:rsidRDefault="00385ED0" w:rsidP="004A3F2A">
            <w:pPr>
              <w:tabs>
                <w:tab w:val="left" w:pos="3656"/>
              </w:tabs>
              <w:spacing w:line="276" w:lineRule="auto"/>
              <w:jc w:val="both"/>
              <w:rPr>
                <w:rFonts w:asciiTheme="majorBidi" w:eastAsia="Calibri" w:hAnsiTheme="majorBidi" w:cstheme="majorBidi"/>
                <w:b/>
                <w:bCs/>
                <w:color w:val="000000" w:themeColor="text1"/>
                <w:sz w:val="24"/>
                <w:szCs w:val="24"/>
              </w:rPr>
            </w:pPr>
            <w:r>
              <w:rPr>
                <w:rFonts w:asciiTheme="majorBidi" w:hAnsiTheme="majorBidi" w:cstheme="majorBidi"/>
                <w:sz w:val="24"/>
                <w:szCs w:val="24"/>
              </w:rPr>
              <w:t>Concentration inhibitrice IC50 (µg/ml) de test de réduction de fer FRAP……………………………………………………………………. 49</w:t>
            </w:r>
          </w:p>
        </w:tc>
      </w:tr>
      <w:tr w:rsidR="003E3FB4" w14:paraId="4D5D081F" w14:textId="77777777" w:rsidTr="004A3F2A">
        <w:trPr>
          <w:trHeight w:val="1109"/>
        </w:trPr>
        <w:tc>
          <w:tcPr>
            <w:tcW w:w="1739" w:type="dxa"/>
          </w:tcPr>
          <w:p w14:paraId="68141D21" w14:textId="77777777" w:rsidR="003E3FB4" w:rsidRDefault="00385ED0" w:rsidP="004A3F2A">
            <w:pPr>
              <w:rPr>
                <w:rFonts w:asciiTheme="majorBidi" w:hAnsiTheme="majorBidi" w:cstheme="majorBidi"/>
                <w:b/>
                <w:bCs/>
                <w:sz w:val="24"/>
                <w:szCs w:val="24"/>
                <w:lang w:bidi="ar-DZ"/>
              </w:rPr>
            </w:pPr>
            <w:r>
              <w:rPr>
                <w:rFonts w:asciiTheme="majorBidi" w:hAnsiTheme="majorBidi" w:cstheme="majorBidi"/>
                <w:b/>
                <w:bCs/>
                <w:sz w:val="24"/>
                <w:szCs w:val="24"/>
              </w:rPr>
              <w:t>Tableau III.4.</w:t>
            </w:r>
          </w:p>
        </w:tc>
        <w:tc>
          <w:tcPr>
            <w:tcW w:w="7398" w:type="dxa"/>
          </w:tcPr>
          <w:p w14:paraId="66AE721F" w14:textId="77777777" w:rsidR="003E3FB4" w:rsidRDefault="00385ED0" w:rsidP="004A3F2A">
            <w:pPr>
              <w:tabs>
                <w:tab w:val="left" w:pos="3656"/>
              </w:tabs>
              <w:spacing w:line="276" w:lineRule="auto"/>
              <w:jc w:val="both"/>
              <w:rPr>
                <w:rFonts w:asciiTheme="majorBidi" w:eastAsia="Calibri" w:hAnsiTheme="majorBidi" w:cstheme="majorBidi"/>
                <w:b/>
                <w:bCs/>
                <w:color w:val="000000" w:themeColor="text1"/>
                <w:sz w:val="24"/>
                <w:szCs w:val="24"/>
              </w:rPr>
            </w:pPr>
            <w:r>
              <w:rPr>
                <w:rFonts w:asciiTheme="majorBidi" w:hAnsiTheme="majorBidi" w:cstheme="majorBidi"/>
                <w:sz w:val="24"/>
                <w:szCs w:val="24"/>
              </w:rPr>
              <w:t xml:space="preserve">IC50 de pouvoir anti inflammatoire in </w:t>
            </w:r>
            <w:r>
              <w:rPr>
                <w:rFonts w:asciiTheme="majorBidi" w:hAnsiTheme="majorBidi" w:cstheme="majorBidi"/>
                <w:i/>
                <w:iCs/>
                <w:sz w:val="24"/>
                <w:szCs w:val="24"/>
              </w:rPr>
              <w:t>vitro</w:t>
            </w:r>
            <w:r>
              <w:rPr>
                <w:rFonts w:asciiTheme="majorBidi" w:hAnsiTheme="majorBidi" w:cstheme="majorBidi"/>
                <w:sz w:val="24"/>
                <w:szCs w:val="24"/>
              </w:rPr>
              <w:t xml:space="preserve"> de référence (Aspirine), de l’extrait aqueux et l’extrait éthanolique des graines de fenugrec…………………………… ……………………………………. 52</w:t>
            </w:r>
          </w:p>
        </w:tc>
      </w:tr>
      <w:tr w:rsidR="003E3FB4" w14:paraId="1CF1CD0E" w14:textId="77777777" w:rsidTr="004A3F2A">
        <w:trPr>
          <w:trHeight w:val="545"/>
        </w:trPr>
        <w:tc>
          <w:tcPr>
            <w:tcW w:w="1739" w:type="dxa"/>
          </w:tcPr>
          <w:p w14:paraId="050D6695" w14:textId="77777777" w:rsidR="003E3FB4" w:rsidRDefault="00385ED0" w:rsidP="004A3F2A">
            <w:pPr>
              <w:rPr>
                <w:rFonts w:asciiTheme="majorBidi" w:hAnsiTheme="majorBidi" w:cstheme="majorBidi"/>
                <w:b/>
                <w:bCs/>
                <w:sz w:val="24"/>
                <w:szCs w:val="24"/>
                <w:lang w:bidi="ar-DZ"/>
              </w:rPr>
            </w:pPr>
            <w:r>
              <w:rPr>
                <w:rFonts w:asciiTheme="majorBidi" w:hAnsiTheme="majorBidi" w:cstheme="majorBidi"/>
                <w:b/>
                <w:bCs/>
                <w:sz w:val="24"/>
                <w:szCs w:val="24"/>
              </w:rPr>
              <w:t>Tableau III.5</w:t>
            </w:r>
          </w:p>
        </w:tc>
        <w:tc>
          <w:tcPr>
            <w:tcW w:w="7398" w:type="dxa"/>
          </w:tcPr>
          <w:p w14:paraId="6E250305" w14:textId="77777777" w:rsidR="003E3FB4" w:rsidRDefault="00385ED0" w:rsidP="004A3F2A">
            <w:pPr>
              <w:tabs>
                <w:tab w:val="left" w:pos="3656"/>
              </w:tabs>
              <w:spacing w:line="276" w:lineRule="auto"/>
              <w:jc w:val="both"/>
              <w:rPr>
                <w:rFonts w:asciiTheme="majorBidi" w:eastAsia="Calibri" w:hAnsiTheme="majorBidi" w:cstheme="majorBidi"/>
                <w:b/>
                <w:bCs/>
                <w:color w:val="000000" w:themeColor="text1"/>
                <w:sz w:val="24"/>
                <w:szCs w:val="24"/>
              </w:rPr>
            </w:pPr>
            <w:r>
              <w:rPr>
                <w:rFonts w:asciiTheme="majorBidi" w:hAnsiTheme="majorBidi" w:cstheme="majorBidi"/>
                <w:sz w:val="24"/>
                <w:szCs w:val="24"/>
              </w:rPr>
              <w:t>Effet des extraits de fenugrec sur L’effet de l’extrait aqueux et éthanolique sur les bactéries de Gram + et Gram……………………. ……………….. 54</w:t>
            </w:r>
          </w:p>
        </w:tc>
      </w:tr>
      <w:tr w:rsidR="003E3FB4" w14:paraId="7F70B01C" w14:textId="77777777" w:rsidTr="004A3F2A">
        <w:trPr>
          <w:trHeight w:val="588"/>
        </w:trPr>
        <w:tc>
          <w:tcPr>
            <w:tcW w:w="1739" w:type="dxa"/>
          </w:tcPr>
          <w:p w14:paraId="03545DD8" w14:textId="77777777" w:rsidR="003E3FB4" w:rsidRDefault="00385ED0" w:rsidP="004A3F2A">
            <w:pPr>
              <w:rPr>
                <w:rFonts w:asciiTheme="majorBidi" w:hAnsiTheme="majorBidi" w:cstheme="majorBidi"/>
                <w:b/>
                <w:bCs/>
                <w:sz w:val="24"/>
                <w:szCs w:val="24"/>
                <w:lang w:bidi="ar-DZ"/>
              </w:rPr>
            </w:pPr>
            <w:r>
              <w:rPr>
                <w:rFonts w:asciiTheme="majorBidi" w:hAnsiTheme="majorBidi" w:cstheme="majorBidi"/>
                <w:b/>
                <w:bCs/>
                <w:sz w:val="24"/>
                <w:szCs w:val="24"/>
              </w:rPr>
              <w:t>Tableau III.6.</w:t>
            </w:r>
          </w:p>
        </w:tc>
        <w:tc>
          <w:tcPr>
            <w:tcW w:w="7398" w:type="dxa"/>
          </w:tcPr>
          <w:p w14:paraId="56A0CD15" w14:textId="77777777" w:rsidR="003E3FB4" w:rsidRDefault="00385ED0" w:rsidP="004A3F2A">
            <w:pPr>
              <w:spacing w:after="0" w:line="276" w:lineRule="auto"/>
              <w:jc w:val="both"/>
              <w:rPr>
                <w:rFonts w:asciiTheme="majorBidi" w:hAnsiTheme="majorBidi" w:cstheme="majorBidi"/>
                <w:i/>
                <w:iCs/>
                <w:sz w:val="24"/>
                <w:szCs w:val="24"/>
              </w:rPr>
            </w:pPr>
            <w:r>
              <w:rPr>
                <w:rFonts w:asciiTheme="majorBidi" w:hAnsiTheme="majorBidi" w:cstheme="majorBidi"/>
                <w:sz w:val="24"/>
                <w:szCs w:val="24"/>
              </w:rPr>
              <w:t xml:space="preserve">Effet des extraits des graines de fenugrec sur </w:t>
            </w:r>
            <w:r>
              <w:rPr>
                <w:rFonts w:asciiTheme="majorBidi" w:hAnsiTheme="majorBidi" w:cstheme="majorBidi"/>
                <w:i/>
                <w:iCs/>
                <w:sz w:val="24"/>
                <w:szCs w:val="24"/>
              </w:rPr>
              <w:t>Candida albicans…………………………………………………………………………. .</w:t>
            </w:r>
            <w:r>
              <w:rPr>
                <w:rFonts w:asciiTheme="majorBidi" w:hAnsiTheme="majorBidi" w:cstheme="majorBidi"/>
                <w:sz w:val="24"/>
                <w:szCs w:val="24"/>
              </w:rPr>
              <w:t>56</w:t>
            </w:r>
          </w:p>
          <w:p w14:paraId="71E87F83" w14:textId="77777777" w:rsidR="003E3FB4" w:rsidRDefault="003E3FB4" w:rsidP="004A3F2A">
            <w:pPr>
              <w:spacing w:line="276" w:lineRule="auto"/>
              <w:jc w:val="both"/>
              <w:rPr>
                <w:rFonts w:asciiTheme="majorBidi" w:hAnsiTheme="majorBidi" w:cstheme="majorBidi"/>
                <w:b/>
                <w:bCs/>
                <w:sz w:val="24"/>
                <w:szCs w:val="24"/>
              </w:rPr>
            </w:pPr>
          </w:p>
        </w:tc>
      </w:tr>
      <w:tr w:rsidR="003E3FB4" w14:paraId="04737D5E" w14:textId="77777777" w:rsidTr="004A3F2A">
        <w:trPr>
          <w:trHeight w:val="696"/>
        </w:trPr>
        <w:tc>
          <w:tcPr>
            <w:tcW w:w="1739" w:type="dxa"/>
          </w:tcPr>
          <w:p w14:paraId="21211530" w14:textId="77777777" w:rsidR="003E3FB4" w:rsidRDefault="00385ED0" w:rsidP="004A3F2A">
            <w:pPr>
              <w:rPr>
                <w:rFonts w:asciiTheme="majorBidi" w:hAnsiTheme="majorBidi" w:cstheme="majorBidi"/>
                <w:b/>
                <w:bCs/>
                <w:sz w:val="24"/>
                <w:szCs w:val="24"/>
              </w:rPr>
            </w:pPr>
            <w:r>
              <w:rPr>
                <w:rFonts w:ascii="Times New Roman" w:hAnsi="Times New Roman" w:cs="Times New Roman"/>
                <w:b/>
                <w:bCs/>
                <w:sz w:val="24"/>
                <w:szCs w:val="24"/>
              </w:rPr>
              <w:t>Tableau III.7.</w:t>
            </w:r>
          </w:p>
        </w:tc>
        <w:tc>
          <w:tcPr>
            <w:tcW w:w="7398" w:type="dxa"/>
          </w:tcPr>
          <w:p w14:paraId="0D36A563" w14:textId="77777777" w:rsidR="003E3FB4" w:rsidRDefault="00385ED0" w:rsidP="004A3F2A">
            <w:pPr>
              <w:tabs>
                <w:tab w:val="left" w:pos="3309"/>
              </w:tabs>
              <w:spacing w:line="276" w:lineRule="auto"/>
              <w:jc w:val="both"/>
              <w:rPr>
                <w:rFonts w:asciiTheme="majorBidi" w:hAnsiTheme="majorBidi" w:cstheme="majorBidi"/>
                <w:b/>
                <w:bCs/>
                <w:sz w:val="24"/>
                <w:szCs w:val="24"/>
              </w:rPr>
            </w:pPr>
            <w:r>
              <w:rPr>
                <w:rFonts w:ascii="Times New Roman" w:hAnsi="Times New Roman" w:cs="Times New Roman"/>
                <w:sz w:val="24"/>
                <w:szCs w:val="24"/>
              </w:rPr>
              <w:t xml:space="preserve"> Effet des extraits des graines de fenugrec sur la souche fongique </w:t>
            </w:r>
            <w:r>
              <w:rPr>
                <w:rFonts w:ascii="Times New Roman" w:hAnsi="Times New Roman" w:cs="Times New Roman"/>
                <w:i/>
                <w:iCs/>
                <w:sz w:val="24"/>
                <w:szCs w:val="24"/>
              </w:rPr>
              <w:t>Botrytis cinerea……………………………………………………………………………</w:t>
            </w:r>
            <w:r>
              <w:rPr>
                <w:rFonts w:ascii="Times New Roman" w:hAnsi="Times New Roman" w:cs="Times New Roman"/>
                <w:sz w:val="24"/>
                <w:szCs w:val="24"/>
              </w:rPr>
              <w:t>59</w:t>
            </w:r>
          </w:p>
        </w:tc>
      </w:tr>
      <w:tr w:rsidR="003E3FB4" w14:paraId="59FF8B6B" w14:textId="77777777" w:rsidTr="004A3F2A">
        <w:trPr>
          <w:trHeight w:val="730"/>
        </w:trPr>
        <w:tc>
          <w:tcPr>
            <w:tcW w:w="1739" w:type="dxa"/>
          </w:tcPr>
          <w:p w14:paraId="5D9D2DAD" w14:textId="77777777" w:rsidR="003E3FB4" w:rsidRDefault="00385ED0" w:rsidP="004A3F2A">
            <w:pPr>
              <w:rPr>
                <w:rFonts w:ascii="Times New Roman" w:hAnsi="Times New Roman" w:cs="Times New Roman"/>
                <w:b/>
                <w:bCs/>
                <w:sz w:val="24"/>
                <w:szCs w:val="24"/>
              </w:rPr>
            </w:pPr>
            <w:r>
              <w:rPr>
                <w:rFonts w:ascii="Times New Roman" w:hAnsi="Times New Roman" w:cs="Times New Roman"/>
                <w:b/>
                <w:bCs/>
                <w:sz w:val="24"/>
                <w:szCs w:val="24"/>
              </w:rPr>
              <w:t>Tableau III.8.</w:t>
            </w:r>
          </w:p>
        </w:tc>
        <w:tc>
          <w:tcPr>
            <w:tcW w:w="7398" w:type="dxa"/>
          </w:tcPr>
          <w:p w14:paraId="67EA55CD" w14:textId="77777777" w:rsidR="003E3FB4" w:rsidRDefault="00385ED0" w:rsidP="007F67DA">
            <w:pPr>
              <w:pStyle w:val="Paragraphedeliste1"/>
              <w:spacing w:beforeAutospacing="0" w:after="0" w:afterAutospacing="0" w:line="276" w:lineRule="auto"/>
              <w:jc w:val="both"/>
              <w:rPr>
                <w:rFonts w:ascii="Times New Roman" w:hAnsi="Times New Roman" w:cs="Times New Roman"/>
              </w:rPr>
            </w:pPr>
            <w:r>
              <w:rPr>
                <w:rFonts w:ascii="Times New Roman" w:hAnsi="Times New Roman" w:cs="Times New Roman"/>
              </w:rPr>
              <w:t xml:space="preserve">Pourcentage d’inhibition des extraits des graines de fenugrec contre la souche fongique </w:t>
            </w:r>
            <w:r>
              <w:rPr>
                <w:rFonts w:ascii="Times New Roman" w:hAnsi="Times New Roman" w:cs="Times New Roman"/>
                <w:i/>
                <w:iCs/>
              </w:rPr>
              <w:t>Colletotric</w:t>
            </w:r>
            <w:r w:rsidR="007F67DA">
              <w:rPr>
                <w:rFonts w:ascii="Times New Roman" w:hAnsi="Times New Roman" w:cs="Times New Roman"/>
                <w:i/>
                <w:iCs/>
              </w:rPr>
              <w:t>h</w:t>
            </w:r>
            <w:r>
              <w:rPr>
                <w:rFonts w:ascii="Times New Roman" w:hAnsi="Times New Roman" w:cs="Times New Roman"/>
                <w:i/>
                <w:iCs/>
              </w:rPr>
              <w:t xml:space="preserve">um sp…………………………………………. </w:t>
            </w:r>
            <w:r>
              <w:rPr>
                <w:rFonts w:ascii="Times New Roman" w:hAnsi="Times New Roman" w:cs="Times New Roman"/>
              </w:rPr>
              <w:t>60</w:t>
            </w:r>
          </w:p>
          <w:p w14:paraId="5BDA1FB7" w14:textId="6A97EB27" w:rsidR="007F67DA" w:rsidRPr="007F67DA" w:rsidRDefault="007F67DA" w:rsidP="007F67DA">
            <w:pPr>
              <w:pStyle w:val="Paragraphedeliste1"/>
              <w:spacing w:beforeAutospacing="0" w:after="0" w:afterAutospacing="0" w:line="276" w:lineRule="auto"/>
              <w:jc w:val="both"/>
              <w:rPr>
                <w:rFonts w:ascii="Times New Roman" w:hAnsi="Times New Roman" w:cs="Times New Roman"/>
                <w:i/>
                <w:iCs/>
              </w:rPr>
            </w:pPr>
          </w:p>
        </w:tc>
      </w:tr>
      <w:tr w:rsidR="003E3FB4" w14:paraId="6AB19F4C" w14:textId="77777777" w:rsidTr="004A3F2A">
        <w:trPr>
          <w:trHeight w:val="300"/>
        </w:trPr>
        <w:tc>
          <w:tcPr>
            <w:tcW w:w="1739" w:type="dxa"/>
          </w:tcPr>
          <w:p w14:paraId="3B945CD7" w14:textId="77777777" w:rsidR="003E3FB4" w:rsidRDefault="00385ED0" w:rsidP="004A3F2A">
            <w:pPr>
              <w:rPr>
                <w:rFonts w:asciiTheme="majorBidi" w:hAnsiTheme="majorBidi" w:cstheme="majorBidi"/>
                <w:b/>
                <w:bCs/>
                <w:sz w:val="24"/>
                <w:szCs w:val="24"/>
              </w:rPr>
            </w:pPr>
            <w:r>
              <w:rPr>
                <w:rFonts w:ascii="Times New Roman" w:hAnsi="Times New Roman" w:cs="Times New Roman"/>
                <w:b/>
                <w:bCs/>
              </w:rPr>
              <w:t>Tableau III.9.</w:t>
            </w:r>
          </w:p>
        </w:tc>
        <w:tc>
          <w:tcPr>
            <w:tcW w:w="7398" w:type="dxa"/>
          </w:tcPr>
          <w:p w14:paraId="45BA7D32" w14:textId="77777777" w:rsidR="003E3FB4" w:rsidRDefault="00385ED0" w:rsidP="004A3F2A">
            <w:pPr>
              <w:tabs>
                <w:tab w:val="left" w:pos="3309"/>
              </w:tabs>
              <w:spacing w:after="0" w:line="276" w:lineRule="auto"/>
              <w:jc w:val="both"/>
              <w:rPr>
                <w:rFonts w:asciiTheme="majorBidi" w:hAnsiTheme="majorBidi" w:cstheme="majorBidi"/>
                <w:i/>
                <w:iCs/>
                <w:sz w:val="24"/>
                <w:szCs w:val="24"/>
              </w:rPr>
            </w:pPr>
            <w:r>
              <w:rPr>
                <w:rFonts w:asciiTheme="majorBidi" w:hAnsiTheme="majorBidi" w:cstheme="majorBidi"/>
                <w:sz w:val="24"/>
                <w:szCs w:val="24"/>
              </w:rPr>
              <w:t xml:space="preserve">Pourcentage d’inhibition des extraits des graines de fenugrec contre la souche fongique </w:t>
            </w:r>
            <w:r>
              <w:rPr>
                <w:rFonts w:asciiTheme="majorBidi" w:hAnsiTheme="majorBidi" w:cstheme="majorBidi"/>
                <w:i/>
                <w:iCs/>
                <w:sz w:val="24"/>
                <w:szCs w:val="24"/>
              </w:rPr>
              <w:t xml:space="preserve">Monilinia sp…………………………………………………. </w:t>
            </w:r>
            <w:r>
              <w:rPr>
                <w:rFonts w:asciiTheme="majorBidi" w:hAnsiTheme="majorBidi" w:cstheme="majorBidi"/>
                <w:sz w:val="24"/>
                <w:szCs w:val="24"/>
              </w:rPr>
              <w:t>61</w:t>
            </w:r>
          </w:p>
          <w:p w14:paraId="1E61BFE2" w14:textId="77777777" w:rsidR="003E3FB4" w:rsidRDefault="003E3FB4" w:rsidP="004A3F2A">
            <w:pPr>
              <w:pStyle w:val="Paragraphedeliste1"/>
              <w:spacing w:beforeAutospacing="0" w:after="0" w:afterAutospacing="0" w:line="276" w:lineRule="auto"/>
              <w:jc w:val="both"/>
              <w:rPr>
                <w:rFonts w:ascii="Times New Roman" w:hAnsi="Times New Roman" w:cs="Times New Roman"/>
                <w:i/>
                <w:iCs/>
              </w:rPr>
            </w:pPr>
          </w:p>
          <w:p w14:paraId="270AF6FA" w14:textId="77777777" w:rsidR="003E3FB4" w:rsidRDefault="003E3FB4" w:rsidP="004A3F2A">
            <w:pPr>
              <w:spacing w:line="276" w:lineRule="auto"/>
              <w:jc w:val="both"/>
              <w:rPr>
                <w:rFonts w:asciiTheme="majorBidi" w:hAnsiTheme="majorBidi" w:cstheme="majorBidi"/>
                <w:b/>
                <w:bCs/>
                <w:sz w:val="24"/>
                <w:szCs w:val="24"/>
              </w:rPr>
            </w:pPr>
          </w:p>
        </w:tc>
      </w:tr>
    </w:tbl>
    <w:p w14:paraId="3B391594" w14:textId="77777777" w:rsidR="003E3FB4" w:rsidRDefault="003E3FB4">
      <w:pPr>
        <w:tabs>
          <w:tab w:val="left" w:pos="3656"/>
        </w:tabs>
        <w:spacing w:line="360" w:lineRule="auto"/>
        <w:jc w:val="both"/>
        <w:rPr>
          <w:rFonts w:asciiTheme="majorBidi" w:hAnsiTheme="majorBidi" w:cstheme="majorBidi"/>
          <w:b/>
          <w:bCs/>
          <w:sz w:val="24"/>
          <w:szCs w:val="24"/>
          <w:lang w:bidi="ar-DZ"/>
        </w:rPr>
      </w:pPr>
    </w:p>
    <w:p w14:paraId="74219434" w14:textId="77777777" w:rsidR="007316EC" w:rsidRDefault="007316EC">
      <w:pPr>
        <w:tabs>
          <w:tab w:val="left" w:pos="3656"/>
        </w:tabs>
        <w:spacing w:line="360" w:lineRule="auto"/>
        <w:jc w:val="both"/>
        <w:rPr>
          <w:rFonts w:asciiTheme="majorBidi" w:hAnsiTheme="majorBidi" w:cstheme="majorBidi"/>
          <w:b/>
          <w:bCs/>
          <w:sz w:val="24"/>
          <w:szCs w:val="24"/>
          <w:lang w:bidi="ar-DZ"/>
        </w:rPr>
      </w:pPr>
    </w:p>
    <w:p w14:paraId="17FDA8FB" w14:textId="77777777" w:rsidR="003E3FB4" w:rsidRDefault="003E3FB4">
      <w:pPr>
        <w:tabs>
          <w:tab w:val="left" w:pos="6173"/>
        </w:tabs>
        <w:rPr>
          <w:rFonts w:asciiTheme="majorBidi" w:hAnsiTheme="majorBidi" w:cstheme="majorBidi"/>
          <w:b/>
          <w:bCs/>
          <w:sz w:val="28"/>
          <w:szCs w:val="28"/>
          <w:lang w:bidi="ar-DZ"/>
        </w:rPr>
      </w:pPr>
    </w:p>
    <w:p w14:paraId="79487355" w14:textId="77777777" w:rsidR="003E3FB4" w:rsidRDefault="00385ED0">
      <w:pPr>
        <w:jc w:val="center"/>
        <w:rPr>
          <w:rFonts w:ascii="Times New Roman" w:hAnsi="Times New Roman" w:cs="Times New Roman"/>
          <w:b/>
          <w:sz w:val="28"/>
          <w:szCs w:val="28"/>
          <w:rtl/>
        </w:rPr>
      </w:pPr>
      <w:r>
        <w:rPr>
          <w:rFonts w:ascii="Times New Roman" w:hAnsi="Times New Roman" w:cs="Times New Roman"/>
          <w:b/>
          <w:sz w:val="28"/>
          <w:szCs w:val="28"/>
        </w:rPr>
        <w:lastRenderedPageBreak/>
        <w:t>Liste des abréviations</w:t>
      </w:r>
    </w:p>
    <w:p w14:paraId="6B7D6F06" w14:textId="77777777" w:rsidR="003E3FB4" w:rsidRDefault="003E3FB4">
      <w:pPr>
        <w:jc w:val="center"/>
        <w:rPr>
          <w:rFonts w:ascii="Times New Roman" w:hAnsi="Times New Roman" w:cs="Times New Roman"/>
          <w:b/>
          <w:sz w:val="28"/>
          <w:szCs w:val="28"/>
          <w:rtl/>
        </w:rPr>
      </w:pPr>
    </w:p>
    <w:p w14:paraId="46192FCB" w14:textId="77777777" w:rsidR="003E3FB4" w:rsidRDefault="00385ED0">
      <w:pPr>
        <w:spacing w:after="120" w:line="360" w:lineRule="auto"/>
        <w:jc w:val="both"/>
        <w:rPr>
          <w:rFonts w:ascii="Times New Roman" w:hAnsi="Times New Roman" w:cs="Times New Roman"/>
          <w:bCs/>
          <w:sz w:val="24"/>
          <w:szCs w:val="24"/>
        </w:rPr>
      </w:pPr>
      <w:r>
        <w:rPr>
          <w:rFonts w:ascii="Times New Roman" w:hAnsi="Times New Roman" w:cs="Times New Roman"/>
          <w:b/>
          <w:sz w:val="24"/>
          <w:szCs w:val="24"/>
        </w:rPr>
        <w:t xml:space="preserve">ATCC </w:t>
      </w:r>
      <w:r>
        <w:rPr>
          <w:rFonts w:ascii="Times New Roman" w:hAnsi="Times New Roman" w:cs="Times New Roman"/>
          <w:bCs/>
          <w:sz w:val="24"/>
          <w:szCs w:val="24"/>
        </w:rPr>
        <w:t>: American type culture collection (collection américaine des cultures type).</w:t>
      </w:r>
    </w:p>
    <w:p w14:paraId="4F4B46E7" w14:textId="77777777" w:rsidR="003E3FB4" w:rsidRDefault="00385ED0">
      <w:pPr>
        <w:spacing w:after="120" w:line="360" w:lineRule="auto"/>
        <w:jc w:val="both"/>
        <w:rPr>
          <w:rFonts w:ascii="Times New Roman" w:hAnsi="Times New Roman" w:cs="Times New Roman"/>
          <w:bCs/>
          <w:sz w:val="24"/>
          <w:szCs w:val="24"/>
        </w:rPr>
      </w:pPr>
      <w:r>
        <w:rPr>
          <w:rFonts w:ascii="Times New Roman" w:hAnsi="Times New Roman" w:cs="Times New Roman"/>
          <w:b/>
          <w:sz w:val="24"/>
          <w:szCs w:val="24"/>
        </w:rPr>
        <w:t>DPPH :</w:t>
      </w:r>
      <w:r>
        <w:rPr>
          <w:rFonts w:ascii="Times New Roman" w:hAnsi="Times New Roman" w:cs="Times New Roman"/>
          <w:bCs/>
          <w:sz w:val="24"/>
          <w:szCs w:val="24"/>
        </w:rPr>
        <w:t xml:space="preserve"> 2-2 diphénilepircylhydrazyl. </w:t>
      </w:r>
    </w:p>
    <w:p w14:paraId="15EBE2B0" w14:textId="77777777" w:rsidR="003E3FB4" w:rsidRDefault="00385ED0">
      <w:pPr>
        <w:spacing w:after="120" w:line="360" w:lineRule="auto"/>
        <w:jc w:val="both"/>
        <w:rPr>
          <w:rFonts w:ascii="Times New Roman" w:hAnsi="Times New Roman" w:cs="Times New Roman"/>
          <w:bCs/>
          <w:sz w:val="24"/>
          <w:szCs w:val="24"/>
        </w:rPr>
      </w:pPr>
      <w:r>
        <w:rPr>
          <w:rFonts w:ascii="Times New Roman" w:hAnsi="Times New Roman" w:cs="Times New Roman"/>
          <w:b/>
          <w:sz w:val="24"/>
          <w:szCs w:val="24"/>
        </w:rPr>
        <w:t>EC50 :</w:t>
      </w:r>
      <w:r>
        <w:rPr>
          <w:rFonts w:ascii="Times New Roman" w:hAnsi="Times New Roman" w:cs="Times New Roman"/>
          <w:bCs/>
          <w:sz w:val="24"/>
          <w:szCs w:val="24"/>
        </w:rPr>
        <w:t xml:space="preserve"> Concentration efficace à 50%.  </w:t>
      </w:r>
    </w:p>
    <w:p w14:paraId="15643A74" w14:textId="77777777" w:rsidR="003E3FB4" w:rsidRDefault="00385ED0">
      <w:pPr>
        <w:spacing w:after="120" w:line="360" w:lineRule="auto"/>
        <w:jc w:val="both"/>
        <w:rPr>
          <w:rFonts w:ascii="Times New Roman" w:hAnsi="Times New Roman" w:cs="Times New Roman"/>
          <w:bCs/>
          <w:sz w:val="24"/>
          <w:szCs w:val="24"/>
          <w:lang w:val="en-US"/>
        </w:rPr>
      </w:pPr>
      <w:r>
        <w:rPr>
          <w:rFonts w:ascii="Times New Roman" w:hAnsi="Times New Roman" w:cs="Times New Roman"/>
          <w:b/>
          <w:sz w:val="24"/>
          <w:szCs w:val="24"/>
          <w:lang w:val="en-US"/>
        </w:rPr>
        <w:t>FRAP:</w:t>
      </w:r>
      <w:r>
        <w:rPr>
          <w:rFonts w:ascii="Times New Roman" w:hAnsi="Times New Roman" w:cs="Times New Roman"/>
          <w:bCs/>
          <w:sz w:val="24"/>
          <w:szCs w:val="24"/>
          <w:lang w:val="en-US"/>
        </w:rPr>
        <w:t xml:space="preserve"> Ferric reducing antioxidant power.    </w:t>
      </w:r>
    </w:p>
    <w:p w14:paraId="412336AD" w14:textId="77777777" w:rsidR="003E3FB4" w:rsidRDefault="00385ED0">
      <w:pPr>
        <w:spacing w:after="120" w:line="360" w:lineRule="auto"/>
        <w:jc w:val="both"/>
        <w:rPr>
          <w:rFonts w:ascii="Times New Roman" w:hAnsi="Times New Roman" w:cs="Times New Roman"/>
          <w:bCs/>
          <w:sz w:val="24"/>
          <w:szCs w:val="24"/>
        </w:rPr>
      </w:pPr>
      <w:r>
        <w:rPr>
          <w:rFonts w:ascii="Times New Roman" w:hAnsi="Times New Roman" w:cs="Times New Roman"/>
          <w:b/>
          <w:sz w:val="24"/>
          <w:szCs w:val="24"/>
        </w:rPr>
        <w:t>ZI :</w:t>
      </w:r>
      <w:r>
        <w:rPr>
          <w:rFonts w:ascii="Times New Roman" w:hAnsi="Times New Roman" w:cs="Times New Roman"/>
          <w:bCs/>
          <w:sz w:val="24"/>
          <w:szCs w:val="24"/>
        </w:rPr>
        <w:t xml:space="preserve"> Zone d’inhibition.    </w:t>
      </w:r>
    </w:p>
    <w:p w14:paraId="7EF57012" w14:textId="77777777" w:rsidR="003E3FB4" w:rsidRDefault="00385ED0">
      <w:pPr>
        <w:spacing w:after="120" w:line="360" w:lineRule="auto"/>
        <w:jc w:val="both"/>
        <w:rPr>
          <w:rFonts w:ascii="Times New Roman" w:hAnsi="Times New Roman" w:cs="Times New Roman"/>
          <w:bCs/>
          <w:sz w:val="24"/>
          <w:szCs w:val="24"/>
        </w:rPr>
      </w:pPr>
      <w:r>
        <w:rPr>
          <w:rFonts w:ascii="Times New Roman" w:hAnsi="Times New Roman" w:cs="Times New Roman"/>
          <w:b/>
          <w:sz w:val="24"/>
          <w:szCs w:val="24"/>
        </w:rPr>
        <w:t>DMSO :</w:t>
      </w:r>
      <w:r>
        <w:rPr>
          <w:rFonts w:ascii="Times New Roman" w:hAnsi="Times New Roman" w:cs="Times New Roman"/>
          <w:bCs/>
          <w:sz w:val="24"/>
          <w:szCs w:val="24"/>
        </w:rPr>
        <w:t xml:space="preserve"> Diméthylsulfoxide.    </w:t>
      </w:r>
    </w:p>
    <w:p w14:paraId="28D971F4" w14:textId="77777777" w:rsidR="003E3FB4" w:rsidRDefault="00385ED0">
      <w:pPr>
        <w:spacing w:after="120" w:line="360" w:lineRule="auto"/>
        <w:jc w:val="both"/>
        <w:rPr>
          <w:rFonts w:ascii="Times New Roman" w:hAnsi="Times New Roman" w:cs="Times New Roman"/>
          <w:bCs/>
          <w:sz w:val="24"/>
          <w:szCs w:val="24"/>
        </w:rPr>
      </w:pPr>
      <w:r>
        <w:rPr>
          <w:rFonts w:ascii="Times New Roman" w:hAnsi="Times New Roman" w:cs="Times New Roman"/>
          <w:b/>
          <w:sz w:val="24"/>
          <w:szCs w:val="24"/>
        </w:rPr>
        <w:t>R (%) :</w:t>
      </w:r>
      <w:r>
        <w:rPr>
          <w:rFonts w:ascii="Times New Roman" w:hAnsi="Times New Roman" w:cs="Times New Roman"/>
          <w:bCs/>
          <w:sz w:val="24"/>
          <w:szCs w:val="24"/>
        </w:rPr>
        <w:t xml:space="preserve"> Rendement.    </w:t>
      </w:r>
    </w:p>
    <w:p w14:paraId="38F56A98" w14:textId="77777777" w:rsidR="003E3FB4" w:rsidRDefault="00385ED0">
      <w:pPr>
        <w:spacing w:after="120" w:line="360" w:lineRule="auto"/>
        <w:jc w:val="both"/>
        <w:rPr>
          <w:rFonts w:ascii="Times New Roman" w:hAnsi="Times New Roman" w:cs="Times New Roman"/>
          <w:bCs/>
          <w:sz w:val="24"/>
          <w:szCs w:val="24"/>
        </w:rPr>
      </w:pPr>
      <w:r>
        <w:rPr>
          <w:rFonts w:ascii="Times New Roman" w:hAnsi="Times New Roman" w:cs="Times New Roman"/>
          <w:b/>
          <w:sz w:val="24"/>
          <w:szCs w:val="24"/>
        </w:rPr>
        <w:t>BHT :</w:t>
      </w:r>
      <w:r>
        <w:rPr>
          <w:rFonts w:ascii="Times New Roman" w:hAnsi="Times New Roman" w:cs="Times New Roman"/>
          <w:bCs/>
          <w:sz w:val="24"/>
          <w:szCs w:val="24"/>
        </w:rPr>
        <w:t xml:space="preserve"> dibutylhydroxytoluene.</w:t>
      </w:r>
    </w:p>
    <w:p w14:paraId="3A07119A" w14:textId="77777777" w:rsidR="003E3FB4" w:rsidRDefault="00385ED0">
      <w:pPr>
        <w:tabs>
          <w:tab w:val="left" w:pos="6173"/>
        </w:tabs>
        <w:spacing w:after="120" w:line="360" w:lineRule="auto"/>
        <w:jc w:val="both"/>
        <w:rPr>
          <w:rFonts w:asciiTheme="majorBidi" w:hAnsiTheme="majorBidi" w:cstheme="majorBidi"/>
          <w:sz w:val="24"/>
          <w:szCs w:val="24"/>
        </w:rPr>
      </w:pPr>
      <w:r>
        <w:rPr>
          <w:rFonts w:asciiTheme="majorBidi" w:hAnsiTheme="majorBidi" w:cstheme="majorBidi"/>
          <w:b/>
          <w:sz w:val="24"/>
          <w:szCs w:val="24"/>
        </w:rPr>
        <w:t xml:space="preserve">NaOH : </w:t>
      </w:r>
      <w:r>
        <w:rPr>
          <w:rFonts w:asciiTheme="majorBidi" w:hAnsiTheme="majorBidi" w:cstheme="majorBidi"/>
          <w:sz w:val="24"/>
          <w:szCs w:val="24"/>
        </w:rPr>
        <w:t>Hydroxyde de sodium</w:t>
      </w:r>
    </w:p>
    <w:p w14:paraId="3C3B0641" w14:textId="77777777" w:rsidR="003E3FB4" w:rsidRDefault="00385ED0">
      <w:pPr>
        <w:tabs>
          <w:tab w:val="left" w:pos="6173"/>
        </w:tabs>
        <w:spacing w:after="120" w:line="360" w:lineRule="auto"/>
        <w:jc w:val="both"/>
        <w:rPr>
          <w:rFonts w:asciiTheme="majorBidi" w:hAnsiTheme="majorBidi" w:cstheme="majorBidi"/>
          <w:bCs/>
          <w:sz w:val="24"/>
          <w:szCs w:val="24"/>
          <w:lang w:bidi="ar-DZ"/>
        </w:rPr>
      </w:pPr>
      <w:r>
        <w:rPr>
          <w:rFonts w:asciiTheme="majorBidi" w:hAnsiTheme="majorBidi" w:cstheme="majorBidi"/>
          <w:b/>
          <w:bCs/>
          <w:sz w:val="24"/>
          <w:szCs w:val="24"/>
        </w:rPr>
        <w:t>C</w:t>
      </w:r>
      <w:r>
        <w:rPr>
          <w:rFonts w:asciiTheme="majorBidi" w:hAnsiTheme="majorBidi" w:cstheme="majorBidi"/>
          <w:b/>
          <w:bCs/>
          <w:sz w:val="24"/>
          <w:szCs w:val="24"/>
          <w:vertAlign w:val="subscript"/>
        </w:rPr>
        <w:t>4</w:t>
      </w:r>
      <w:r>
        <w:rPr>
          <w:rFonts w:asciiTheme="majorBidi" w:hAnsiTheme="majorBidi" w:cstheme="majorBidi"/>
          <w:b/>
          <w:bCs/>
          <w:sz w:val="24"/>
          <w:szCs w:val="24"/>
        </w:rPr>
        <w:t>H</w:t>
      </w:r>
      <w:r>
        <w:rPr>
          <w:rFonts w:asciiTheme="majorBidi" w:hAnsiTheme="majorBidi" w:cstheme="majorBidi"/>
          <w:b/>
          <w:bCs/>
          <w:sz w:val="24"/>
          <w:szCs w:val="24"/>
          <w:vertAlign w:val="subscript"/>
        </w:rPr>
        <w:t>6</w:t>
      </w:r>
      <w:r>
        <w:rPr>
          <w:rFonts w:asciiTheme="majorBidi" w:hAnsiTheme="majorBidi" w:cstheme="majorBidi"/>
          <w:b/>
          <w:bCs/>
          <w:sz w:val="24"/>
          <w:szCs w:val="24"/>
        </w:rPr>
        <w:t>O</w:t>
      </w:r>
      <w:r>
        <w:rPr>
          <w:rFonts w:asciiTheme="majorBidi" w:hAnsiTheme="majorBidi" w:cstheme="majorBidi"/>
          <w:b/>
          <w:bCs/>
          <w:sz w:val="24"/>
          <w:szCs w:val="24"/>
          <w:vertAlign w:val="subscript"/>
        </w:rPr>
        <w:t>3</w:t>
      </w:r>
      <w:r>
        <w:rPr>
          <w:rFonts w:asciiTheme="majorBidi" w:hAnsiTheme="majorBidi" w:cstheme="majorBidi"/>
          <w:b/>
          <w:bCs/>
          <w:sz w:val="24"/>
          <w:szCs w:val="24"/>
        </w:rPr>
        <w:t> :</w:t>
      </w:r>
      <w:r>
        <w:rPr>
          <w:rFonts w:asciiTheme="majorBidi" w:hAnsiTheme="majorBidi" w:cstheme="majorBidi"/>
          <w:sz w:val="24"/>
          <w:szCs w:val="24"/>
        </w:rPr>
        <w:t xml:space="preserve"> Acide d’anhydride acétique</w:t>
      </w:r>
    </w:p>
    <w:p w14:paraId="3F6BC621" w14:textId="77777777" w:rsidR="003E3FB4" w:rsidRDefault="00385ED0">
      <w:pPr>
        <w:tabs>
          <w:tab w:val="left" w:pos="6173"/>
        </w:tabs>
        <w:spacing w:after="120" w:line="360" w:lineRule="auto"/>
        <w:jc w:val="both"/>
        <w:rPr>
          <w:rFonts w:asciiTheme="majorBidi" w:hAnsiTheme="majorBidi" w:cstheme="majorBidi"/>
          <w:sz w:val="24"/>
          <w:szCs w:val="24"/>
        </w:rPr>
      </w:pPr>
      <w:r>
        <w:rPr>
          <w:rFonts w:asciiTheme="majorBidi" w:hAnsiTheme="majorBidi" w:cstheme="majorBidi"/>
          <w:b/>
          <w:sz w:val="24"/>
          <w:szCs w:val="24"/>
        </w:rPr>
        <w:t>FeCl</w:t>
      </w:r>
      <w:r>
        <w:rPr>
          <w:rFonts w:asciiTheme="majorBidi" w:hAnsiTheme="majorBidi" w:cstheme="majorBidi"/>
          <w:b/>
          <w:sz w:val="24"/>
          <w:szCs w:val="24"/>
          <w:vertAlign w:val="subscript"/>
        </w:rPr>
        <w:t>3 :</w:t>
      </w:r>
      <w:r>
        <w:rPr>
          <w:rFonts w:asciiTheme="majorBidi" w:hAnsiTheme="majorBidi" w:cstheme="majorBidi"/>
          <w:b/>
          <w:sz w:val="24"/>
          <w:szCs w:val="24"/>
        </w:rPr>
        <w:t xml:space="preserve"> </w:t>
      </w:r>
      <w:r>
        <w:rPr>
          <w:rFonts w:asciiTheme="majorBidi" w:hAnsiTheme="majorBidi" w:cstheme="majorBidi"/>
          <w:sz w:val="24"/>
          <w:szCs w:val="24"/>
        </w:rPr>
        <w:t>Chlorure de Fer</w:t>
      </w:r>
    </w:p>
    <w:p w14:paraId="249CA3A7" w14:textId="77777777" w:rsidR="003E3FB4" w:rsidRDefault="00385ED0">
      <w:pPr>
        <w:tabs>
          <w:tab w:val="left" w:pos="6173"/>
        </w:tabs>
        <w:spacing w:after="120" w:line="360" w:lineRule="auto"/>
        <w:jc w:val="both"/>
        <w:rPr>
          <w:rFonts w:asciiTheme="majorBidi" w:hAnsiTheme="majorBidi" w:cstheme="majorBidi"/>
          <w:b/>
          <w:bCs/>
          <w:sz w:val="28"/>
          <w:szCs w:val="28"/>
          <w:lang w:bidi="ar-DZ"/>
        </w:rPr>
      </w:pPr>
      <w:r>
        <w:rPr>
          <w:rFonts w:asciiTheme="majorBidi" w:hAnsiTheme="majorBidi" w:cstheme="majorBidi"/>
          <w:b/>
          <w:bCs/>
          <w:sz w:val="24"/>
          <w:szCs w:val="24"/>
        </w:rPr>
        <w:t>ANOVA :</w:t>
      </w:r>
      <w:r>
        <w:rPr>
          <w:rFonts w:asciiTheme="majorBidi" w:hAnsiTheme="majorBidi" w:cstheme="majorBidi"/>
          <w:sz w:val="24"/>
          <w:szCs w:val="24"/>
        </w:rPr>
        <w:t xml:space="preserve"> Analyse de la variance </w:t>
      </w:r>
    </w:p>
    <w:p w14:paraId="283EF1F8" w14:textId="77777777" w:rsidR="003E3FB4" w:rsidRDefault="003E3FB4">
      <w:pPr>
        <w:tabs>
          <w:tab w:val="left" w:pos="6173"/>
        </w:tabs>
        <w:rPr>
          <w:rFonts w:asciiTheme="majorBidi" w:hAnsiTheme="majorBidi" w:cstheme="majorBidi"/>
          <w:b/>
          <w:bCs/>
          <w:sz w:val="28"/>
          <w:szCs w:val="28"/>
          <w:lang w:bidi="ar-DZ"/>
        </w:rPr>
      </w:pPr>
    </w:p>
    <w:p w14:paraId="11D588B2" w14:textId="77777777" w:rsidR="003E3FB4" w:rsidRDefault="003E3FB4">
      <w:pPr>
        <w:tabs>
          <w:tab w:val="left" w:pos="6173"/>
        </w:tabs>
        <w:rPr>
          <w:rFonts w:asciiTheme="majorBidi" w:hAnsiTheme="majorBidi" w:cstheme="majorBidi"/>
          <w:b/>
          <w:bCs/>
          <w:sz w:val="28"/>
          <w:szCs w:val="28"/>
          <w:lang w:bidi="ar-DZ"/>
        </w:rPr>
      </w:pPr>
    </w:p>
    <w:p w14:paraId="47E9C0B9" w14:textId="77777777" w:rsidR="003E3FB4" w:rsidRDefault="003E3FB4">
      <w:pPr>
        <w:tabs>
          <w:tab w:val="left" w:pos="6173"/>
        </w:tabs>
        <w:rPr>
          <w:rFonts w:asciiTheme="majorBidi" w:hAnsiTheme="majorBidi" w:cstheme="majorBidi"/>
          <w:b/>
          <w:bCs/>
          <w:sz w:val="28"/>
          <w:szCs w:val="28"/>
          <w:lang w:bidi="ar-DZ"/>
        </w:rPr>
      </w:pPr>
    </w:p>
    <w:p w14:paraId="6D934B8D" w14:textId="77777777" w:rsidR="003E3FB4" w:rsidRDefault="003E3FB4">
      <w:pPr>
        <w:tabs>
          <w:tab w:val="left" w:pos="6173"/>
        </w:tabs>
        <w:rPr>
          <w:rFonts w:asciiTheme="majorBidi" w:hAnsiTheme="majorBidi" w:cstheme="majorBidi"/>
          <w:b/>
          <w:bCs/>
          <w:sz w:val="28"/>
          <w:szCs w:val="28"/>
          <w:lang w:bidi="ar-DZ"/>
        </w:rPr>
      </w:pPr>
    </w:p>
    <w:p w14:paraId="46C651F7" w14:textId="77777777" w:rsidR="003E3FB4" w:rsidRDefault="003E3FB4">
      <w:pPr>
        <w:tabs>
          <w:tab w:val="left" w:pos="6173"/>
        </w:tabs>
        <w:rPr>
          <w:rFonts w:asciiTheme="majorBidi" w:hAnsiTheme="majorBidi" w:cstheme="majorBidi"/>
          <w:b/>
          <w:bCs/>
          <w:sz w:val="28"/>
          <w:szCs w:val="28"/>
          <w:lang w:bidi="ar-DZ"/>
        </w:rPr>
      </w:pPr>
    </w:p>
    <w:p w14:paraId="41434061" w14:textId="77777777" w:rsidR="003E3FB4" w:rsidRDefault="003E3FB4">
      <w:pPr>
        <w:tabs>
          <w:tab w:val="left" w:pos="6173"/>
        </w:tabs>
        <w:rPr>
          <w:rFonts w:asciiTheme="majorBidi" w:hAnsiTheme="majorBidi" w:cstheme="majorBidi"/>
          <w:b/>
          <w:bCs/>
          <w:sz w:val="28"/>
          <w:szCs w:val="28"/>
          <w:lang w:bidi="ar-DZ"/>
        </w:rPr>
      </w:pPr>
    </w:p>
    <w:p w14:paraId="4C09A64C" w14:textId="77777777" w:rsidR="003E3FB4" w:rsidRDefault="003E3FB4">
      <w:pPr>
        <w:tabs>
          <w:tab w:val="left" w:pos="6173"/>
        </w:tabs>
        <w:rPr>
          <w:rFonts w:asciiTheme="majorBidi" w:hAnsiTheme="majorBidi" w:cstheme="majorBidi"/>
          <w:b/>
          <w:bCs/>
          <w:sz w:val="28"/>
          <w:szCs w:val="28"/>
          <w:lang w:bidi="ar-DZ"/>
        </w:rPr>
      </w:pPr>
    </w:p>
    <w:p w14:paraId="293DA261" w14:textId="77777777" w:rsidR="003E3FB4" w:rsidRDefault="003E3FB4">
      <w:pPr>
        <w:tabs>
          <w:tab w:val="left" w:pos="6173"/>
        </w:tabs>
        <w:rPr>
          <w:rFonts w:asciiTheme="majorBidi" w:hAnsiTheme="majorBidi" w:cstheme="majorBidi"/>
          <w:b/>
          <w:bCs/>
          <w:sz w:val="28"/>
          <w:szCs w:val="28"/>
          <w:lang w:bidi="ar-DZ"/>
        </w:rPr>
      </w:pPr>
    </w:p>
    <w:p w14:paraId="3C8B24E0" w14:textId="77777777" w:rsidR="003E3FB4" w:rsidRDefault="003E3FB4">
      <w:pPr>
        <w:tabs>
          <w:tab w:val="left" w:pos="6173"/>
        </w:tabs>
        <w:rPr>
          <w:rFonts w:asciiTheme="majorBidi" w:hAnsiTheme="majorBidi" w:cstheme="majorBidi"/>
          <w:b/>
          <w:bCs/>
          <w:sz w:val="28"/>
          <w:szCs w:val="28"/>
          <w:lang w:bidi="ar-DZ"/>
        </w:rPr>
      </w:pPr>
    </w:p>
    <w:p w14:paraId="411283B6" w14:textId="77777777" w:rsidR="003E3FB4" w:rsidRDefault="003E3FB4">
      <w:pPr>
        <w:tabs>
          <w:tab w:val="left" w:pos="6173"/>
        </w:tabs>
        <w:rPr>
          <w:rFonts w:asciiTheme="majorBidi" w:hAnsiTheme="majorBidi" w:cstheme="majorBidi"/>
          <w:b/>
          <w:bCs/>
          <w:sz w:val="28"/>
          <w:szCs w:val="28"/>
          <w:lang w:bidi="ar-DZ"/>
        </w:rPr>
      </w:pPr>
    </w:p>
    <w:p w14:paraId="7E53AAE4" w14:textId="77777777" w:rsidR="003E3FB4" w:rsidRDefault="003E3FB4">
      <w:pPr>
        <w:tabs>
          <w:tab w:val="left" w:pos="6173"/>
        </w:tabs>
        <w:rPr>
          <w:rFonts w:asciiTheme="majorBidi" w:hAnsiTheme="majorBidi" w:cstheme="majorBidi"/>
          <w:b/>
          <w:bCs/>
          <w:sz w:val="28"/>
          <w:szCs w:val="28"/>
          <w:lang w:bidi="ar-DZ"/>
        </w:rPr>
      </w:pPr>
    </w:p>
    <w:p w14:paraId="6ACFDB7F" w14:textId="77777777" w:rsidR="003E3FB4" w:rsidRDefault="003E3FB4">
      <w:pPr>
        <w:tabs>
          <w:tab w:val="left" w:pos="6173"/>
        </w:tabs>
        <w:spacing w:line="240" w:lineRule="auto"/>
        <w:rPr>
          <w:rFonts w:asciiTheme="majorBidi" w:hAnsiTheme="majorBidi" w:cstheme="majorBidi"/>
          <w:b/>
          <w:bCs/>
          <w:sz w:val="28"/>
          <w:szCs w:val="28"/>
          <w:lang w:bidi="ar-DZ"/>
        </w:rPr>
      </w:pPr>
    </w:p>
    <w:p w14:paraId="43247BEA" w14:textId="77777777" w:rsidR="003E3FB4" w:rsidRDefault="003E3FB4">
      <w:pPr>
        <w:tabs>
          <w:tab w:val="left" w:pos="6173"/>
        </w:tabs>
        <w:spacing w:line="240" w:lineRule="auto"/>
        <w:jc w:val="center"/>
        <w:rPr>
          <w:rFonts w:asciiTheme="majorBidi" w:hAnsiTheme="majorBidi" w:cstheme="majorBidi"/>
          <w:b/>
          <w:bCs/>
          <w:sz w:val="28"/>
          <w:szCs w:val="28"/>
          <w:lang w:bidi="ar-DZ"/>
        </w:rPr>
      </w:pPr>
    </w:p>
    <w:p w14:paraId="69B2A5AF" w14:textId="77777777" w:rsidR="003E3FB4" w:rsidRDefault="00385ED0">
      <w:pPr>
        <w:tabs>
          <w:tab w:val="left" w:pos="6173"/>
        </w:tabs>
        <w:spacing w:line="240" w:lineRule="auto"/>
        <w:jc w:val="center"/>
        <w:rPr>
          <w:rFonts w:asciiTheme="majorBidi" w:hAnsiTheme="majorBidi" w:cstheme="majorBidi"/>
          <w:b/>
          <w:bCs/>
          <w:sz w:val="28"/>
          <w:szCs w:val="28"/>
          <w:lang w:bidi="ar-DZ"/>
        </w:rPr>
      </w:pPr>
      <w:r>
        <w:rPr>
          <w:rFonts w:asciiTheme="majorBidi" w:hAnsiTheme="majorBidi" w:cstheme="majorBidi"/>
          <w:b/>
          <w:bCs/>
          <w:sz w:val="28"/>
          <w:szCs w:val="28"/>
          <w:lang w:bidi="ar-DZ"/>
        </w:rPr>
        <w:lastRenderedPageBreak/>
        <w:t>Table de matière</w:t>
      </w:r>
    </w:p>
    <w:p w14:paraId="058B1713" w14:textId="77777777" w:rsidR="003E3FB4" w:rsidRDefault="003E3FB4">
      <w:pPr>
        <w:tabs>
          <w:tab w:val="left" w:pos="6173"/>
        </w:tabs>
        <w:spacing w:line="240" w:lineRule="auto"/>
        <w:rPr>
          <w:rFonts w:asciiTheme="majorBidi" w:hAnsiTheme="majorBidi" w:cstheme="majorBidi"/>
          <w:b/>
          <w:bCs/>
          <w:sz w:val="28"/>
          <w:szCs w:val="28"/>
          <w:lang w:bidi="ar-DZ"/>
        </w:rPr>
      </w:pPr>
    </w:p>
    <w:p w14:paraId="4400E7FA" w14:textId="77777777" w:rsidR="003E3FB4" w:rsidRDefault="00385ED0">
      <w:pPr>
        <w:tabs>
          <w:tab w:val="left" w:pos="6173"/>
        </w:tabs>
        <w:spacing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Remerciement </w:t>
      </w:r>
    </w:p>
    <w:p w14:paraId="71D044DF" w14:textId="77777777" w:rsidR="003E3FB4" w:rsidRDefault="00385ED0">
      <w:pPr>
        <w:tabs>
          <w:tab w:val="left" w:pos="6173"/>
        </w:tabs>
        <w:spacing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Dédicace</w:t>
      </w:r>
    </w:p>
    <w:p w14:paraId="5DEF2428" w14:textId="77777777" w:rsidR="003E3FB4" w:rsidRDefault="00385ED0">
      <w:pPr>
        <w:tabs>
          <w:tab w:val="left" w:pos="6173"/>
        </w:tabs>
        <w:spacing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Résumé </w:t>
      </w:r>
    </w:p>
    <w:p w14:paraId="3A4B0A31" w14:textId="77777777" w:rsidR="003E3FB4" w:rsidRDefault="00385ED0">
      <w:pPr>
        <w:spacing w:after="240" w:line="360" w:lineRule="auto"/>
        <w:jc w:val="both"/>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Abstract</w:t>
      </w:r>
    </w:p>
    <w:p w14:paraId="6BD2D6B6" w14:textId="77777777" w:rsidR="003E3FB4" w:rsidRDefault="00385ED0">
      <w:pPr>
        <w:spacing w:after="240" w:line="360" w:lineRule="auto"/>
        <w:jc w:val="both"/>
        <w:rPr>
          <w:rFonts w:ascii="Times New Roman" w:hAnsi="Times New Roman" w:cs="Times New Roman"/>
          <w:bCs/>
          <w:color w:val="000000" w:themeColor="text1"/>
          <w:sz w:val="24"/>
          <w:szCs w:val="24"/>
          <w:rtl/>
          <w:lang w:val="en-US" w:bidi="ar-DZ"/>
        </w:rPr>
      </w:pPr>
      <w:r>
        <w:rPr>
          <w:rFonts w:ascii="Times New Roman" w:hAnsi="Times New Roman" w:cs="Times New Roman" w:hint="cs"/>
          <w:bCs/>
          <w:color w:val="000000" w:themeColor="text1"/>
          <w:sz w:val="24"/>
          <w:szCs w:val="24"/>
          <w:rtl/>
          <w:lang w:val="en-US" w:bidi="ar-DZ"/>
        </w:rPr>
        <w:t>ملخص</w:t>
      </w:r>
    </w:p>
    <w:p w14:paraId="1283E6F3" w14:textId="77777777" w:rsidR="003E3FB4" w:rsidRDefault="00385ED0">
      <w:pPr>
        <w:tabs>
          <w:tab w:val="left" w:pos="6173"/>
        </w:tabs>
        <w:spacing w:after="120" w:line="360" w:lineRule="auto"/>
        <w:jc w:val="both"/>
        <w:rPr>
          <w:rFonts w:asciiTheme="majorBidi" w:hAnsiTheme="majorBidi" w:cstheme="majorBidi"/>
          <w:sz w:val="24"/>
          <w:szCs w:val="24"/>
          <w:rtl/>
          <w:lang w:bidi="ar-DZ"/>
        </w:rPr>
      </w:pPr>
      <w:r>
        <w:rPr>
          <w:rFonts w:asciiTheme="majorBidi" w:hAnsiTheme="majorBidi" w:cstheme="majorBidi"/>
          <w:sz w:val="24"/>
          <w:szCs w:val="24"/>
          <w:lang w:bidi="ar-DZ"/>
        </w:rPr>
        <w:t xml:space="preserve">Liste des figures </w:t>
      </w:r>
    </w:p>
    <w:p w14:paraId="693FC23B" w14:textId="77777777" w:rsidR="003E3FB4" w:rsidRDefault="00385ED0">
      <w:pPr>
        <w:tabs>
          <w:tab w:val="left" w:pos="6173"/>
        </w:tabs>
        <w:spacing w:after="120" w:line="360" w:lineRule="auto"/>
        <w:jc w:val="both"/>
        <w:rPr>
          <w:rFonts w:asciiTheme="majorBidi" w:hAnsiTheme="majorBidi" w:cstheme="majorBidi"/>
          <w:sz w:val="24"/>
          <w:szCs w:val="24"/>
          <w:rtl/>
          <w:lang w:bidi="ar-DZ"/>
        </w:rPr>
      </w:pPr>
      <w:r>
        <w:rPr>
          <w:rFonts w:asciiTheme="majorBidi" w:hAnsiTheme="majorBidi" w:cstheme="majorBidi"/>
          <w:sz w:val="24"/>
          <w:szCs w:val="24"/>
          <w:lang w:bidi="ar-DZ"/>
        </w:rPr>
        <w:t>Liste des tableaux</w:t>
      </w:r>
    </w:p>
    <w:p w14:paraId="4E0B35FD" w14:textId="77777777" w:rsidR="003E3FB4" w:rsidRDefault="00385ED0">
      <w:pPr>
        <w:tabs>
          <w:tab w:val="left" w:pos="6173"/>
        </w:tabs>
        <w:spacing w:after="120" w:line="360" w:lineRule="auto"/>
        <w:jc w:val="both"/>
        <w:rPr>
          <w:rFonts w:asciiTheme="majorBidi" w:hAnsiTheme="majorBidi" w:cstheme="majorBidi"/>
          <w:sz w:val="24"/>
          <w:szCs w:val="24"/>
          <w:rtl/>
          <w:lang w:bidi="ar-DZ"/>
        </w:rPr>
      </w:pPr>
      <w:r>
        <w:rPr>
          <w:rFonts w:ascii="Times New Roman" w:hAnsi="Times New Roman" w:cs="Times New Roman"/>
          <w:bCs/>
          <w:sz w:val="24"/>
          <w:szCs w:val="24"/>
        </w:rPr>
        <w:t>Liste des abréviations</w:t>
      </w:r>
    </w:p>
    <w:p w14:paraId="1F22FB9C" w14:textId="77777777" w:rsidR="003E3FB4" w:rsidRDefault="00385ED0">
      <w:pPr>
        <w:tabs>
          <w:tab w:val="left" w:pos="6173"/>
        </w:tabs>
        <w:spacing w:after="12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Introduction…………………………………………………………………………… …...1</w:t>
      </w:r>
    </w:p>
    <w:p w14:paraId="1C1B5B34" w14:textId="77777777" w:rsidR="003E3FB4" w:rsidRDefault="00385ED0">
      <w:pPr>
        <w:tabs>
          <w:tab w:val="left" w:pos="6173"/>
        </w:tabs>
        <w:spacing w:after="12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Synthèse bibliographique…………………………………………………………………... 3</w:t>
      </w:r>
    </w:p>
    <w:p w14:paraId="608690F6" w14:textId="799A92F9" w:rsidR="003E3FB4" w:rsidRDefault="00385ED0" w:rsidP="007316EC">
      <w:pPr>
        <w:tabs>
          <w:tab w:val="left" w:pos="6173"/>
        </w:tabs>
        <w:spacing w:after="120" w:line="360" w:lineRule="auto"/>
        <w:jc w:val="center"/>
        <w:rPr>
          <w:rFonts w:asciiTheme="majorBidi" w:hAnsiTheme="majorBidi" w:cstheme="majorBidi"/>
          <w:b/>
          <w:bCs/>
          <w:sz w:val="24"/>
          <w:szCs w:val="24"/>
          <w:lang w:bidi="ar-DZ"/>
        </w:rPr>
      </w:pPr>
      <w:r>
        <w:rPr>
          <w:rFonts w:asciiTheme="majorBidi" w:hAnsiTheme="majorBidi" w:cstheme="majorBidi"/>
          <w:b/>
          <w:bCs/>
          <w:sz w:val="24"/>
          <w:szCs w:val="24"/>
          <w:lang w:bidi="ar-DZ"/>
        </w:rPr>
        <w:t xml:space="preserve">Chapitre I. </w:t>
      </w:r>
      <w:r w:rsidR="007316EC">
        <w:rPr>
          <w:rFonts w:asciiTheme="majorBidi" w:hAnsiTheme="majorBidi" w:cstheme="majorBidi"/>
          <w:b/>
          <w:bCs/>
          <w:sz w:val="24"/>
          <w:szCs w:val="24"/>
          <w:lang w:bidi="ar-DZ"/>
        </w:rPr>
        <w:t xml:space="preserve"> </w:t>
      </w:r>
      <w:r>
        <w:rPr>
          <w:rFonts w:asciiTheme="majorBidi" w:hAnsiTheme="majorBidi" w:cstheme="majorBidi"/>
          <w:b/>
          <w:bCs/>
          <w:sz w:val="24"/>
          <w:szCs w:val="24"/>
          <w:lang w:bidi="ar-DZ"/>
        </w:rPr>
        <w:t xml:space="preserve"> </w:t>
      </w:r>
      <w:r>
        <w:rPr>
          <w:rFonts w:asciiTheme="majorBidi" w:hAnsiTheme="majorBidi" w:cstheme="majorBidi"/>
          <w:b/>
          <w:bCs/>
          <w:i/>
          <w:iCs/>
          <w:sz w:val="24"/>
          <w:szCs w:val="24"/>
          <w:lang w:bidi="ar-DZ"/>
        </w:rPr>
        <w:t xml:space="preserve">Trigonella foenum- graecum </w:t>
      </w:r>
      <w:r>
        <w:rPr>
          <w:rFonts w:asciiTheme="majorBidi" w:hAnsiTheme="majorBidi" w:cstheme="majorBidi"/>
          <w:b/>
          <w:bCs/>
          <w:sz w:val="24"/>
          <w:szCs w:val="24"/>
          <w:lang w:bidi="ar-DZ"/>
        </w:rPr>
        <w:t>L.</w:t>
      </w:r>
      <w:r w:rsidR="007316EC">
        <w:rPr>
          <w:rFonts w:asciiTheme="majorBidi" w:hAnsiTheme="majorBidi" w:cstheme="majorBidi"/>
          <w:b/>
          <w:bCs/>
          <w:sz w:val="24"/>
          <w:szCs w:val="24"/>
          <w:lang w:bidi="ar-DZ"/>
        </w:rPr>
        <w:t xml:space="preserve"> et ses activités biologiques</w:t>
      </w:r>
    </w:p>
    <w:p w14:paraId="25741A9D" w14:textId="77777777" w:rsidR="003E3FB4" w:rsidRDefault="00385ED0">
      <w:pPr>
        <w:spacing w:after="12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I-1-Historique et l’origine de </w:t>
      </w:r>
      <w:r>
        <w:rPr>
          <w:rFonts w:asciiTheme="majorBidi" w:hAnsiTheme="majorBidi" w:cstheme="majorBidi"/>
          <w:i/>
          <w:iCs/>
          <w:sz w:val="24"/>
          <w:szCs w:val="24"/>
          <w:lang w:bidi="ar-DZ"/>
        </w:rPr>
        <w:t>Trigonella foenum-graecum</w:t>
      </w:r>
      <w:r>
        <w:rPr>
          <w:rFonts w:asciiTheme="majorBidi" w:hAnsiTheme="majorBidi" w:cstheme="majorBidi"/>
          <w:sz w:val="24"/>
          <w:szCs w:val="24"/>
          <w:lang w:bidi="ar-DZ"/>
        </w:rPr>
        <w:t xml:space="preserve"> L………………………………. 4</w:t>
      </w:r>
    </w:p>
    <w:p w14:paraId="722DCC6D" w14:textId="5CC34EF4" w:rsidR="003E3FB4" w:rsidRDefault="00385ED0">
      <w:pPr>
        <w:tabs>
          <w:tab w:val="left" w:pos="6173"/>
        </w:tabs>
        <w:spacing w:after="120" w:line="360" w:lineRule="auto"/>
        <w:jc w:val="both"/>
        <w:rPr>
          <w:rFonts w:asciiTheme="majorBidi" w:hAnsiTheme="majorBidi" w:cstheme="majorBidi"/>
          <w:sz w:val="24"/>
          <w:szCs w:val="24"/>
          <w:lang w:bidi="ar-DZ"/>
        </w:rPr>
      </w:pPr>
      <w:r>
        <w:rPr>
          <w:rFonts w:asciiTheme="majorBidi" w:hAnsiTheme="majorBidi" w:cstheme="majorBidi"/>
          <w:noProof/>
          <w:sz w:val="24"/>
          <w:szCs w:val="24"/>
          <w:lang w:bidi="ar-DZ"/>
        </w:rPr>
        <mc:AlternateContent>
          <mc:Choice Requires="wps">
            <w:drawing>
              <wp:anchor distT="0" distB="0" distL="114300" distR="114300" simplePos="0" relativeHeight="251670528" behindDoc="0" locked="0" layoutInCell="1" allowOverlap="1" wp14:anchorId="168226A1" wp14:editId="1A10B872">
                <wp:simplePos x="0" y="0"/>
                <wp:positionH relativeFrom="column">
                  <wp:posOffset>-764540</wp:posOffset>
                </wp:positionH>
                <wp:positionV relativeFrom="paragraph">
                  <wp:posOffset>9855200</wp:posOffset>
                </wp:positionV>
                <wp:extent cx="7753985" cy="323850"/>
                <wp:effectExtent l="0" t="0" r="0" b="0"/>
                <wp:wrapNone/>
                <wp:docPr id="1666117163" name="Rectangle 10"/>
                <wp:cNvGraphicFramePr/>
                <a:graphic xmlns:a="http://schemas.openxmlformats.org/drawingml/2006/main">
                  <a:graphicData uri="http://schemas.microsoft.com/office/word/2010/wordprocessingShape">
                    <wps:wsp>
                      <wps:cNvSpPr/>
                      <wps:spPr>
                        <a:xfrm>
                          <a:off x="0" y="0"/>
                          <a:ext cx="7753985" cy="323850"/>
                        </a:xfrm>
                        <a:prstGeom prst="rect">
                          <a:avLst/>
                        </a:prstGeom>
                        <a:solidFill>
                          <a:schemeClr val="accent5">
                            <a:lumMod val="60000"/>
                            <a:lumOff val="40000"/>
                          </a:schemeClr>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32EE9467" w14:textId="77777777" w:rsidR="003E3FB4" w:rsidRDefault="00385ED0">
                            <w:pPr>
                              <w:jc w:val="center"/>
                            </w:pPr>
                            <w:r>
                              <w:rPr>
                                <w:b/>
                                <w:bCs/>
                                <w:kern w:val="0"/>
                                <w:sz w:val="28"/>
                                <w:szCs w:val="28"/>
                                <w:lang w:val="en-US"/>
                                <w14:ligatures w14:val="none"/>
                              </w:rPr>
                              <w:t xml:space="preserve">Chapiter 1:   </w:t>
                            </w:r>
                            <w:r>
                              <w:rPr>
                                <w:kern w:val="0"/>
                                <w:sz w:val="28"/>
                                <w:szCs w:val="28"/>
                                <w:lang w:val="en-US"/>
                                <w14:ligatures w14:val="none"/>
                              </w:rPr>
                              <w:t xml:space="preserve">                                                                                                           </w:t>
                            </w:r>
                            <w:r>
                              <w:rPr>
                                <w:rFonts w:asciiTheme="majorBidi" w:hAnsiTheme="majorBidi" w:cstheme="majorBidi"/>
                                <w:b/>
                                <w:bCs/>
                                <w:kern w:val="0"/>
                                <w:sz w:val="28"/>
                                <w:szCs w:val="28"/>
                                <w:lang w:bidi="ar-DZ"/>
                                <w14:ligatures w14:val="none"/>
                              </w:rPr>
                              <w:t>Synthèse bibliographique</w:t>
                            </w:r>
                          </w:p>
                          <w:p w14:paraId="05BFF25D" w14:textId="77777777" w:rsidR="003E3FB4" w:rsidRDefault="003E3FB4">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w14:anchorId="168226A1" id="Rectangle 10" o:spid="_x0000_s1027" style="position:absolute;left:0;text-align:left;margin-left:-60.2pt;margin-top:776pt;width:610.55pt;height:25.5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dq3hQIAAHUFAAAOAAAAZHJzL2Uyb0RvYy54bWysVEtv2zAMvg/YfxB0Xx3n0UdQpwhadBjQ&#10;rUW7YWdFlmIBkqhJSpzs14+SHSdbix2G5eBIfHwkP5G8vtkZTbbCBwW2ouXZiBJhOdTKriv67ev9&#10;h0tKQmS2ZhqsqOheBHqzeP/uunVzMYYGdC08QRAb5q2raBOjmxdF4I0wLJyBExaVErxhEa9+XdSe&#10;tYhudDEejc6LFnztPHARAkrvOiVdZHwpBY+PUgYRia4o5hbz1+fvKn2LxTWbrz1zjeJ9GuwfsjBM&#10;WQw6QN2xyMjGq1dQRnEPAWQ842AKkFJxkWvAasrRH9W8NMyJXAuSE9xAU/h/sPzL9sU9eaShdWEe&#10;8Jiq2Elv0j/mR3aZrP1AlthFwlF4cTGbXF3OKOGom4wnl7PMZnH0dj7EjwIMSYeKenyMzBHbPoSI&#10;EdH0YJKCBdCqvlda50tqAHGrPdkyfDrGubBxlt31xnyGupOfj/DXPSKK8ak78fQgxhC5lRJSDvhb&#10;EG1TKAspaJdPkhRHJvIp7rVIdto+C0lUjbWPcyID8mmOZadqWC06cTnrU3yVSwZMyBLjD9g9wFv1&#10;l6lShOntk6vIPT44j/6WWOc8eOTIYOPgbJQF/xaAjkPkzv5AUkdNYinuVjvkBldAyjFJVlDvnzzx&#10;0M1ccPxeYR88sBCfmMchw3HExREf8SM1tBWF/kRJA/7nW/Jkj72PWkpaHNqKhh8b5gUl+pPFqbgq&#10;p9M05fkynV2M8eJPNatTjd2YW8DmKnFFOZ6PyT7qw1F6MN9xvyxTVFQxyzF2RXn0h8tt7JYJbigu&#10;lstshpPtWHywL44n8MSzheUmglS57Y/s9DzibOd37fdQWh6n92x13JaLXwAAAP//AwBQSwMEFAAG&#10;AAgAAAAhAOeg5ujjAAAADwEAAA8AAABkcnMvZG93bnJldi54bWxMj81OwzAQhO+VeAdrkbi1dgL9&#10;UYhTARLcqEToodzc2CSBeB1sN03enu0JbjuaT7Mz+Xa0HRuMD61DCclCADNYOd1iLWH//jzfAAtR&#10;oVadQyNhMgG2xdUsV5l2Z3wzQxlrRiEYMiWhibHPOA9VY6wKC9cbJO/TeasiSV9z7dWZwm3HUyFW&#10;3KoW6UOjevPUmOq7PFkJr7svu68ey4/NMA3Tj18fDi+9k/Lmeny4BxbNGP9guNSn6lBQp6M7oQ6s&#10;kzBPUnFHLDnLZUqzLkwixBrYka6VuBXAi5z/31H8AgAA//8DAFBLAQItABQABgAIAAAAIQC2gziS&#10;/gAAAOEBAAATAAAAAAAAAAAAAAAAAAAAAABbQ29udGVudF9UeXBlc10ueG1sUEsBAi0AFAAGAAgA&#10;AAAhADj9If/WAAAAlAEAAAsAAAAAAAAAAAAAAAAALwEAAF9yZWxzLy5yZWxzUEsBAi0AFAAGAAgA&#10;AAAhAM+x2reFAgAAdQUAAA4AAAAAAAAAAAAAAAAALgIAAGRycy9lMm9Eb2MueG1sUEsBAi0AFAAG&#10;AAgAAAAhAOeg5ujjAAAADwEAAA8AAAAAAAAAAAAAAAAA3wQAAGRycy9kb3ducmV2LnhtbFBLBQYA&#10;AAAABAAEAPMAAADvBQAAAAA=&#10;" fillcolor="#9cc2e5 [1944]" stroked="f" strokeweight="1pt">
                <v:textbox>
                  <w:txbxContent>
                    <w:p w14:paraId="32EE9467" w14:textId="77777777" w:rsidR="003E3FB4" w:rsidRDefault="00385ED0">
                      <w:pPr>
                        <w:jc w:val="center"/>
                      </w:pPr>
                      <w:r>
                        <w:rPr>
                          <w:b/>
                          <w:bCs/>
                          <w:kern w:val="0"/>
                          <w:sz w:val="28"/>
                          <w:szCs w:val="28"/>
                          <w:lang w:val="en-US"/>
                          <w14:ligatures w14:val="none"/>
                        </w:rPr>
                        <w:t xml:space="preserve">Chapiter 1:   </w:t>
                      </w:r>
                      <w:r>
                        <w:rPr>
                          <w:kern w:val="0"/>
                          <w:sz w:val="28"/>
                          <w:szCs w:val="28"/>
                          <w:lang w:val="en-US"/>
                          <w14:ligatures w14:val="none"/>
                        </w:rPr>
                        <w:t xml:space="preserve">                                                                                                           </w:t>
                      </w:r>
                      <w:r>
                        <w:rPr>
                          <w:rFonts w:asciiTheme="majorBidi" w:hAnsiTheme="majorBidi" w:cstheme="majorBidi"/>
                          <w:b/>
                          <w:bCs/>
                          <w:kern w:val="0"/>
                          <w:sz w:val="28"/>
                          <w:szCs w:val="28"/>
                          <w:lang w:bidi="ar-DZ"/>
                          <w14:ligatures w14:val="none"/>
                        </w:rPr>
                        <w:t>Synthèse bibliographique</w:t>
                      </w:r>
                    </w:p>
                    <w:p w14:paraId="05BFF25D" w14:textId="77777777" w:rsidR="003E3FB4" w:rsidRDefault="003E3FB4">
                      <w:pPr>
                        <w:jc w:val="center"/>
                      </w:pPr>
                    </w:p>
                  </w:txbxContent>
                </v:textbox>
              </v:rect>
            </w:pict>
          </mc:Fallback>
        </mc:AlternateContent>
      </w:r>
      <w:r>
        <w:rPr>
          <w:rFonts w:asciiTheme="majorBidi" w:hAnsiTheme="majorBidi" w:cstheme="majorBidi"/>
          <w:sz w:val="24"/>
          <w:szCs w:val="24"/>
          <w:lang w:bidi="ar-DZ"/>
        </w:rPr>
        <w:t xml:space="preserve">I-2 - Description botanique…………………………………………………………………. </w:t>
      </w:r>
      <w:r w:rsidR="00CC51A3">
        <w:rPr>
          <w:rFonts w:asciiTheme="majorBidi" w:hAnsiTheme="majorBidi" w:cstheme="majorBidi"/>
          <w:sz w:val="24"/>
          <w:szCs w:val="24"/>
          <w:lang w:bidi="ar-DZ"/>
        </w:rPr>
        <w:t>4</w:t>
      </w:r>
    </w:p>
    <w:p w14:paraId="6208782B" w14:textId="77777777" w:rsidR="003E3FB4" w:rsidRDefault="00385ED0">
      <w:pPr>
        <w:tabs>
          <w:tab w:val="left" w:pos="6173"/>
        </w:tabs>
        <w:spacing w:after="12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I-3 - Classification botanique………………………………………………………………. 6</w:t>
      </w:r>
    </w:p>
    <w:p w14:paraId="79F6EC26" w14:textId="77777777" w:rsidR="003E3FB4" w:rsidRDefault="00385ED0">
      <w:pPr>
        <w:tabs>
          <w:tab w:val="left" w:pos="6173"/>
        </w:tabs>
        <w:spacing w:after="12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I-4 - Noms vernaculaires……………………………………………………………………6</w:t>
      </w:r>
    </w:p>
    <w:p w14:paraId="10CE688A" w14:textId="77777777" w:rsidR="003E3FB4" w:rsidRDefault="00385ED0">
      <w:pPr>
        <w:tabs>
          <w:tab w:val="left" w:pos="6173"/>
        </w:tabs>
        <w:spacing w:after="12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I-5 - Répartition géographique………………………………………………………………7</w:t>
      </w:r>
    </w:p>
    <w:p w14:paraId="598D3DFD" w14:textId="77777777" w:rsidR="003E3FB4" w:rsidRDefault="00385ED0">
      <w:pPr>
        <w:tabs>
          <w:tab w:val="left" w:pos="6173"/>
        </w:tabs>
        <w:spacing w:after="12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I.6. Composition phytochimique de </w:t>
      </w:r>
      <w:r>
        <w:rPr>
          <w:rFonts w:asciiTheme="majorBidi" w:hAnsiTheme="majorBidi" w:cstheme="majorBidi"/>
          <w:i/>
          <w:iCs/>
          <w:sz w:val="24"/>
          <w:szCs w:val="24"/>
          <w:lang w:bidi="ar-DZ"/>
        </w:rPr>
        <w:t>Trigonella foenum-graecum</w:t>
      </w:r>
      <w:r>
        <w:rPr>
          <w:rFonts w:asciiTheme="majorBidi" w:hAnsiTheme="majorBidi" w:cstheme="majorBidi"/>
          <w:sz w:val="24"/>
          <w:szCs w:val="24"/>
          <w:lang w:bidi="ar-DZ"/>
        </w:rPr>
        <w:t xml:space="preserve"> L. ………………………8</w:t>
      </w:r>
    </w:p>
    <w:p w14:paraId="1A8FF42B" w14:textId="77777777" w:rsidR="003E3FB4" w:rsidRDefault="00385ED0">
      <w:pPr>
        <w:tabs>
          <w:tab w:val="left" w:pos="6173"/>
        </w:tabs>
        <w:spacing w:after="12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I.6.1. Les métabolites primaires de fenugrec</w:t>
      </w:r>
      <w:r>
        <w:rPr>
          <w:rFonts w:asciiTheme="majorBidi" w:hAnsiTheme="majorBidi" w:cstheme="majorBidi"/>
          <w:b/>
          <w:bCs/>
          <w:sz w:val="24"/>
          <w:szCs w:val="24"/>
          <w:lang w:bidi="ar-DZ"/>
        </w:rPr>
        <w:t xml:space="preserve"> </w:t>
      </w:r>
      <w:r>
        <w:rPr>
          <w:rFonts w:asciiTheme="majorBidi" w:hAnsiTheme="majorBidi" w:cstheme="majorBidi"/>
          <w:sz w:val="24"/>
          <w:szCs w:val="24"/>
          <w:lang w:bidi="ar-DZ"/>
        </w:rPr>
        <w:t xml:space="preserve">……………………………………………… </w:t>
      </w:r>
      <w:r>
        <w:rPr>
          <w:rFonts w:asciiTheme="majorBidi" w:hAnsiTheme="majorBidi" w:cstheme="majorBidi"/>
          <w:b/>
          <w:bCs/>
          <w:sz w:val="24"/>
          <w:szCs w:val="24"/>
          <w:lang w:bidi="ar-DZ"/>
        </w:rPr>
        <w:t>.</w:t>
      </w:r>
      <w:r>
        <w:rPr>
          <w:rFonts w:asciiTheme="majorBidi" w:hAnsiTheme="majorBidi" w:cstheme="majorBidi"/>
          <w:sz w:val="24"/>
          <w:szCs w:val="24"/>
          <w:lang w:bidi="ar-DZ"/>
        </w:rPr>
        <w:t>8</w:t>
      </w:r>
    </w:p>
    <w:p w14:paraId="1F96E69F" w14:textId="77777777" w:rsidR="003E3FB4" w:rsidRDefault="00385ED0">
      <w:pPr>
        <w:tabs>
          <w:tab w:val="left" w:pos="6173"/>
        </w:tabs>
        <w:spacing w:after="12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I.6.2. Les métabolites secondaires de fenugrec……………………………………………  10</w:t>
      </w:r>
    </w:p>
    <w:p w14:paraId="7B1A22CC" w14:textId="77777777" w:rsidR="003E3FB4" w:rsidRDefault="00385ED0">
      <w:pPr>
        <w:tabs>
          <w:tab w:val="left" w:pos="6173"/>
        </w:tabs>
        <w:spacing w:after="12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I.6.2.1. Les polyphénols………………………………………………………………….    10</w:t>
      </w:r>
    </w:p>
    <w:p w14:paraId="34B5DF6D" w14:textId="77777777" w:rsidR="003E3FB4" w:rsidRDefault="00385ED0">
      <w:pPr>
        <w:tabs>
          <w:tab w:val="left" w:pos="6173"/>
        </w:tabs>
        <w:spacing w:after="12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I.6.2.1.1.  Acides phénoliques ……………………………………………………………. 11</w:t>
      </w:r>
    </w:p>
    <w:p w14:paraId="4049210E" w14:textId="77777777" w:rsidR="003E3FB4" w:rsidRDefault="00385ED0">
      <w:pPr>
        <w:tabs>
          <w:tab w:val="left" w:pos="6173"/>
        </w:tabs>
        <w:spacing w:after="120" w:line="360" w:lineRule="auto"/>
        <w:jc w:val="both"/>
        <w:rPr>
          <w:rFonts w:asciiTheme="majorBidi" w:hAnsiTheme="majorBidi" w:cstheme="majorBidi"/>
          <w:b/>
          <w:bCs/>
          <w:sz w:val="24"/>
          <w:szCs w:val="24"/>
          <w:lang w:bidi="ar-DZ"/>
        </w:rPr>
      </w:pPr>
      <w:r>
        <w:rPr>
          <w:rFonts w:asciiTheme="majorBidi" w:hAnsiTheme="majorBidi" w:cstheme="majorBidi"/>
          <w:sz w:val="24"/>
          <w:szCs w:val="24"/>
          <w:lang w:bidi="ar-DZ"/>
        </w:rPr>
        <w:t>I.6.2.1.2.  Les flavonoïdes</w:t>
      </w:r>
      <w:r>
        <w:rPr>
          <w:rFonts w:asciiTheme="majorBidi" w:hAnsiTheme="majorBidi" w:cstheme="majorBidi"/>
          <w:b/>
          <w:bCs/>
          <w:sz w:val="24"/>
          <w:szCs w:val="24"/>
          <w:lang w:bidi="ar-DZ"/>
        </w:rPr>
        <w:t xml:space="preserve"> </w:t>
      </w:r>
      <w:r>
        <w:rPr>
          <w:rFonts w:asciiTheme="majorBidi" w:hAnsiTheme="majorBidi" w:cstheme="majorBidi"/>
          <w:sz w:val="24"/>
          <w:szCs w:val="24"/>
          <w:lang w:bidi="ar-DZ"/>
        </w:rPr>
        <w:t>………………………………………………………………… 11</w:t>
      </w:r>
    </w:p>
    <w:p w14:paraId="5085E25D" w14:textId="77777777" w:rsidR="003E3FB4" w:rsidRDefault="00385ED0">
      <w:pPr>
        <w:tabs>
          <w:tab w:val="left" w:pos="6173"/>
        </w:tabs>
        <w:spacing w:after="12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I.6.2.1.3. Les Tanins………………………………………………………………………. 12</w:t>
      </w:r>
    </w:p>
    <w:p w14:paraId="3B49E02E" w14:textId="72D02BA4" w:rsidR="003E3FB4" w:rsidRDefault="00385ED0">
      <w:pPr>
        <w:tabs>
          <w:tab w:val="left" w:pos="1134"/>
        </w:tabs>
        <w:spacing w:line="240" w:lineRule="auto"/>
        <w:rPr>
          <w:rFonts w:asciiTheme="majorBidi" w:hAnsiTheme="majorBidi" w:cstheme="majorBidi"/>
          <w:sz w:val="24"/>
          <w:szCs w:val="24"/>
        </w:rPr>
      </w:pPr>
      <w:r>
        <w:rPr>
          <w:rFonts w:asciiTheme="majorBidi" w:hAnsiTheme="majorBidi" w:cstheme="majorBidi"/>
          <w:sz w:val="24"/>
          <w:szCs w:val="24"/>
        </w:rPr>
        <w:t>I.6.2.1.4.  Coumarine …………………………………………………………………….  1</w:t>
      </w:r>
      <w:r w:rsidR="00CC51A3">
        <w:rPr>
          <w:rFonts w:asciiTheme="majorBidi" w:hAnsiTheme="majorBidi" w:cstheme="majorBidi"/>
          <w:sz w:val="24"/>
          <w:szCs w:val="24"/>
        </w:rPr>
        <w:t>2</w:t>
      </w:r>
    </w:p>
    <w:p w14:paraId="1C2A08C0" w14:textId="77777777" w:rsidR="003E3FB4" w:rsidRDefault="00385ED0">
      <w:pPr>
        <w:tabs>
          <w:tab w:val="left" w:pos="1134"/>
        </w:tabs>
        <w:spacing w:line="240" w:lineRule="auto"/>
        <w:rPr>
          <w:rFonts w:asciiTheme="majorBidi" w:hAnsiTheme="majorBidi" w:cstheme="majorBidi"/>
          <w:sz w:val="24"/>
          <w:szCs w:val="24"/>
        </w:rPr>
      </w:pPr>
      <w:r>
        <w:rPr>
          <w:rFonts w:asciiTheme="majorBidi" w:hAnsiTheme="majorBidi" w:cstheme="majorBidi"/>
          <w:sz w:val="24"/>
          <w:szCs w:val="24"/>
        </w:rPr>
        <w:lastRenderedPageBreak/>
        <w:t>I.6.2.2. Les Alcaloïdes…………………………………………………………………… 13</w:t>
      </w:r>
    </w:p>
    <w:p w14:paraId="139E5E88" w14:textId="77777777" w:rsidR="003E3FB4" w:rsidRDefault="00385ED0">
      <w:pPr>
        <w:tabs>
          <w:tab w:val="left" w:pos="1134"/>
        </w:tabs>
        <w:spacing w:line="240" w:lineRule="auto"/>
        <w:rPr>
          <w:rFonts w:asciiTheme="majorBidi" w:hAnsiTheme="majorBidi" w:cstheme="majorBidi"/>
          <w:sz w:val="24"/>
          <w:szCs w:val="24"/>
        </w:rPr>
      </w:pPr>
      <w:r>
        <w:rPr>
          <w:rFonts w:asciiTheme="majorBidi" w:hAnsiTheme="majorBidi" w:cstheme="majorBidi"/>
          <w:sz w:val="24"/>
          <w:szCs w:val="24"/>
        </w:rPr>
        <w:t>I.6.2.3. Les Saponines…………………………………………………………………… .13</w:t>
      </w:r>
    </w:p>
    <w:p w14:paraId="3D9D4466" w14:textId="77777777" w:rsidR="003E3FB4" w:rsidRDefault="00385ED0">
      <w:pPr>
        <w:tabs>
          <w:tab w:val="left" w:pos="6173"/>
        </w:tabs>
        <w:spacing w:after="12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I.7.  Activités biologiques de </w:t>
      </w:r>
      <w:r>
        <w:rPr>
          <w:rFonts w:asciiTheme="majorBidi" w:hAnsiTheme="majorBidi" w:cstheme="majorBidi"/>
          <w:i/>
          <w:iCs/>
          <w:sz w:val="24"/>
          <w:szCs w:val="24"/>
          <w:lang w:bidi="ar-DZ"/>
        </w:rPr>
        <w:t>Trigonella foenum-graecum</w:t>
      </w:r>
      <w:r>
        <w:rPr>
          <w:rFonts w:asciiTheme="majorBidi" w:hAnsiTheme="majorBidi" w:cstheme="majorBidi"/>
          <w:sz w:val="24"/>
          <w:szCs w:val="24"/>
          <w:lang w:bidi="ar-DZ"/>
        </w:rPr>
        <w:t xml:space="preserve"> L……………………………. 14</w:t>
      </w:r>
    </w:p>
    <w:p w14:paraId="5555D159" w14:textId="77777777" w:rsidR="003E3FB4" w:rsidRDefault="00385ED0">
      <w:pPr>
        <w:tabs>
          <w:tab w:val="left" w:pos="6173"/>
        </w:tabs>
        <w:spacing w:after="12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I.7.1. Activité Antioxydante……………………………………………………………… 14</w:t>
      </w:r>
    </w:p>
    <w:p w14:paraId="584D2A6F" w14:textId="77777777" w:rsidR="003E3FB4" w:rsidRDefault="00385ED0">
      <w:pPr>
        <w:tabs>
          <w:tab w:val="left" w:pos="6173"/>
        </w:tabs>
        <w:spacing w:after="12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I.7.2. Activité Antimicrobienne ………………………………………………………….  15</w:t>
      </w:r>
    </w:p>
    <w:p w14:paraId="2361BBC5" w14:textId="77777777" w:rsidR="003E3FB4" w:rsidRDefault="00385ED0">
      <w:pPr>
        <w:tabs>
          <w:tab w:val="left" w:pos="6173"/>
        </w:tabs>
        <w:spacing w:after="12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I.7.3. Activité Anti-Inflammatoire ………………………………………………………. 16</w:t>
      </w:r>
    </w:p>
    <w:p w14:paraId="776D2711" w14:textId="25863804" w:rsidR="003E3FB4" w:rsidRDefault="00385ED0">
      <w:pPr>
        <w:tabs>
          <w:tab w:val="left" w:pos="6173"/>
        </w:tabs>
        <w:spacing w:after="12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I.7.4. Activité Antidiabétique ……………………………………………………………. 1</w:t>
      </w:r>
      <w:r w:rsidR="00CC51A3">
        <w:rPr>
          <w:rFonts w:asciiTheme="majorBidi" w:hAnsiTheme="majorBidi" w:cstheme="majorBidi"/>
          <w:sz w:val="24"/>
          <w:szCs w:val="24"/>
          <w:lang w:bidi="ar-DZ"/>
        </w:rPr>
        <w:t>6</w:t>
      </w:r>
    </w:p>
    <w:p w14:paraId="3180A15A" w14:textId="77777777" w:rsidR="003E3FB4" w:rsidRDefault="00385ED0">
      <w:pPr>
        <w:tabs>
          <w:tab w:val="left" w:pos="6173"/>
        </w:tabs>
        <w:spacing w:after="12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I.7.5. Activité Antiulcéreuse……………………………………………………………… 17</w:t>
      </w:r>
    </w:p>
    <w:p w14:paraId="2EBABC02" w14:textId="43ACEF15" w:rsidR="003E3FB4" w:rsidRDefault="00385ED0">
      <w:pPr>
        <w:tabs>
          <w:tab w:val="left" w:pos="6173"/>
        </w:tabs>
        <w:spacing w:after="12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I.7.6. Effet des activités enzymatiques……………………………………………………1</w:t>
      </w:r>
      <w:r w:rsidR="00CC51A3">
        <w:rPr>
          <w:rFonts w:asciiTheme="majorBidi" w:hAnsiTheme="majorBidi" w:cstheme="majorBidi"/>
          <w:sz w:val="24"/>
          <w:szCs w:val="24"/>
          <w:lang w:bidi="ar-DZ"/>
        </w:rPr>
        <w:t>7</w:t>
      </w:r>
    </w:p>
    <w:p w14:paraId="4CCB690D" w14:textId="77777777" w:rsidR="003E3FB4" w:rsidRPr="007316EC" w:rsidRDefault="00385ED0">
      <w:pPr>
        <w:tabs>
          <w:tab w:val="left" w:pos="6173"/>
        </w:tabs>
        <w:spacing w:after="120" w:line="360" w:lineRule="auto"/>
        <w:jc w:val="center"/>
        <w:rPr>
          <w:rFonts w:asciiTheme="majorBidi" w:hAnsiTheme="majorBidi" w:cstheme="majorBidi"/>
          <w:b/>
          <w:bCs/>
          <w:sz w:val="24"/>
          <w:szCs w:val="24"/>
          <w:lang w:bidi="ar-DZ"/>
        </w:rPr>
      </w:pPr>
      <w:r w:rsidRPr="007316EC">
        <w:rPr>
          <w:rFonts w:asciiTheme="majorBidi" w:hAnsiTheme="majorBidi" w:cstheme="majorBidi"/>
          <w:b/>
          <w:bCs/>
          <w:sz w:val="24"/>
          <w:szCs w:val="24"/>
          <w:lang w:bidi="ar-DZ"/>
        </w:rPr>
        <w:t>Chapitre II : Matériel et méthodes</w:t>
      </w:r>
    </w:p>
    <w:p w14:paraId="3289E6C6" w14:textId="77777777" w:rsidR="003E3FB4" w:rsidRDefault="00385ED0">
      <w:pPr>
        <w:tabs>
          <w:tab w:val="left" w:pos="6173"/>
        </w:tabs>
        <w:spacing w:after="12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II.1 Matériel</w:t>
      </w:r>
      <w:r>
        <w:rPr>
          <w:rFonts w:asciiTheme="majorBidi" w:hAnsiTheme="majorBidi" w:cstheme="majorBidi"/>
          <w:b/>
          <w:bCs/>
          <w:sz w:val="24"/>
          <w:szCs w:val="24"/>
          <w:lang w:bidi="ar-DZ"/>
        </w:rPr>
        <w:t xml:space="preserve"> </w:t>
      </w:r>
      <w:r>
        <w:rPr>
          <w:rFonts w:asciiTheme="majorBidi" w:hAnsiTheme="majorBidi" w:cstheme="majorBidi"/>
          <w:sz w:val="24"/>
          <w:szCs w:val="24"/>
          <w:lang w:bidi="ar-DZ"/>
        </w:rPr>
        <w:t>……………………………………………………………………………… 20</w:t>
      </w:r>
    </w:p>
    <w:p w14:paraId="6F67059B" w14:textId="77777777" w:rsidR="003E3FB4" w:rsidRDefault="00385ED0">
      <w:pPr>
        <w:tabs>
          <w:tab w:val="left" w:pos="6173"/>
        </w:tabs>
        <w:spacing w:after="12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II.1.1. Matériel non biologique ………………………………………………………….   20</w:t>
      </w:r>
    </w:p>
    <w:p w14:paraId="5E4EF6AE" w14:textId="77777777" w:rsidR="003E3FB4" w:rsidRDefault="00385ED0">
      <w:pPr>
        <w:tabs>
          <w:tab w:val="left" w:pos="6173"/>
        </w:tabs>
        <w:spacing w:after="12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II.1.2. Matériel biologique ……………………………………………………………….  20</w:t>
      </w:r>
    </w:p>
    <w:p w14:paraId="165A564B" w14:textId="77777777" w:rsidR="003E3FB4" w:rsidRDefault="00385ED0">
      <w:pPr>
        <w:tabs>
          <w:tab w:val="left" w:pos="6173"/>
        </w:tabs>
        <w:spacing w:after="12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II.1.2.1. Matériel végétal …………………………………………………………………. 20</w:t>
      </w:r>
    </w:p>
    <w:p w14:paraId="22AD2FFF" w14:textId="77777777" w:rsidR="003E3FB4" w:rsidRDefault="00385ED0">
      <w:pPr>
        <w:tabs>
          <w:tab w:val="left" w:pos="6173"/>
        </w:tabs>
        <w:spacing w:after="12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II.1.3. Matériel microbien ………………………………………………………………… 22</w:t>
      </w:r>
    </w:p>
    <w:p w14:paraId="69171EAE" w14:textId="77777777" w:rsidR="003E3FB4" w:rsidRDefault="00385ED0">
      <w:pPr>
        <w:tabs>
          <w:tab w:val="left" w:pos="6173"/>
        </w:tabs>
        <w:spacing w:after="12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II.1.3.1. Souches bactériennes ……………………………………………………………. 22</w:t>
      </w:r>
    </w:p>
    <w:p w14:paraId="3700D945" w14:textId="77777777" w:rsidR="003E3FB4" w:rsidRDefault="00385ED0">
      <w:pPr>
        <w:tabs>
          <w:tab w:val="left" w:pos="6173"/>
        </w:tabs>
        <w:spacing w:after="12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II.1.3.2. Souches fongiques testées ………………………………………………………. 22</w:t>
      </w:r>
    </w:p>
    <w:p w14:paraId="369C00A9" w14:textId="77777777" w:rsidR="003E3FB4" w:rsidRDefault="00385ED0">
      <w:pPr>
        <w:tabs>
          <w:tab w:val="left" w:pos="6173"/>
        </w:tabs>
        <w:spacing w:after="12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II.2. Méthode d’extraction des graines de fenugrec (</w:t>
      </w:r>
      <w:r>
        <w:rPr>
          <w:rFonts w:asciiTheme="majorBidi" w:hAnsiTheme="majorBidi" w:cstheme="majorBidi"/>
          <w:i/>
          <w:iCs/>
          <w:sz w:val="24"/>
          <w:szCs w:val="24"/>
          <w:lang w:bidi="ar-DZ"/>
        </w:rPr>
        <w:t>Trigonella foenum-graecum</w:t>
      </w:r>
      <w:r>
        <w:rPr>
          <w:rFonts w:asciiTheme="majorBidi" w:hAnsiTheme="majorBidi" w:cstheme="majorBidi"/>
          <w:sz w:val="24"/>
          <w:szCs w:val="24"/>
          <w:lang w:bidi="ar-DZ"/>
        </w:rPr>
        <w:t xml:space="preserve"> L.) ……23 </w:t>
      </w:r>
    </w:p>
    <w:p w14:paraId="19D23002" w14:textId="77777777" w:rsidR="003E3FB4" w:rsidRDefault="00385ED0">
      <w:pPr>
        <w:tabs>
          <w:tab w:val="left" w:pos="6173"/>
        </w:tabs>
        <w:spacing w:after="12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II.2.1. Préparation de l’extrait aqueux ……………………………………………………. 23</w:t>
      </w:r>
    </w:p>
    <w:p w14:paraId="2F8883AF" w14:textId="77777777" w:rsidR="003E3FB4" w:rsidRDefault="00385ED0">
      <w:pPr>
        <w:tabs>
          <w:tab w:val="left" w:pos="6173"/>
        </w:tabs>
        <w:spacing w:after="12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II.2.1. Préparation de l’extrait éthanolique ………………………………………………. 23</w:t>
      </w:r>
    </w:p>
    <w:p w14:paraId="2330AAF1" w14:textId="77777777" w:rsidR="003E3FB4" w:rsidRDefault="00385ED0">
      <w:pPr>
        <w:tabs>
          <w:tab w:val="left" w:pos="6173"/>
        </w:tabs>
        <w:spacing w:after="12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II.3. Etude phytochimique …………………………………………………………………24</w:t>
      </w:r>
    </w:p>
    <w:p w14:paraId="1D1A9547" w14:textId="77777777" w:rsidR="003E3FB4" w:rsidRDefault="00385ED0">
      <w:pPr>
        <w:tabs>
          <w:tab w:val="left" w:pos="6173"/>
        </w:tabs>
        <w:spacing w:after="120" w:line="360" w:lineRule="auto"/>
        <w:ind w:firstLine="567"/>
        <w:jc w:val="both"/>
        <w:rPr>
          <w:rFonts w:asciiTheme="majorBidi" w:hAnsiTheme="majorBidi" w:cstheme="majorBidi"/>
          <w:sz w:val="24"/>
          <w:szCs w:val="24"/>
          <w:lang w:bidi="ar-DZ"/>
        </w:rPr>
      </w:pPr>
      <w:r>
        <w:rPr>
          <w:rFonts w:asciiTheme="majorBidi" w:hAnsiTheme="majorBidi" w:cstheme="majorBidi"/>
          <w:sz w:val="24"/>
          <w:szCs w:val="24"/>
          <w:lang w:bidi="ar-DZ"/>
        </w:rPr>
        <w:t>II.3.1. Flavonoïdes …………………………………………………………………. 25</w:t>
      </w:r>
    </w:p>
    <w:p w14:paraId="1FDD8156" w14:textId="77777777" w:rsidR="003E3FB4" w:rsidRDefault="00385ED0">
      <w:pPr>
        <w:tabs>
          <w:tab w:val="left" w:pos="6173"/>
        </w:tabs>
        <w:spacing w:after="120" w:line="360" w:lineRule="auto"/>
        <w:ind w:firstLine="567"/>
        <w:jc w:val="both"/>
        <w:rPr>
          <w:rFonts w:asciiTheme="majorBidi" w:hAnsiTheme="majorBidi" w:cstheme="majorBidi"/>
          <w:sz w:val="24"/>
          <w:szCs w:val="24"/>
          <w:lang w:bidi="ar-DZ"/>
        </w:rPr>
      </w:pPr>
      <w:r>
        <w:rPr>
          <w:rFonts w:asciiTheme="majorBidi" w:hAnsiTheme="majorBidi" w:cstheme="majorBidi"/>
          <w:sz w:val="24"/>
          <w:szCs w:val="24"/>
          <w:lang w:bidi="ar-DZ"/>
        </w:rPr>
        <w:t>II.3.2. Tanins ……………………………………………………………………….  25</w:t>
      </w:r>
    </w:p>
    <w:p w14:paraId="0FB79118" w14:textId="77777777" w:rsidR="003E3FB4" w:rsidRDefault="00385ED0">
      <w:pPr>
        <w:tabs>
          <w:tab w:val="left" w:pos="6173"/>
        </w:tabs>
        <w:spacing w:after="120" w:line="360" w:lineRule="auto"/>
        <w:ind w:firstLine="567"/>
        <w:jc w:val="both"/>
        <w:rPr>
          <w:rFonts w:asciiTheme="majorBidi" w:hAnsiTheme="majorBidi" w:cstheme="majorBidi"/>
          <w:sz w:val="24"/>
          <w:szCs w:val="24"/>
          <w:lang w:bidi="ar-DZ"/>
        </w:rPr>
      </w:pPr>
      <w:r>
        <w:rPr>
          <w:rFonts w:asciiTheme="majorBidi" w:hAnsiTheme="majorBidi" w:cstheme="majorBidi"/>
          <w:sz w:val="24"/>
          <w:szCs w:val="24"/>
          <w:lang w:bidi="ar-DZ"/>
        </w:rPr>
        <w:t>II.3.3. Saponines …………………………………………………………………… 25</w:t>
      </w:r>
    </w:p>
    <w:p w14:paraId="1045F8D3" w14:textId="77777777" w:rsidR="003E3FB4" w:rsidRDefault="00385ED0">
      <w:pPr>
        <w:tabs>
          <w:tab w:val="left" w:pos="6173"/>
        </w:tabs>
        <w:spacing w:after="120" w:line="360" w:lineRule="auto"/>
        <w:ind w:firstLine="567"/>
        <w:jc w:val="both"/>
        <w:rPr>
          <w:rFonts w:asciiTheme="majorBidi" w:hAnsiTheme="majorBidi" w:cstheme="majorBidi"/>
          <w:sz w:val="24"/>
          <w:szCs w:val="24"/>
          <w:lang w:bidi="ar-DZ"/>
        </w:rPr>
      </w:pPr>
      <w:r>
        <w:rPr>
          <w:rFonts w:asciiTheme="majorBidi" w:hAnsiTheme="majorBidi" w:cstheme="majorBidi"/>
          <w:sz w:val="24"/>
          <w:szCs w:val="24"/>
          <w:lang w:bidi="ar-DZ"/>
        </w:rPr>
        <w:t>II.3.4. Quinones libres ……………………………………………………………… 25</w:t>
      </w:r>
    </w:p>
    <w:p w14:paraId="6767657B" w14:textId="77777777" w:rsidR="003E3FB4" w:rsidRDefault="00385ED0">
      <w:pPr>
        <w:tabs>
          <w:tab w:val="left" w:pos="6173"/>
        </w:tabs>
        <w:spacing w:after="120" w:line="360" w:lineRule="auto"/>
        <w:ind w:firstLine="567"/>
        <w:jc w:val="both"/>
        <w:rPr>
          <w:rFonts w:asciiTheme="majorBidi" w:hAnsiTheme="majorBidi" w:cstheme="majorBidi"/>
          <w:sz w:val="24"/>
          <w:szCs w:val="24"/>
          <w:lang w:bidi="ar-DZ"/>
        </w:rPr>
      </w:pPr>
      <w:r>
        <w:rPr>
          <w:rFonts w:asciiTheme="majorBidi" w:hAnsiTheme="majorBidi" w:cstheme="majorBidi"/>
          <w:sz w:val="24"/>
          <w:szCs w:val="24"/>
          <w:lang w:bidi="ar-DZ"/>
        </w:rPr>
        <w:t>II.3.5. Alcaloïdes …………………………………………………………………… 25</w:t>
      </w:r>
    </w:p>
    <w:p w14:paraId="04AD0DAF" w14:textId="77777777" w:rsidR="003E3FB4" w:rsidRDefault="00385ED0">
      <w:pPr>
        <w:tabs>
          <w:tab w:val="left" w:pos="6173"/>
        </w:tabs>
        <w:spacing w:after="120" w:line="360" w:lineRule="auto"/>
        <w:jc w:val="both"/>
        <w:rPr>
          <w:rFonts w:asciiTheme="majorBidi" w:hAnsiTheme="majorBidi" w:cstheme="majorBidi"/>
          <w:b/>
          <w:bCs/>
          <w:sz w:val="24"/>
          <w:szCs w:val="24"/>
          <w:lang w:bidi="ar-DZ"/>
        </w:rPr>
      </w:pPr>
      <w:r>
        <w:rPr>
          <w:rFonts w:asciiTheme="majorBidi" w:hAnsiTheme="majorBidi" w:cstheme="majorBidi"/>
          <w:sz w:val="24"/>
          <w:szCs w:val="24"/>
          <w:lang w:bidi="ar-DZ"/>
        </w:rPr>
        <w:t>II.4. Dosage des composés phénoliques</w:t>
      </w:r>
      <w:r>
        <w:rPr>
          <w:rFonts w:asciiTheme="majorBidi" w:hAnsiTheme="majorBidi" w:cstheme="majorBidi"/>
          <w:b/>
          <w:bCs/>
          <w:sz w:val="24"/>
          <w:szCs w:val="24"/>
          <w:lang w:bidi="ar-DZ"/>
        </w:rPr>
        <w:t xml:space="preserve"> </w:t>
      </w:r>
      <w:r>
        <w:rPr>
          <w:rFonts w:asciiTheme="majorBidi" w:hAnsiTheme="majorBidi" w:cstheme="majorBidi"/>
          <w:sz w:val="24"/>
          <w:szCs w:val="24"/>
          <w:lang w:bidi="ar-DZ"/>
        </w:rPr>
        <w:t>………………………………………………….   26</w:t>
      </w:r>
    </w:p>
    <w:p w14:paraId="7DF2988F" w14:textId="77777777" w:rsidR="003E3FB4" w:rsidRDefault="00385ED0">
      <w:pPr>
        <w:tabs>
          <w:tab w:val="left" w:pos="6173"/>
        </w:tabs>
        <w:spacing w:after="120" w:line="360" w:lineRule="auto"/>
        <w:ind w:firstLine="567"/>
        <w:jc w:val="both"/>
        <w:rPr>
          <w:rFonts w:asciiTheme="majorBidi" w:hAnsiTheme="majorBidi" w:cstheme="majorBidi"/>
          <w:sz w:val="24"/>
          <w:szCs w:val="24"/>
          <w:lang w:bidi="ar-DZ"/>
        </w:rPr>
      </w:pPr>
      <w:r>
        <w:rPr>
          <w:rFonts w:asciiTheme="majorBidi" w:hAnsiTheme="majorBidi" w:cstheme="majorBidi"/>
          <w:sz w:val="24"/>
          <w:szCs w:val="24"/>
          <w:lang w:bidi="ar-DZ"/>
        </w:rPr>
        <w:lastRenderedPageBreak/>
        <w:t>II.4.1. Dosage des polyphénols totaux …………………………………………….  26</w:t>
      </w:r>
    </w:p>
    <w:p w14:paraId="5ED3A9AC" w14:textId="77777777" w:rsidR="003E3FB4" w:rsidRDefault="00385ED0">
      <w:pPr>
        <w:tabs>
          <w:tab w:val="left" w:pos="6173"/>
        </w:tabs>
        <w:spacing w:after="120" w:line="360" w:lineRule="auto"/>
        <w:ind w:firstLine="567"/>
        <w:jc w:val="both"/>
        <w:rPr>
          <w:rFonts w:asciiTheme="majorBidi" w:hAnsiTheme="majorBidi" w:cstheme="majorBidi"/>
          <w:sz w:val="24"/>
          <w:szCs w:val="24"/>
          <w:lang w:bidi="ar-DZ"/>
        </w:rPr>
      </w:pPr>
      <w:r>
        <w:rPr>
          <w:rFonts w:asciiTheme="majorBidi" w:hAnsiTheme="majorBidi" w:cstheme="majorBidi"/>
          <w:sz w:val="24"/>
          <w:szCs w:val="24"/>
          <w:lang w:bidi="ar-DZ"/>
        </w:rPr>
        <w:t>II.4.2. Dosage des flavonoïdes …………………………………………………….  26</w:t>
      </w:r>
    </w:p>
    <w:p w14:paraId="792111E8" w14:textId="77777777" w:rsidR="003E3FB4" w:rsidRDefault="00385ED0">
      <w:pPr>
        <w:tabs>
          <w:tab w:val="left" w:pos="6173"/>
        </w:tabs>
        <w:spacing w:after="120" w:line="360" w:lineRule="auto"/>
        <w:ind w:firstLine="567"/>
        <w:jc w:val="both"/>
        <w:rPr>
          <w:rFonts w:asciiTheme="majorBidi" w:hAnsiTheme="majorBidi" w:cstheme="majorBidi"/>
          <w:sz w:val="24"/>
          <w:szCs w:val="24"/>
          <w:lang w:bidi="ar-DZ"/>
        </w:rPr>
      </w:pPr>
      <w:r>
        <w:rPr>
          <w:rFonts w:asciiTheme="majorBidi" w:hAnsiTheme="majorBidi" w:cstheme="majorBidi"/>
          <w:sz w:val="24"/>
          <w:szCs w:val="24"/>
          <w:lang w:bidi="ar-DZ"/>
        </w:rPr>
        <w:t>II.4.3. Dosage des Tanins ……………………………………………………………27</w:t>
      </w:r>
    </w:p>
    <w:p w14:paraId="04B8FD1A" w14:textId="77777777" w:rsidR="003E3FB4" w:rsidRDefault="00385ED0">
      <w:pPr>
        <w:tabs>
          <w:tab w:val="left" w:pos="6173"/>
        </w:tabs>
        <w:spacing w:after="120" w:line="360" w:lineRule="auto"/>
        <w:jc w:val="both"/>
        <w:rPr>
          <w:rFonts w:asciiTheme="majorBidi" w:hAnsiTheme="majorBidi" w:cstheme="majorBidi"/>
          <w:b/>
          <w:bCs/>
          <w:sz w:val="24"/>
          <w:szCs w:val="24"/>
          <w:lang w:bidi="ar-DZ"/>
        </w:rPr>
      </w:pPr>
      <w:r>
        <w:rPr>
          <w:rFonts w:asciiTheme="majorBidi" w:hAnsiTheme="majorBidi" w:cstheme="majorBidi"/>
          <w:sz w:val="24"/>
          <w:szCs w:val="24"/>
          <w:lang w:bidi="ar-DZ"/>
        </w:rPr>
        <w:t>II.5. Les activités biologiques des graines de fenugrec</w:t>
      </w:r>
      <w:r>
        <w:rPr>
          <w:rFonts w:asciiTheme="majorBidi" w:hAnsiTheme="majorBidi" w:cstheme="majorBidi"/>
          <w:b/>
          <w:bCs/>
          <w:sz w:val="24"/>
          <w:szCs w:val="24"/>
          <w:lang w:bidi="ar-DZ"/>
        </w:rPr>
        <w:t xml:space="preserve"> </w:t>
      </w:r>
      <w:r>
        <w:rPr>
          <w:rFonts w:asciiTheme="majorBidi" w:hAnsiTheme="majorBidi" w:cstheme="majorBidi"/>
          <w:sz w:val="24"/>
          <w:szCs w:val="24"/>
          <w:lang w:bidi="ar-DZ"/>
        </w:rPr>
        <w:t>…………………………………… 27</w:t>
      </w:r>
    </w:p>
    <w:p w14:paraId="47D27FD3" w14:textId="77777777" w:rsidR="003E3FB4" w:rsidRDefault="00385ED0">
      <w:pPr>
        <w:tabs>
          <w:tab w:val="left" w:pos="6173"/>
        </w:tabs>
        <w:spacing w:after="120" w:line="360" w:lineRule="auto"/>
        <w:ind w:firstLine="567"/>
        <w:jc w:val="both"/>
        <w:rPr>
          <w:rFonts w:asciiTheme="majorBidi" w:hAnsiTheme="majorBidi" w:cstheme="majorBidi"/>
          <w:sz w:val="24"/>
          <w:szCs w:val="24"/>
          <w:lang w:bidi="ar-DZ"/>
        </w:rPr>
      </w:pPr>
      <w:r>
        <w:rPr>
          <w:rFonts w:asciiTheme="majorBidi" w:hAnsiTheme="majorBidi" w:cstheme="majorBidi"/>
          <w:sz w:val="24"/>
          <w:szCs w:val="24"/>
          <w:lang w:bidi="ar-DZ"/>
        </w:rPr>
        <w:t>II.5.1. Activité antioxydante ……………………………………………………….   27</w:t>
      </w:r>
    </w:p>
    <w:p w14:paraId="717E9006" w14:textId="77777777" w:rsidR="003E3FB4" w:rsidRDefault="00385ED0">
      <w:pPr>
        <w:tabs>
          <w:tab w:val="left" w:pos="6173"/>
        </w:tabs>
        <w:spacing w:after="12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         II.5.1.1. Test de DPPH ………………………………………………………………27</w:t>
      </w:r>
    </w:p>
    <w:p w14:paraId="1F68363C" w14:textId="77777777" w:rsidR="003E3FB4" w:rsidRDefault="00385ED0">
      <w:pPr>
        <w:tabs>
          <w:tab w:val="left" w:pos="6173"/>
        </w:tabs>
        <w:spacing w:after="12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         II.5.1.2. Test de FRAP ………………………………………………………………28</w:t>
      </w:r>
    </w:p>
    <w:p w14:paraId="7BF55F9B" w14:textId="77777777" w:rsidR="003E3FB4" w:rsidRDefault="00385ED0">
      <w:pPr>
        <w:tabs>
          <w:tab w:val="left" w:pos="6173"/>
        </w:tabs>
        <w:spacing w:after="120" w:line="360" w:lineRule="auto"/>
        <w:ind w:firstLine="567"/>
        <w:jc w:val="both"/>
        <w:rPr>
          <w:rFonts w:asciiTheme="majorBidi" w:hAnsiTheme="majorBidi" w:cstheme="majorBidi"/>
          <w:sz w:val="24"/>
          <w:szCs w:val="24"/>
          <w:lang w:bidi="ar-DZ"/>
        </w:rPr>
      </w:pPr>
      <w:r>
        <w:rPr>
          <w:rFonts w:asciiTheme="majorBidi" w:hAnsiTheme="majorBidi" w:cstheme="majorBidi"/>
          <w:sz w:val="24"/>
          <w:szCs w:val="24"/>
          <w:lang w:bidi="ar-DZ"/>
        </w:rPr>
        <w:t xml:space="preserve">II.5.2. Activité anti-inflammatoire </w:t>
      </w:r>
      <w:r>
        <w:rPr>
          <w:rFonts w:asciiTheme="majorBidi" w:hAnsiTheme="majorBidi" w:cstheme="majorBidi"/>
          <w:i/>
          <w:iCs/>
          <w:sz w:val="24"/>
          <w:szCs w:val="24"/>
          <w:lang w:bidi="ar-DZ"/>
        </w:rPr>
        <w:t>in vitro………………………………………………. 29</w:t>
      </w:r>
    </w:p>
    <w:p w14:paraId="0F61A5E9" w14:textId="77777777" w:rsidR="003E3FB4" w:rsidRDefault="00385ED0">
      <w:pPr>
        <w:tabs>
          <w:tab w:val="left" w:pos="6173"/>
        </w:tabs>
        <w:spacing w:after="120" w:line="360" w:lineRule="auto"/>
        <w:ind w:firstLine="567"/>
        <w:jc w:val="both"/>
        <w:rPr>
          <w:rFonts w:asciiTheme="majorBidi" w:hAnsiTheme="majorBidi" w:cstheme="majorBidi"/>
          <w:sz w:val="24"/>
          <w:szCs w:val="24"/>
          <w:lang w:bidi="ar-DZ"/>
        </w:rPr>
      </w:pPr>
      <w:r>
        <w:rPr>
          <w:rFonts w:asciiTheme="majorBidi" w:hAnsiTheme="majorBidi" w:cstheme="majorBidi"/>
          <w:sz w:val="24"/>
          <w:szCs w:val="24"/>
          <w:lang w:bidi="ar-DZ"/>
        </w:rPr>
        <w:t>II.5.3. Etude de l’activité antimicrobienne …………………………………………. 30</w:t>
      </w:r>
    </w:p>
    <w:p w14:paraId="3026A500" w14:textId="77777777" w:rsidR="003E3FB4" w:rsidRDefault="00385ED0">
      <w:pPr>
        <w:tabs>
          <w:tab w:val="left" w:pos="6173"/>
        </w:tabs>
        <w:spacing w:after="120" w:line="360" w:lineRule="auto"/>
        <w:ind w:firstLine="851"/>
        <w:jc w:val="both"/>
        <w:rPr>
          <w:rFonts w:asciiTheme="majorBidi" w:hAnsiTheme="majorBidi" w:cstheme="majorBidi"/>
          <w:sz w:val="24"/>
          <w:szCs w:val="24"/>
          <w:lang w:bidi="ar-DZ"/>
        </w:rPr>
      </w:pPr>
      <w:r>
        <w:rPr>
          <w:rFonts w:asciiTheme="majorBidi" w:hAnsiTheme="majorBidi" w:cstheme="majorBidi"/>
          <w:sz w:val="24"/>
          <w:szCs w:val="24"/>
          <w:lang w:bidi="ar-DZ"/>
        </w:rPr>
        <w:t>II.5.3.1. Activité antibactérienne ……………………………………………….  30</w:t>
      </w:r>
    </w:p>
    <w:p w14:paraId="5594C42B" w14:textId="77777777" w:rsidR="003E3FB4" w:rsidRDefault="00385ED0">
      <w:pPr>
        <w:tabs>
          <w:tab w:val="left" w:pos="6173"/>
        </w:tabs>
        <w:spacing w:after="12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              II.5.3.1.1. Repiquage des germes ………………………………………………. 30</w:t>
      </w:r>
    </w:p>
    <w:p w14:paraId="4736974A" w14:textId="07B1E22D" w:rsidR="003E3FB4" w:rsidRDefault="00385ED0">
      <w:pPr>
        <w:tabs>
          <w:tab w:val="left" w:pos="6173"/>
        </w:tabs>
        <w:spacing w:after="12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              II.5.3.1.2. Préparation de l’inoculum bactérien ………………………………… 3</w:t>
      </w:r>
      <w:r w:rsidR="00453311">
        <w:rPr>
          <w:rFonts w:asciiTheme="majorBidi" w:hAnsiTheme="majorBidi" w:cstheme="majorBidi"/>
          <w:sz w:val="24"/>
          <w:szCs w:val="24"/>
          <w:lang w:bidi="ar-DZ"/>
        </w:rPr>
        <w:t>1</w:t>
      </w:r>
    </w:p>
    <w:p w14:paraId="1456BA6B" w14:textId="77777777" w:rsidR="003E3FB4" w:rsidRDefault="00385ED0">
      <w:pPr>
        <w:tabs>
          <w:tab w:val="left" w:pos="6173"/>
        </w:tabs>
        <w:spacing w:after="12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              II.5.3.1.3. Ensemencement et dépôt des disques ……………………………….  31</w:t>
      </w:r>
    </w:p>
    <w:p w14:paraId="5E3A47C0" w14:textId="0ECFA1E9" w:rsidR="003E3FB4" w:rsidRDefault="00385ED0" w:rsidP="00380834">
      <w:pPr>
        <w:spacing w:line="360" w:lineRule="auto"/>
        <w:rPr>
          <w:rFonts w:asciiTheme="majorBidi" w:hAnsiTheme="majorBidi" w:cstheme="majorBidi"/>
          <w:sz w:val="24"/>
          <w:szCs w:val="24"/>
        </w:rPr>
      </w:pPr>
      <w:r>
        <w:rPr>
          <w:rFonts w:asciiTheme="majorBidi" w:hAnsiTheme="majorBidi" w:cstheme="majorBidi"/>
          <w:sz w:val="24"/>
          <w:szCs w:val="24"/>
          <w:lang w:bidi="ar-DZ"/>
        </w:rPr>
        <w:t xml:space="preserve">              II.5.3.1.4. </w:t>
      </w:r>
      <w:r w:rsidR="00380834" w:rsidRPr="00380834">
        <w:rPr>
          <w:rFonts w:asciiTheme="majorBidi" w:hAnsiTheme="majorBidi" w:cstheme="majorBidi"/>
          <w:sz w:val="24"/>
          <w:szCs w:val="24"/>
        </w:rPr>
        <w:t>Lecture d’aromatogramme</w:t>
      </w:r>
      <w:r>
        <w:rPr>
          <w:rFonts w:asciiTheme="majorBidi" w:hAnsiTheme="majorBidi" w:cstheme="majorBidi"/>
          <w:sz w:val="24"/>
          <w:szCs w:val="24"/>
          <w:lang w:bidi="ar-DZ"/>
        </w:rPr>
        <w:t>…………………………………………… 32</w:t>
      </w:r>
    </w:p>
    <w:p w14:paraId="7CDF8962" w14:textId="6B272B9A" w:rsidR="003E3FB4" w:rsidRDefault="00385ED0">
      <w:pPr>
        <w:tabs>
          <w:tab w:val="left" w:pos="6173"/>
        </w:tabs>
        <w:spacing w:after="120" w:line="360" w:lineRule="auto"/>
        <w:ind w:firstLine="851"/>
        <w:jc w:val="both"/>
        <w:rPr>
          <w:rFonts w:asciiTheme="majorBidi" w:hAnsiTheme="majorBidi" w:cstheme="majorBidi"/>
          <w:sz w:val="24"/>
          <w:szCs w:val="24"/>
          <w:lang w:bidi="ar-DZ"/>
        </w:rPr>
      </w:pPr>
      <w:r>
        <w:rPr>
          <w:rFonts w:asciiTheme="majorBidi" w:hAnsiTheme="majorBidi" w:cstheme="majorBidi"/>
          <w:sz w:val="24"/>
          <w:szCs w:val="24"/>
          <w:lang w:bidi="ar-DZ"/>
        </w:rPr>
        <w:t>II.5.3.2. Activité antifongique ………………………………………………….  3</w:t>
      </w:r>
      <w:r w:rsidR="00453311">
        <w:rPr>
          <w:rFonts w:asciiTheme="majorBidi" w:hAnsiTheme="majorBidi" w:cstheme="majorBidi"/>
          <w:sz w:val="24"/>
          <w:szCs w:val="24"/>
          <w:lang w:bidi="ar-DZ"/>
        </w:rPr>
        <w:t>3</w:t>
      </w:r>
    </w:p>
    <w:p w14:paraId="26A65F60" w14:textId="77777777" w:rsidR="003E3FB4" w:rsidRDefault="00385ED0">
      <w:pPr>
        <w:tabs>
          <w:tab w:val="left" w:pos="6173"/>
        </w:tabs>
        <w:spacing w:after="12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              II.5.3.2.1. Repiquage des champignons …………………………………………. 33</w:t>
      </w:r>
    </w:p>
    <w:p w14:paraId="57A5B992" w14:textId="515E85A0" w:rsidR="003E3FB4" w:rsidRDefault="00385ED0">
      <w:pPr>
        <w:tabs>
          <w:tab w:val="left" w:pos="6173"/>
        </w:tabs>
        <w:spacing w:after="12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              II.5.3.2.2. Ensemencement des champignons …………………………………… 3</w:t>
      </w:r>
      <w:r w:rsidR="00453311">
        <w:rPr>
          <w:rFonts w:asciiTheme="majorBidi" w:hAnsiTheme="majorBidi" w:cstheme="majorBidi"/>
          <w:sz w:val="24"/>
          <w:szCs w:val="24"/>
          <w:lang w:bidi="ar-DZ"/>
        </w:rPr>
        <w:t>4</w:t>
      </w:r>
    </w:p>
    <w:p w14:paraId="0BCCEBC3" w14:textId="566008C2" w:rsidR="003E3FB4" w:rsidRDefault="00385ED0">
      <w:pPr>
        <w:tabs>
          <w:tab w:val="left" w:pos="6173"/>
        </w:tabs>
        <w:spacing w:after="12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              II.5.3.2.3. </w:t>
      </w:r>
      <w:r w:rsidR="00453311">
        <w:rPr>
          <w:rFonts w:asciiTheme="majorBidi" w:hAnsiTheme="majorBidi" w:cstheme="majorBidi"/>
          <w:sz w:val="24"/>
          <w:szCs w:val="24"/>
          <w:lang w:bidi="ar-DZ"/>
        </w:rPr>
        <w:t xml:space="preserve">Lecture de l`activite antifongique </w:t>
      </w:r>
      <w:r>
        <w:rPr>
          <w:rFonts w:asciiTheme="majorBidi" w:hAnsiTheme="majorBidi" w:cstheme="majorBidi"/>
          <w:sz w:val="24"/>
          <w:szCs w:val="24"/>
          <w:lang w:bidi="ar-DZ"/>
        </w:rPr>
        <w:t>…………………………………</w:t>
      </w:r>
      <w:r w:rsidR="00453311">
        <w:rPr>
          <w:rFonts w:asciiTheme="majorBidi" w:hAnsiTheme="majorBidi" w:cstheme="majorBidi"/>
          <w:sz w:val="24"/>
          <w:szCs w:val="24"/>
          <w:lang w:bidi="ar-DZ"/>
        </w:rPr>
        <w:t xml:space="preserve">…. </w:t>
      </w:r>
      <w:r>
        <w:rPr>
          <w:rFonts w:asciiTheme="majorBidi" w:hAnsiTheme="majorBidi" w:cstheme="majorBidi"/>
          <w:sz w:val="24"/>
          <w:szCs w:val="24"/>
          <w:lang w:bidi="ar-DZ"/>
        </w:rPr>
        <w:t>34</w:t>
      </w:r>
    </w:p>
    <w:p w14:paraId="4F7D4386" w14:textId="54E74DEE" w:rsidR="003E3FB4" w:rsidRDefault="00385ED0">
      <w:pPr>
        <w:spacing w:after="120" w:line="360" w:lineRule="auto"/>
        <w:rPr>
          <w:rFonts w:asciiTheme="majorBidi" w:hAnsiTheme="majorBidi" w:cstheme="majorBidi"/>
          <w:sz w:val="26"/>
          <w:szCs w:val="26"/>
        </w:rPr>
      </w:pPr>
      <w:r>
        <w:rPr>
          <w:rFonts w:asciiTheme="majorBidi" w:hAnsiTheme="majorBidi" w:cstheme="majorBidi"/>
          <w:sz w:val="26"/>
          <w:szCs w:val="26"/>
        </w:rPr>
        <w:t>II.6. Les analyses statistiques …………………………………………………….  3</w:t>
      </w:r>
      <w:r w:rsidR="00453311">
        <w:rPr>
          <w:rFonts w:asciiTheme="majorBidi" w:hAnsiTheme="majorBidi" w:cstheme="majorBidi"/>
          <w:sz w:val="26"/>
          <w:szCs w:val="26"/>
        </w:rPr>
        <w:t>6</w:t>
      </w:r>
    </w:p>
    <w:p w14:paraId="39A377D8" w14:textId="77777777" w:rsidR="003E3FB4" w:rsidRPr="007316EC" w:rsidRDefault="00385ED0">
      <w:pPr>
        <w:tabs>
          <w:tab w:val="left" w:pos="6173"/>
        </w:tabs>
        <w:spacing w:after="120" w:line="360" w:lineRule="auto"/>
        <w:jc w:val="center"/>
        <w:rPr>
          <w:rFonts w:asciiTheme="majorBidi" w:hAnsiTheme="majorBidi" w:cstheme="majorBidi"/>
          <w:b/>
          <w:bCs/>
          <w:sz w:val="24"/>
          <w:szCs w:val="24"/>
        </w:rPr>
      </w:pPr>
      <w:r w:rsidRPr="007316EC">
        <w:rPr>
          <w:rFonts w:asciiTheme="majorBidi" w:hAnsiTheme="majorBidi" w:cstheme="majorBidi"/>
          <w:b/>
          <w:bCs/>
          <w:sz w:val="24"/>
          <w:szCs w:val="24"/>
        </w:rPr>
        <w:t>Chapitre III. Résultats et discussion</w:t>
      </w:r>
    </w:p>
    <w:p w14:paraId="4F396718" w14:textId="03EC9066" w:rsidR="003E3FB4" w:rsidRDefault="00385ED0" w:rsidP="00453311">
      <w:pPr>
        <w:spacing w:after="120" w:line="360" w:lineRule="auto"/>
        <w:jc w:val="both"/>
        <w:rPr>
          <w:rFonts w:asciiTheme="majorBidi" w:hAnsiTheme="majorBidi" w:cstheme="majorBidi"/>
          <w:sz w:val="24"/>
          <w:szCs w:val="24"/>
        </w:rPr>
      </w:pPr>
      <w:r>
        <w:rPr>
          <w:rFonts w:asciiTheme="majorBidi" w:hAnsiTheme="majorBidi" w:cstheme="majorBidi"/>
          <w:sz w:val="24"/>
          <w:szCs w:val="24"/>
        </w:rPr>
        <w:t>III.1.</w:t>
      </w:r>
      <w:r w:rsidR="00453311">
        <w:rPr>
          <w:rFonts w:asciiTheme="majorBidi" w:hAnsiTheme="majorBidi" w:cstheme="majorBidi"/>
          <w:b/>
          <w:bCs/>
          <w:sz w:val="24"/>
          <w:szCs w:val="24"/>
        </w:rPr>
        <w:t xml:space="preserve"> </w:t>
      </w:r>
      <w:r w:rsidR="00453311" w:rsidRPr="00453311">
        <w:rPr>
          <w:rFonts w:asciiTheme="majorBidi" w:hAnsiTheme="majorBidi" w:cstheme="majorBidi"/>
          <w:sz w:val="24"/>
          <w:szCs w:val="24"/>
        </w:rPr>
        <w:t>Rendement des extraits des graines de fenugrec</w:t>
      </w:r>
      <w:r w:rsidR="00453311">
        <w:rPr>
          <w:rFonts w:asciiTheme="majorBidi" w:hAnsiTheme="majorBidi" w:cstheme="majorBidi"/>
          <w:sz w:val="24"/>
          <w:szCs w:val="24"/>
        </w:rPr>
        <w:t>……………………………………</w:t>
      </w:r>
      <w:r>
        <w:rPr>
          <w:rFonts w:asciiTheme="majorBidi" w:hAnsiTheme="majorBidi" w:cstheme="majorBidi"/>
          <w:sz w:val="24"/>
          <w:szCs w:val="24"/>
        </w:rPr>
        <w:t>3</w:t>
      </w:r>
      <w:r w:rsidR="00453311">
        <w:rPr>
          <w:rFonts w:asciiTheme="majorBidi" w:hAnsiTheme="majorBidi" w:cstheme="majorBidi"/>
          <w:sz w:val="24"/>
          <w:szCs w:val="24"/>
        </w:rPr>
        <w:t>8</w:t>
      </w:r>
    </w:p>
    <w:p w14:paraId="6834E473" w14:textId="61735B8E" w:rsidR="003E3FB4" w:rsidRDefault="00385ED0">
      <w:pPr>
        <w:spacing w:after="120" w:line="360" w:lineRule="auto"/>
        <w:jc w:val="both"/>
        <w:rPr>
          <w:rFonts w:asciiTheme="majorBidi" w:hAnsiTheme="majorBidi" w:cstheme="majorBidi"/>
          <w:sz w:val="24"/>
          <w:szCs w:val="24"/>
        </w:rPr>
      </w:pPr>
      <w:r>
        <w:rPr>
          <w:rFonts w:asciiTheme="majorBidi" w:hAnsiTheme="majorBidi" w:cstheme="majorBidi"/>
          <w:sz w:val="24"/>
          <w:szCs w:val="24"/>
        </w:rPr>
        <w:t>III.2. Etude phytochimique………………………………………………………………. 3</w:t>
      </w:r>
      <w:r w:rsidR="00453311">
        <w:rPr>
          <w:rFonts w:asciiTheme="majorBidi" w:hAnsiTheme="majorBidi" w:cstheme="majorBidi"/>
          <w:sz w:val="24"/>
          <w:szCs w:val="24"/>
        </w:rPr>
        <w:t>9</w:t>
      </w:r>
    </w:p>
    <w:p w14:paraId="502CFCB9" w14:textId="1A55B555" w:rsidR="003E3FB4" w:rsidRDefault="00385ED0">
      <w:pPr>
        <w:spacing w:after="120" w:line="360" w:lineRule="auto"/>
        <w:ind w:firstLine="567"/>
        <w:jc w:val="both"/>
        <w:rPr>
          <w:rFonts w:asciiTheme="majorBidi" w:hAnsiTheme="majorBidi" w:cstheme="majorBidi"/>
          <w:sz w:val="24"/>
          <w:szCs w:val="24"/>
        </w:rPr>
      </w:pPr>
      <w:r>
        <w:rPr>
          <w:rFonts w:asciiTheme="majorBidi" w:hAnsiTheme="majorBidi" w:cstheme="majorBidi"/>
          <w:sz w:val="24"/>
          <w:szCs w:val="24"/>
        </w:rPr>
        <w:t>III.2.1. Screening phytochimique …………………………………………………. 3</w:t>
      </w:r>
      <w:r w:rsidR="00453311">
        <w:rPr>
          <w:rFonts w:asciiTheme="majorBidi" w:hAnsiTheme="majorBidi" w:cstheme="majorBidi"/>
          <w:sz w:val="24"/>
          <w:szCs w:val="24"/>
        </w:rPr>
        <w:t>9</w:t>
      </w:r>
    </w:p>
    <w:p w14:paraId="68E82317" w14:textId="3B0F08C5" w:rsidR="003E3FB4" w:rsidRDefault="00385ED0">
      <w:pPr>
        <w:spacing w:after="120" w:line="360" w:lineRule="auto"/>
        <w:ind w:firstLine="567"/>
        <w:jc w:val="both"/>
        <w:rPr>
          <w:rFonts w:asciiTheme="majorBidi" w:hAnsiTheme="majorBidi" w:cstheme="majorBidi"/>
          <w:sz w:val="24"/>
          <w:szCs w:val="24"/>
        </w:rPr>
      </w:pPr>
      <w:r>
        <w:rPr>
          <w:rFonts w:asciiTheme="majorBidi" w:hAnsiTheme="majorBidi" w:cstheme="majorBidi"/>
          <w:sz w:val="24"/>
          <w:szCs w:val="24"/>
        </w:rPr>
        <w:t>III.2.2. Analyses quantitatives des composés phénoliques …………………………4</w:t>
      </w:r>
      <w:r w:rsidR="00453311">
        <w:rPr>
          <w:rFonts w:asciiTheme="majorBidi" w:hAnsiTheme="majorBidi" w:cstheme="majorBidi"/>
          <w:sz w:val="24"/>
          <w:szCs w:val="24"/>
        </w:rPr>
        <w:t>1</w:t>
      </w:r>
    </w:p>
    <w:p w14:paraId="2C971A0D" w14:textId="34C8C183" w:rsidR="003E3FB4" w:rsidRDefault="00385ED0">
      <w:pPr>
        <w:spacing w:after="120" w:line="360" w:lineRule="auto"/>
        <w:jc w:val="both"/>
        <w:rPr>
          <w:rFonts w:asciiTheme="majorBidi" w:hAnsiTheme="majorBidi" w:cstheme="majorBidi"/>
        </w:rPr>
      </w:pPr>
      <w:r>
        <w:rPr>
          <w:rFonts w:asciiTheme="majorBidi" w:hAnsiTheme="majorBidi" w:cstheme="majorBidi"/>
          <w:sz w:val="24"/>
          <w:szCs w:val="24"/>
        </w:rPr>
        <w:t xml:space="preserve">         III.2.2.1. Taux des polyphénols totaux………………………………………………4</w:t>
      </w:r>
      <w:r w:rsidR="00453311">
        <w:rPr>
          <w:rFonts w:asciiTheme="majorBidi" w:hAnsiTheme="majorBidi" w:cstheme="majorBidi"/>
          <w:sz w:val="24"/>
          <w:szCs w:val="24"/>
        </w:rPr>
        <w:t>1</w:t>
      </w:r>
    </w:p>
    <w:p w14:paraId="3BCF1F64" w14:textId="6ECCEB31" w:rsidR="003E3FB4" w:rsidRDefault="00385ED0">
      <w:pPr>
        <w:spacing w:after="120" w:line="360" w:lineRule="auto"/>
        <w:jc w:val="both"/>
        <w:rPr>
          <w:rFonts w:asciiTheme="majorBidi" w:hAnsiTheme="majorBidi" w:cstheme="majorBidi"/>
          <w:sz w:val="24"/>
          <w:szCs w:val="24"/>
        </w:rPr>
      </w:pPr>
      <w:r>
        <w:rPr>
          <w:rFonts w:asciiTheme="majorBidi" w:hAnsiTheme="majorBidi" w:cstheme="majorBidi"/>
          <w:sz w:val="24"/>
          <w:szCs w:val="24"/>
        </w:rPr>
        <w:t xml:space="preserve">         III.2.2.2. Teneur en flavonoïdes……………………………………………………. 4</w:t>
      </w:r>
      <w:r w:rsidR="00453311">
        <w:rPr>
          <w:rFonts w:asciiTheme="majorBidi" w:hAnsiTheme="majorBidi" w:cstheme="majorBidi"/>
          <w:sz w:val="24"/>
          <w:szCs w:val="24"/>
        </w:rPr>
        <w:t>3</w:t>
      </w:r>
    </w:p>
    <w:p w14:paraId="13F421C9" w14:textId="5CE679AC" w:rsidR="003E3FB4" w:rsidRDefault="00385ED0">
      <w:pPr>
        <w:spacing w:after="120" w:line="360" w:lineRule="auto"/>
        <w:jc w:val="both"/>
        <w:rPr>
          <w:rFonts w:asciiTheme="majorBidi" w:hAnsiTheme="majorBidi" w:cstheme="majorBidi"/>
        </w:rPr>
      </w:pPr>
      <w:r>
        <w:rPr>
          <w:rFonts w:asciiTheme="majorBidi" w:hAnsiTheme="majorBidi" w:cstheme="majorBidi"/>
          <w:sz w:val="24"/>
          <w:szCs w:val="24"/>
        </w:rPr>
        <w:lastRenderedPageBreak/>
        <w:t xml:space="preserve">  III.2.2.3. Quantités des tanins ……………………………………………………………4</w:t>
      </w:r>
      <w:r w:rsidR="00380834">
        <w:rPr>
          <w:rFonts w:asciiTheme="majorBidi" w:hAnsiTheme="majorBidi" w:cstheme="majorBidi"/>
          <w:sz w:val="24"/>
          <w:szCs w:val="24"/>
        </w:rPr>
        <w:t>4</w:t>
      </w:r>
      <w:r>
        <w:rPr>
          <w:rFonts w:asciiTheme="majorBidi" w:hAnsiTheme="majorBidi" w:cstheme="majorBidi"/>
        </w:rPr>
        <w:t xml:space="preserve"> </w:t>
      </w:r>
    </w:p>
    <w:p w14:paraId="17C0E96C" w14:textId="77777777" w:rsidR="003E3FB4" w:rsidRDefault="00385ED0">
      <w:pPr>
        <w:spacing w:after="120" w:line="360" w:lineRule="auto"/>
        <w:jc w:val="both"/>
        <w:rPr>
          <w:rFonts w:asciiTheme="majorBidi" w:hAnsiTheme="majorBidi" w:cstheme="majorBidi"/>
          <w:sz w:val="24"/>
          <w:szCs w:val="24"/>
        </w:rPr>
      </w:pPr>
      <w:r>
        <w:rPr>
          <w:rFonts w:asciiTheme="majorBidi" w:hAnsiTheme="majorBidi" w:cstheme="majorBidi"/>
        </w:rPr>
        <w:t>III.3. Activité antioxydante……………………………………………………………………….   45</w:t>
      </w:r>
    </w:p>
    <w:p w14:paraId="5EC7A00F" w14:textId="77777777" w:rsidR="003E3FB4" w:rsidRDefault="00385ED0">
      <w:pPr>
        <w:spacing w:after="120" w:line="360" w:lineRule="auto"/>
        <w:jc w:val="both"/>
        <w:rPr>
          <w:rFonts w:asciiTheme="majorBidi" w:hAnsiTheme="majorBidi" w:cstheme="majorBidi"/>
          <w:sz w:val="24"/>
          <w:szCs w:val="24"/>
        </w:rPr>
      </w:pPr>
      <w:r>
        <w:rPr>
          <w:rFonts w:asciiTheme="majorBidi" w:hAnsiTheme="majorBidi" w:cstheme="majorBidi"/>
          <w:sz w:val="24"/>
          <w:szCs w:val="24"/>
        </w:rPr>
        <w:t xml:space="preserve">        III.3.1. Activité antiradicalaire DPPH………………………………………………...45</w:t>
      </w:r>
    </w:p>
    <w:p w14:paraId="2B5458C2" w14:textId="77777777" w:rsidR="003E3FB4" w:rsidRDefault="00385ED0">
      <w:pPr>
        <w:tabs>
          <w:tab w:val="left" w:pos="3656"/>
        </w:tabs>
        <w:spacing w:after="120" w:line="360" w:lineRule="auto"/>
        <w:jc w:val="both"/>
        <w:rPr>
          <w:rFonts w:asciiTheme="majorBidi" w:hAnsiTheme="majorBidi" w:cstheme="majorBidi"/>
          <w:sz w:val="24"/>
          <w:szCs w:val="24"/>
        </w:rPr>
      </w:pPr>
      <w:r>
        <w:rPr>
          <w:rFonts w:asciiTheme="majorBidi" w:hAnsiTheme="majorBidi" w:cstheme="majorBidi"/>
          <w:sz w:val="24"/>
          <w:szCs w:val="24"/>
        </w:rPr>
        <w:t xml:space="preserve">        III.3.2. Test de réduction de fer FRAP………………………………………………. 48</w:t>
      </w:r>
    </w:p>
    <w:p w14:paraId="5DDDE73C" w14:textId="77777777" w:rsidR="003E3FB4" w:rsidRDefault="00385ED0">
      <w:pPr>
        <w:tabs>
          <w:tab w:val="left" w:pos="3656"/>
        </w:tabs>
        <w:spacing w:after="120" w:line="360" w:lineRule="auto"/>
        <w:jc w:val="both"/>
        <w:rPr>
          <w:rFonts w:asciiTheme="majorBidi" w:hAnsiTheme="majorBidi" w:cstheme="majorBidi"/>
          <w:sz w:val="24"/>
          <w:szCs w:val="24"/>
        </w:rPr>
      </w:pPr>
      <w:r>
        <w:rPr>
          <w:rFonts w:asciiTheme="majorBidi" w:hAnsiTheme="majorBidi" w:cstheme="majorBidi"/>
        </w:rPr>
        <w:t>III.4. Activité anti inflammatoire de l’extrait aqueux et éthanolique des graines de fenugrec……. 51</w:t>
      </w:r>
    </w:p>
    <w:p w14:paraId="24FCE40E" w14:textId="77777777" w:rsidR="003E3FB4" w:rsidRDefault="00385ED0">
      <w:pPr>
        <w:tabs>
          <w:tab w:val="left" w:pos="3656"/>
        </w:tabs>
        <w:spacing w:after="120" w:line="360" w:lineRule="auto"/>
        <w:jc w:val="both"/>
        <w:rPr>
          <w:rFonts w:asciiTheme="majorBidi" w:hAnsiTheme="majorBidi" w:cstheme="majorBidi"/>
          <w:sz w:val="24"/>
          <w:szCs w:val="24"/>
        </w:rPr>
      </w:pPr>
      <w:r>
        <w:rPr>
          <w:rFonts w:asciiTheme="majorBidi" w:hAnsiTheme="majorBidi" w:cstheme="majorBidi"/>
        </w:rPr>
        <w:t xml:space="preserve">       III.4.1. Activité anti inflammatoire de fenugrec in vitro ……………………………………… 51</w:t>
      </w:r>
    </w:p>
    <w:p w14:paraId="14C5BF36" w14:textId="77777777" w:rsidR="003E3FB4" w:rsidRDefault="00385ED0">
      <w:pPr>
        <w:tabs>
          <w:tab w:val="left" w:pos="3656"/>
        </w:tabs>
        <w:spacing w:after="120" w:line="360" w:lineRule="auto"/>
        <w:jc w:val="both"/>
        <w:rPr>
          <w:rFonts w:asciiTheme="majorBidi" w:hAnsiTheme="majorBidi" w:cstheme="majorBidi"/>
        </w:rPr>
      </w:pPr>
      <w:r>
        <w:rPr>
          <w:rFonts w:asciiTheme="majorBidi" w:hAnsiTheme="majorBidi" w:cstheme="majorBidi"/>
        </w:rPr>
        <w:t>III.5. Evaluation de l’activité antibactérienne………………………………………………………53</w:t>
      </w:r>
    </w:p>
    <w:p w14:paraId="01453118" w14:textId="77777777" w:rsidR="003E3FB4" w:rsidRDefault="00385ED0">
      <w:pPr>
        <w:tabs>
          <w:tab w:val="left" w:pos="3656"/>
        </w:tabs>
        <w:spacing w:after="120" w:line="360" w:lineRule="auto"/>
        <w:jc w:val="both"/>
        <w:rPr>
          <w:rFonts w:asciiTheme="majorBidi" w:hAnsiTheme="majorBidi" w:cstheme="majorBidi"/>
          <w:sz w:val="24"/>
          <w:szCs w:val="24"/>
        </w:rPr>
      </w:pPr>
      <w:r>
        <w:rPr>
          <w:rFonts w:asciiTheme="majorBidi" w:hAnsiTheme="majorBidi" w:cstheme="majorBidi"/>
          <w:sz w:val="24"/>
          <w:szCs w:val="24"/>
        </w:rPr>
        <w:t xml:space="preserve">      III.5.1. Activité antibactérienne………………………………………………………  53</w:t>
      </w:r>
    </w:p>
    <w:p w14:paraId="56791B37" w14:textId="168F7BC5" w:rsidR="003E3FB4" w:rsidRDefault="00385ED0">
      <w:pPr>
        <w:tabs>
          <w:tab w:val="left" w:pos="199"/>
          <w:tab w:val="left" w:pos="3309"/>
        </w:tabs>
        <w:spacing w:after="120" w:line="360" w:lineRule="auto"/>
        <w:jc w:val="both"/>
        <w:rPr>
          <w:rFonts w:ascii="Times New Roman" w:hAnsi="Times New Roman" w:cs="Times New Roman"/>
        </w:rPr>
      </w:pPr>
      <w:r>
        <w:rPr>
          <w:rFonts w:ascii="Times New Roman" w:hAnsi="Times New Roman" w:cs="Times New Roman"/>
        </w:rPr>
        <w:t xml:space="preserve">       III.5.2. Activité anti fongique des graines de</w:t>
      </w:r>
      <w:r>
        <w:t xml:space="preserve"> </w:t>
      </w:r>
      <w:r>
        <w:rPr>
          <w:rFonts w:ascii="Times New Roman" w:hAnsi="Times New Roman" w:cs="Times New Roman"/>
          <w:i/>
          <w:iCs/>
        </w:rPr>
        <w:t>Trigonella foenum-graecum</w:t>
      </w:r>
      <w:r>
        <w:rPr>
          <w:rFonts w:ascii="Times New Roman" w:hAnsi="Times New Roman" w:cs="Times New Roman"/>
        </w:rPr>
        <w:t xml:space="preserve"> L. ………………  5</w:t>
      </w:r>
      <w:r w:rsidR="00380834">
        <w:rPr>
          <w:rFonts w:ascii="Times New Roman" w:hAnsi="Times New Roman" w:cs="Times New Roman"/>
        </w:rPr>
        <w:t>5</w:t>
      </w:r>
    </w:p>
    <w:p w14:paraId="7F160157" w14:textId="77777777" w:rsidR="003E3FB4" w:rsidRDefault="00385ED0">
      <w:pPr>
        <w:tabs>
          <w:tab w:val="left" w:pos="199"/>
          <w:tab w:val="left" w:pos="3309"/>
        </w:tabs>
        <w:spacing w:after="120" w:line="360" w:lineRule="auto"/>
        <w:jc w:val="both"/>
        <w:rPr>
          <w:rFonts w:ascii="Times New Roman" w:hAnsi="Times New Roman" w:cs="Times New Roman"/>
        </w:rPr>
      </w:pPr>
      <w:r>
        <w:rPr>
          <w:rFonts w:ascii="Times New Roman" w:hAnsi="Times New Roman" w:cs="Times New Roman"/>
        </w:rPr>
        <w:t xml:space="preserve">       III.5.1.1. Effet de l’extrait aqueux et éthanolique des graines de</w:t>
      </w:r>
      <w:r>
        <w:t xml:space="preserve"> </w:t>
      </w:r>
      <w:r>
        <w:rPr>
          <w:rFonts w:ascii="Times New Roman" w:hAnsi="Times New Roman" w:cs="Times New Roman"/>
          <w:i/>
          <w:iCs/>
        </w:rPr>
        <w:t>Trigonella foenum-graecum</w:t>
      </w:r>
      <w:r>
        <w:rPr>
          <w:rFonts w:ascii="Times New Roman" w:hAnsi="Times New Roman" w:cs="Times New Roman"/>
        </w:rPr>
        <w:t xml:space="preserve"> L.                </w:t>
      </w:r>
      <w:proofErr w:type="gramStart"/>
      <w:r>
        <w:rPr>
          <w:rFonts w:ascii="Times New Roman" w:hAnsi="Times New Roman" w:cs="Times New Roman"/>
        </w:rPr>
        <w:t>contre</w:t>
      </w:r>
      <w:proofErr w:type="gramEnd"/>
      <w:r>
        <w:rPr>
          <w:rFonts w:ascii="Times New Roman" w:hAnsi="Times New Roman" w:cs="Times New Roman"/>
        </w:rPr>
        <w:t xml:space="preserve"> </w:t>
      </w:r>
      <w:r>
        <w:rPr>
          <w:rFonts w:ascii="Times New Roman" w:hAnsi="Times New Roman" w:cs="Times New Roman"/>
          <w:i/>
          <w:iCs/>
        </w:rPr>
        <w:t>Candida albicans…………………………………………………………………………………….. 56</w:t>
      </w:r>
      <w:r>
        <w:rPr>
          <w:rFonts w:ascii="Times New Roman" w:hAnsi="Times New Roman" w:cs="Times New Roman"/>
        </w:rPr>
        <w:t xml:space="preserve"> </w:t>
      </w:r>
    </w:p>
    <w:p w14:paraId="0A3E75A6" w14:textId="2A769B75" w:rsidR="003E3FB4" w:rsidRDefault="00385ED0">
      <w:pPr>
        <w:tabs>
          <w:tab w:val="left" w:pos="199"/>
          <w:tab w:val="left" w:pos="3309"/>
        </w:tabs>
        <w:spacing w:after="120" w:line="360" w:lineRule="auto"/>
        <w:jc w:val="both"/>
        <w:rPr>
          <w:rFonts w:ascii="Times New Roman" w:hAnsi="Times New Roman" w:cs="Times New Roman"/>
          <w:i/>
          <w:iCs/>
          <w:sz w:val="24"/>
          <w:szCs w:val="24"/>
        </w:rPr>
      </w:pPr>
      <w:r>
        <w:rPr>
          <w:rFonts w:ascii="Times New Roman" w:hAnsi="Times New Roman" w:cs="Times New Roman"/>
        </w:rPr>
        <w:t xml:space="preserve">      III.5.2.2. Effet des extraits des graines de fenugrec sur </w:t>
      </w:r>
      <w:r>
        <w:rPr>
          <w:rFonts w:ascii="Times New Roman" w:hAnsi="Times New Roman" w:cs="Times New Roman"/>
          <w:i/>
          <w:iCs/>
        </w:rPr>
        <w:t>A</w:t>
      </w:r>
      <w:r>
        <w:rPr>
          <w:rFonts w:ascii="Times New Roman" w:hAnsi="Times New Roman" w:cs="Times New Roman"/>
          <w:i/>
          <w:iCs/>
          <w:sz w:val="24"/>
          <w:szCs w:val="24"/>
        </w:rPr>
        <w:t>spergillus brasiliensis…………… 5</w:t>
      </w:r>
      <w:r w:rsidR="00380834">
        <w:rPr>
          <w:rFonts w:ascii="Times New Roman" w:hAnsi="Times New Roman" w:cs="Times New Roman"/>
          <w:i/>
          <w:iCs/>
          <w:sz w:val="24"/>
          <w:szCs w:val="24"/>
        </w:rPr>
        <w:t>6</w:t>
      </w:r>
    </w:p>
    <w:p w14:paraId="19340B58" w14:textId="77777777" w:rsidR="003E3FB4" w:rsidRDefault="00385ED0">
      <w:pPr>
        <w:tabs>
          <w:tab w:val="left" w:pos="199"/>
          <w:tab w:val="left" w:pos="3309"/>
        </w:tabs>
        <w:spacing w:after="120" w:line="360" w:lineRule="auto"/>
        <w:jc w:val="both"/>
        <w:rPr>
          <w:rFonts w:ascii="Times New Roman" w:hAnsi="Times New Roman" w:cs="Times New Roman"/>
          <w:i/>
          <w:iCs/>
        </w:rPr>
      </w:pPr>
      <w:r>
        <w:rPr>
          <w:rFonts w:ascii="Times New Roman" w:hAnsi="Times New Roman" w:cs="Times New Roman"/>
        </w:rPr>
        <w:t xml:space="preserve">      III.5.2.3. Effet des extraits des graines de fenugrec sur </w:t>
      </w:r>
      <w:r>
        <w:rPr>
          <w:rFonts w:ascii="Times New Roman" w:hAnsi="Times New Roman" w:cs="Times New Roman"/>
          <w:i/>
          <w:iCs/>
        </w:rPr>
        <w:t>Botrytis cinerea…………………………. 58</w:t>
      </w:r>
    </w:p>
    <w:p w14:paraId="7CA3DE9F" w14:textId="749D08FD" w:rsidR="003E3FB4" w:rsidRDefault="00385ED0">
      <w:pPr>
        <w:tabs>
          <w:tab w:val="left" w:pos="199"/>
          <w:tab w:val="left" w:pos="3309"/>
        </w:tabs>
        <w:spacing w:after="120" w:line="360" w:lineRule="auto"/>
        <w:jc w:val="both"/>
        <w:rPr>
          <w:rFonts w:ascii="Times New Roman" w:hAnsi="Times New Roman" w:cs="Times New Roman"/>
        </w:rPr>
      </w:pPr>
      <w:r>
        <w:rPr>
          <w:rFonts w:ascii="Times New Roman" w:hAnsi="Times New Roman" w:cs="Times New Roman"/>
        </w:rPr>
        <w:t xml:space="preserve">      III.5.2.4. Effet des extraits des graines de fenugrec sur </w:t>
      </w:r>
      <w:r>
        <w:rPr>
          <w:rFonts w:ascii="Times New Roman" w:hAnsi="Times New Roman" w:cs="Times New Roman"/>
          <w:i/>
          <w:iCs/>
        </w:rPr>
        <w:t xml:space="preserve">Colletotrichum sp……………………… </w:t>
      </w:r>
      <w:r w:rsidR="00380834">
        <w:rPr>
          <w:rFonts w:ascii="Times New Roman" w:hAnsi="Times New Roman" w:cs="Times New Roman"/>
          <w:i/>
          <w:iCs/>
        </w:rPr>
        <w:t>59</w:t>
      </w:r>
    </w:p>
    <w:p w14:paraId="35A067AF" w14:textId="00AABDDB" w:rsidR="003E3FB4" w:rsidRDefault="00385ED0">
      <w:pPr>
        <w:tabs>
          <w:tab w:val="left" w:pos="3309"/>
        </w:tabs>
        <w:spacing w:after="120" w:line="360" w:lineRule="auto"/>
        <w:jc w:val="both"/>
        <w:rPr>
          <w:rFonts w:asciiTheme="majorBidi" w:hAnsiTheme="majorBidi" w:cstheme="majorBidi"/>
          <w:sz w:val="24"/>
          <w:szCs w:val="24"/>
        </w:rPr>
      </w:pPr>
      <w:r>
        <w:rPr>
          <w:rFonts w:asciiTheme="majorBidi" w:hAnsiTheme="majorBidi" w:cstheme="majorBidi"/>
          <w:sz w:val="24"/>
          <w:szCs w:val="24"/>
        </w:rPr>
        <w:t xml:space="preserve">      III.5.2.5. Effet des extraits des graines de fenugrec sur </w:t>
      </w:r>
      <w:r>
        <w:rPr>
          <w:rFonts w:asciiTheme="majorBidi" w:hAnsiTheme="majorBidi" w:cstheme="majorBidi"/>
          <w:i/>
          <w:iCs/>
          <w:sz w:val="24"/>
          <w:szCs w:val="24"/>
        </w:rPr>
        <w:t>Monilia sp………………………6</w:t>
      </w:r>
      <w:r w:rsidR="00380834">
        <w:rPr>
          <w:rFonts w:asciiTheme="majorBidi" w:hAnsiTheme="majorBidi" w:cstheme="majorBidi"/>
          <w:i/>
          <w:iCs/>
          <w:sz w:val="24"/>
          <w:szCs w:val="24"/>
        </w:rPr>
        <w:t>0</w:t>
      </w:r>
    </w:p>
    <w:p w14:paraId="65B66A08" w14:textId="539C390E" w:rsidR="003E3FB4" w:rsidRDefault="00385ED0">
      <w:pPr>
        <w:tabs>
          <w:tab w:val="left" w:pos="3309"/>
        </w:tabs>
        <w:spacing w:after="120" w:line="360" w:lineRule="auto"/>
        <w:rPr>
          <w:rFonts w:asciiTheme="majorBidi" w:hAnsiTheme="majorBidi" w:cstheme="majorBidi"/>
          <w:sz w:val="24"/>
          <w:szCs w:val="24"/>
        </w:rPr>
      </w:pPr>
      <w:r>
        <w:rPr>
          <w:rFonts w:asciiTheme="majorBidi" w:hAnsiTheme="majorBidi" w:cstheme="majorBidi"/>
          <w:sz w:val="24"/>
          <w:szCs w:val="24"/>
          <w:lang w:bidi="ar-DZ"/>
        </w:rPr>
        <w:t>Conclusion et perspectives………………………………………………………………...6</w:t>
      </w:r>
      <w:r w:rsidR="00380834">
        <w:rPr>
          <w:rFonts w:asciiTheme="majorBidi" w:hAnsiTheme="majorBidi" w:cstheme="majorBidi"/>
          <w:sz w:val="24"/>
          <w:szCs w:val="24"/>
          <w:lang w:bidi="ar-DZ"/>
        </w:rPr>
        <w:t>4</w:t>
      </w:r>
    </w:p>
    <w:p w14:paraId="220E9D5C" w14:textId="77777777" w:rsidR="003E3FB4" w:rsidRDefault="00385ED0">
      <w:pPr>
        <w:tabs>
          <w:tab w:val="left" w:pos="6173"/>
        </w:tabs>
        <w:spacing w:after="12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Références bibliographiques </w:t>
      </w:r>
    </w:p>
    <w:p w14:paraId="25B78DD8" w14:textId="77777777" w:rsidR="003E3FB4" w:rsidRDefault="00385ED0">
      <w:pPr>
        <w:tabs>
          <w:tab w:val="left" w:pos="6173"/>
        </w:tabs>
        <w:spacing w:after="12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Annexes</w:t>
      </w:r>
    </w:p>
    <w:p w14:paraId="0DC94C85" w14:textId="77777777" w:rsidR="003E3FB4" w:rsidRDefault="003E3FB4">
      <w:pPr>
        <w:tabs>
          <w:tab w:val="left" w:pos="6173"/>
        </w:tabs>
        <w:spacing w:after="120" w:line="360" w:lineRule="auto"/>
        <w:jc w:val="both"/>
        <w:rPr>
          <w:rFonts w:asciiTheme="majorBidi" w:hAnsiTheme="majorBidi" w:cstheme="majorBidi"/>
          <w:sz w:val="24"/>
          <w:szCs w:val="24"/>
          <w:lang w:bidi="ar-DZ"/>
        </w:rPr>
      </w:pPr>
    </w:p>
    <w:p w14:paraId="7E8954DE" w14:textId="77777777" w:rsidR="003E3FB4" w:rsidRDefault="003E3FB4">
      <w:pPr>
        <w:tabs>
          <w:tab w:val="left" w:pos="6173"/>
        </w:tabs>
        <w:spacing w:after="120" w:line="360" w:lineRule="auto"/>
        <w:jc w:val="both"/>
        <w:rPr>
          <w:rFonts w:asciiTheme="majorBidi" w:hAnsiTheme="majorBidi" w:cstheme="majorBidi"/>
          <w:sz w:val="24"/>
          <w:szCs w:val="24"/>
          <w:lang w:bidi="ar-DZ"/>
        </w:rPr>
      </w:pPr>
    </w:p>
    <w:p w14:paraId="7589BE95" w14:textId="77777777" w:rsidR="003E3FB4" w:rsidRDefault="003E3FB4">
      <w:pPr>
        <w:tabs>
          <w:tab w:val="left" w:pos="6173"/>
        </w:tabs>
        <w:spacing w:after="120" w:line="360" w:lineRule="auto"/>
        <w:jc w:val="both"/>
        <w:rPr>
          <w:rFonts w:asciiTheme="majorBidi" w:hAnsiTheme="majorBidi" w:cstheme="majorBidi"/>
          <w:sz w:val="24"/>
          <w:szCs w:val="24"/>
          <w:lang w:bidi="ar-DZ"/>
        </w:rPr>
      </w:pPr>
    </w:p>
    <w:p w14:paraId="406156BC" w14:textId="77777777" w:rsidR="003E3FB4" w:rsidRDefault="003E3FB4">
      <w:pPr>
        <w:tabs>
          <w:tab w:val="left" w:pos="6173"/>
        </w:tabs>
        <w:spacing w:after="120" w:line="360" w:lineRule="auto"/>
        <w:jc w:val="both"/>
        <w:rPr>
          <w:rFonts w:asciiTheme="majorBidi" w:hAnsiTheme="majorBidi" w:cstheme="majorBidi"/>
          <w:sz w:val="24"/>
          <w:szCs w:val="24"/>
          <w:lang w:bidi="ar-DZ"/>
        </w:rPr>
      </w:pPr>
    </w:p>
    <w:p w14:paraId="714946D5" w14:textId="77777777" w:rsidR="003E3FB4" w:rsidRDefault="003E3FB4">
      <w:pPr>
        <w:tabs>
          <w:tab w:val="left" w:pos="6173"/>
        </w:tabs>
        <w:spacing w:after="120" w:line="360" w:lineRule="auto"/>
        <w:jc w:val="both"/>
        <w:rPr>
          <w:rFonts w:asciiTheme="majorBidi" w:hAnsiTheme="majorBidi" w:cstheme="majorBidi"/>
          <w:sz w:val="24"/>
          <w:szCs w:val="24"/>
          <w:lang w:bidi="ar-DZ"/>
        </w:rPr>
      </w:pPr>
    </w:p>
    <w:p w14:paraId="232F3FBC" w14:textId="77777777" w:rsidR="003E3FB4" w:rsidRDefault="003E3FB4">
      <w:pPr>
        <w:tabs>
          <w:tab w:val="left" w:pos="6173"/>
        </w:tabs>
        <w:spacing w:after="120" w:line="360" w:lineRule="auto"/>
        <w:jc w:val="both"/>
        <w:rPr>
          <w:rFonts w:asciiTheme="majorBidi" w:hAnsiTheme="majorBidi" w:cstheme="majorBidi"/>
          <w:sz w:val="24"/>
          <w:szCs w:val="24"/>
          <w:lang w:bidi="ar-DZ"/>
        </w:rPr>
      </w:pPr>
    </w:p>
    <w:p w14:paraId="66ACC791" w14:textId="77777777" w:rsidR="003E3FB4" w:rsidRDefault="003E3FB4">
      <w:pPr>
        <w:tabs>
          <w:tab w:val="left" w:pos="6173"/>
        </w:tabs>
        <w:spacing w:after="120" w:line="360" w:lineRule="auto"/>
        <w:jc w:val="both"/>
        <w:rPr>
          <w:rFonts w:asciiTheme="majorBidi" w:hAnsiTheme="majorBidi" w:cstheme="majorBidi"/>
          <w:sz w:val="24"/>
          <w:szCs w:val="24"/>
          <w:lang w:bidi="ar-DZ"/>
        </w:rPr>
      </w:pPr>
    </w:p>
    <w:p w14:paraId="0D70EF54" w14:textId="77777777" w:rsidR="003E3FB4" w:rsidRDefault="003E3FB4">
      <w:pPr>
        <w:tabs>
          <w:tab w:val="left" w:pos="6173"/>
        </w:tabs>
        <w:spacing w:after="120" w:line="360" w:lineRule="auto"/>
        <w:jc w:val="both"/>
        <w:rPr>
          <w:rFonts w:asciiTheme="majorBidi" w:hAnsiTheme="majorBidi" w:cstheme="majorBidi"/>
          <w:sz w:val="24"/>
          <w:szCs w:val="24"/>
          <w:rtl/>
          <w:lang w:bidi="ar-DZ"/>
        </w:rPr>
      </w:pPr>
    </w:p>
    <w:p w14:paraId="409A2156" w14:textId="77777777" w:rsidR="003E3FB4" w:rsidRDefault="003E3FB4">
      <w:pPr>
        <w:tabs>
          <w:tab w:val="left" w:pos="6173"/>
        </w:tabs>
        <w:spacing w:after="0" w:line="360" w:lineRule="auto"/>
        <w:jc w:val="both"/>
        <w:rPr>
          <w:rFonts w:asciiTheme="majorBidi" w:hAnsiTheme="majorBidi" w:cstheme="majorBidi"/>
          <w:sz w:val="24"/>
          <w:szCs w:val="24"/>
          <w:rtl/>
          <w:lang w:bidi="ar-DZ"/>
        </w:rPr>
      </w:pPr>
    </w:p>
    <w:p w14:paraId="73FDC671" w14:textId="77777777" w:rsidR="003E3FB4" w:rsidRDefault="003E3FB4">
      <w:pPr>
        <w:tabs>
          <w:tab w:val="left" w:pos="6173"/>
        </w:tabs>
        <w:spacing w:line="360" w:lineRule="auto"/>
        <w:jc w:val="both"/>
        <w:rPr>
          <w:rFonts w:asciiTheme="majorBidi" w:hAnsiTheme="majorBidi" w:cstheme="majorBidi"/>
          <w:b/>
          <w:bCs/>
          <w:sz w:val="28"/>
          <w:szCs w:val="28"/>
          <w:rtl/>
          <w:lang w:bidi="ar-DZ"/>
        </w:rPr>
      </w:pPr>
    </w:p>
    <w:p w14:paraId="69B2D3F6" w14:textId="77777777" w:rsidR="003E3FB4" w:rsidRDefault="003E3FB4">
      <w:pPr>
        <w:tabs>
          <w:tab w:val="left" w:pos="6173"/>
        </w:tabs>
        <w:spacing w:line="360" w:lineRule="auto"/>
        <w:jc w:val="mediumKashida"/>
        <w:rPr>
          <w:rFonts w:asciiTheme="majorBidi" w:hAnsiTheme="majorBidi" w:cstheme="majorBidi"/>
          <w:b/>
          <w:bCs/>
          <w:sz w:val="28"/>
          <w:szCs w:val="28"/>
          <w:rtl/>
          <w:lang w:bidi="ar-DZ"/>
        </w:rPr>
      </w:pPr>
    </w:p>
    <w:p w14:paraId="0C7A6866" w14:textId="77777777" w:rsidR="003E3FB4" w:rsidRDefault="003E3FB4">
      <w:pPr>
        <w:tabs>
          <w:tab w:val="left" w:pos="6173"/>
        </w:tabs>
        <w:spacing w:line="360" w:lineRule="auto"/>
        <w:jc w:val="mediumKashida"/>
        <w:rPr>
          <w:rFonts w:asciiTheme="majorBidi" w:hAnsiTheme="majorBidi" w:cstheme="majorBidi"/>
          <w:b/>
          <w:bCs/>
          <w:sz w:val="28"/>
          <w:szCs w:val="28"/>
          <w:rtl/>
          <w:lang w:bidi="ar-DZ"/>
        </w:rPr>
      </w:pPr>
    </w:p>
    <w:p w14:paraId="4F03D756" w14:textId="42A0F365" w:rsidR="003E3FB4" w:rsidRDefault="004A3F2A">
      <w:pPr>
        <w:tabs>
          <w:tab w:val="left" w:pos="6173"/>
        </w:tabs>
        <w:jc w:val="mediumKashida"/>
        <w:rPr>
          <w:rFonts w:asciiTheme="majorBidi" w:hAnsiTheme="majorBidi" w:cstheme="majorBidi"/>
          <w:b/>
          <w:bCs/>
          <w:sz w:val="28"/>
          <w:szCs w:val="28"/>
          <w:lang w:bidi="ar-DZ"/>
        </w:rPr>
      </w:pPr>
      <w:r>
        <w:rPr>
          <w:rFonts w:asciiTheme="majorBidi" w:hAnsiTheme="majorBidi" w:cstheme="majorBidi"/>
          <w:b/>
          <w:bCs/>
          <w:sz w:val="28"/>
          <w:szCs w:val="28"/>
          <w:lang w:bidi="ar-DZ"/>
        </w:rPr>
        <w:t xml:space="preserve">      </w:t>
      </w:r>
    </w:p>
    <w:p w14:paraId="0B825534" w14:textId="77777777" w:rsidR="004A3F2A" w:rsidRDefault="004A3F2A">
      <w:pPr>
        <w:tabs>
          <w:tab w:val="left" w:pos="6173"/>
        </w:tabs>
        <w:jc w:val="mediumKashida"/>
        <w:rPr>
          <w:rFonts w:asciiTheme="majorBidi" w:hAnsiTheme="majorBidi" w:cstheme="majorBidi"/>
          <w:b/>
          <w:bCs/>
          <w:sz w:val="28"/>
          <w:szCs w:val="28"/>
          <w:lang w:bidi="ar-DZ"/>
        </w:rPr>
      </w:pPr>
    </w:p>
    <w:p w14:paraId="2AA3DBD2" w14:textId="77777777" w:rsidR="004A3F2A" w:rsidRDefault="004A3F2A">
      <w:pPr>
        <w:tabs>
          <w:tab w:val="left" w:pos="6173"/>
        </w:tabs>
        <w:jc w:val="mediumKashida"/>
        <w:rPr>
          <w:rFonts w:asciiTheme="majorBidi" w:hAnsiTheme="majorBidi" w:cstheme="majorBidi"/>
          <w:b/>
          <w:bCs/>
          <w:sz w:val="28"/>
          <w:szCs w:val="28"/>
          <w:lang w:bidi="ar-DZ"/>
        </w:rPr>
      </w:pPr>
    </w:p>
    <w:p w14:paraId="63F5DFF5" w14:textId="77777777" w:rsidR="004A3F2A" w:rsidRDefault="004A3F2A">
      <w:pPr>
        <w:tabs>
          <w:tab w:val="left" w:pos="6173"/>
        </w:tabs>
        <w:jc w:val="mediumKashida"/>
        <w:rPr>
          <w:rFonts w:asciiTheme="majorBidi" w:hAnsiTheme="majorBidi" w:cstheme="majorBidi"/>
          <w:b/>
          <w:bCs/>
          <w:sz w:val="28"/>
          <w:szCs w:val="28"/>
          <w:lang w:bidi="ar-DZ"/>
        </w:rPr>
      </w:pPr>
    </w:p>
    <w:p w14:paraId="3A26982D" w14:textId="77777777" w:rsidR="004A3F2A" w:rsidRDefault="004A3F2A">
      <w:pPr>
        <w:tabs>
          <w:tab w:val="left" w:pos="6173"/>
        </w:tabs>
        <w:jc w:val="mediumKashida"/>
        <w:rPr>
          <w:rFonts w:asciiTheme="majorBidi" w:hAnsiTheme="majorBidi" w:cstheme="majorBidi"/>
          <w:b/>
          <w:bCs/>
          <w:sz w:val="28"/>
          <w:szCs w:val="28"/>
          <w:lang w:bidi="ar-DZ"/>
        </w:rPr>
      </w:pPr>
    </w:p>
    <w:p w14:paraId="67675D32" w14:textId="77777777" w:rsidR="004A3F2A" w:rsidRDefault="004A3F2A">
      <w:pPr>
        <w:tabs>
          <w:tab w:val="left" w:pos="6173"/>
        </w:tabs>
        <w:jc w:val="mediumKashida"/>
        <w:rPr>
          <w:rFonts w:asciiTheme="majorBidi" w:hAnsiTheme="majorBidi" w:cstheme="majorBidi"/>
          <w:b/>
          <w:bCs/>
          <w:sz w:val="28"/>
          <w:szCs w:val="28"/>
          <w:lang w:bidi="ar-DZ"/>
        </w:rPr>
      </w:pPr>
    </w:p>
    <w:p w14:paraId="5B6E5CB8" w14:textId="77777777" w:rsidR="004A3F2A" w:rsidRDefault="004A3F2A">
      <w:pPr>
        <w:tabs>
          <w:tab w:val="left" w:pos="6173"/>
        </w:tabs>
        <w:jc w:val="mediumKashida"/>
        <w:rPr>
          <w:rFonts w:asciiTheme="majorBidi" w:hAnsiTheme="majorBidi" w:cstheme="majorBidi"/>
          <w:b/>
          <w:bCs/>
          <w:sz w:val="28"/>
          <w:szCs w:val="28"/>
          <w:lang w:bidi="ar-DZ"/>
        </w:rPr>
      </w:pPr>
    </w:p>
    <w:p w14:paraId="326A119C" w14:textId="77777777" w:rsidR="007316EC" w:rsidRDefault="007316EC">
      <w:pPr>
        <w:tabs>
          <w:tab w:val="left" w:pos="6173"/>
        </w:tabs>
        <w:jc w:val="mediumKashida"/>
        <w:rPr>
          <w:rFonts w:asciiTheme="majorBidi" w:hAnsiTheme="majorBidi" w:cstheme="majorBidi"/>
          <w:b/>
          <w:bCs/>
          <w:sz w:val="28"/>
          <w:szCs w:val="28"/>
          <w:lang w:bidi="ar-DZ"/>
        </w:rPr>
      </w:pPr>
    </w:p>
    <w:p w14:paraId="6168E69E" w14:textId="453A1C75" w:rsidR="003E3FB4" w:rsidRPr="004A3F2A" w:rsidRDefault="004A3F2A" w:rsidP="004A3F2A">
      <w:pPr>
        <w:tabs>
          <w:tab w:val="left" w:pos="6173"/>
        </w:tabs>
        <w:jc w:val="center"/>
        <w:rPr>
          <w:rFonts w:asciiTheme="majorBidi" w:hAnsiTheme="majorBidi" w:cstheme="majorBidi"/>
          <w:b/>
          <w:bCs/>
          <w:sz w:val="96"/>
          <w:szCs w:val="96"/>
          <w:lang w:bidi="ar-DZ"/>
        </w:rPr>
      </w:pPr>
      <w:r w:rsidRPr="004A3F2A">
        <w:rPr>
          <w:rFonts w:asciiTheme="majorBidi" w:hAnsiTheme="majorBidi" w:cstheme="majorBidi"/>
          <w:b/>
          <w:bCs/>
          <w:sz w:val="96"/>
          <w:szCs w:val="96"/>
          <w:lang w:bidi="ar-DZ"/>
        </w:rPr>
        <w:t>Introduction</w:t>
      </w:r>
    </w:p>
    <w:p w14:paraId="10641637" w14:textId="77777777" w:rsidR="003E3FB4" w:rsidRDefault="003E3FB4">
      <w:pPr>
        <w:tabs>
          <w:tab w:val="left" w:pos="6173"/>
        </w:tabs>
        <w:jc w:val="mediumKashida"/>
        <w:rPr>
          <w:rFonts w:asciiTheme="majorBidi" w:hAnsiTheme="majorBidi" w:cstheme="majorBidi"/>
          <w:b/>
          <w:bCs/>
          <w:sz w:val="28"/>
          <w:szCs w:val="28"/>
          <w:lang w:bidi="ar-DZ"/>
        </w:rPr>
      </w:pPr>
    </w:p>
    <w:p w14:paraId="6AB4F526" w14:textId="77777777" w:rsidR="003E3FB4" w:rsidRDefault="003E3FB4">
      <w:pPr>
        <w:tabs>
          <w:tab w:val="left" w:pos="6173"/>
        </w:tabs>
        <w:jc w:val="mediumKashida"/>
        <w:rPr>
          <w:rFonts w:asciiTheme="majorBidi" w:hAnsiTheme="majorBidi" w:cstheme="majorBidi"/>
          <w:b/>
          <w:bCs/>
          <w:sz w:val="28"/>
          <w:szCs w:val="28"/>
          <w:lang w:bidi="ar-DZ"/>
        </w:rPr>
      </w:pPr>
    </w:p>
    <w:p w14:paraId="3B2DA359" w14:textId="77777777" w:rsidR="003E3FB4" w:rsidRDefault="003E3FB4">
      <w:pPr>
        <w:tabs>
          <w:tab w:val="left" w:pos="6173"/>
        </w:tabs>
        <w:jc w:val="mediumKashida"/>
        <w:rPr>
          <w:rFonts w:asciiTheme="majorBidi" w:hAnsiTheme="majorBidi" w:cstheme="majorBidi"/>
          <w:b/>
          <w:bCs/>
          <w:sz w:val="28"/>
          <w:szCs w:val="28"/>
          <w:lang w:bidi="ar-DZ"/>
        </w:rPr>
      </w:pPr>
    </w:p>
    <w:p w14:paraId="60E0606D" w14:textId="77777777" w:rsidR="003E3FB4" w:rsidRDefault="003E3FB4">
      <w:pPr>
        <w:rPr>
          <w:rFonts w:asciiTheme="majorBidi" w:hAnsiTheme="majorBidi" w:cstheme="majorBidi"/>
          <w:sz w:val="28"/>
          <w:szCs w:val="28"/>
          <w:lang w:bidi="ar-DZ"/>
        </w:rPr>
      </w:pPr>
    </w:p>
    <w:p w14:paraId="1AE0204C" w14:textId="77777777" w:rsidR="003E3FB4" w:rsidRDefault="003E3FB4">
      <w:pPr>
        <w:rPr>
          <w:rFonts w:asciiTheme="majorBidi" w:hAnsiTheme="majorBidi" w:cstheme="majorBidi"/>
          <w:sz w:val="28"/>
          <w:szCs w:val="28"/>
          <w:lang w:bidi="ar-DZ"/>
        </w:rPr>
      </w:pPr>
    </w:p>
    <w:p w14:paraId="2343D043" w14:textId="77777777" w:rsidR="003E3FB4" w:rsidRDefault="003E3FB4">
      <w:pPr>
        <w:rPr>
          <w:rFonts w:asciiTheme="majorBidi" w:hAnsiTheme="majorBidi" w:cstheme="majorBidi"/>
          <w:sz w:val="28"/>
          <w:szCs w:val="28"/>
          <w:lang w:bidi="ar-DZ"/>
        </w:rPr>
      </w:pPr>
    </w:p>
    <w:p w14:paraId="7B996D35" w14:textId="77777777" w:rsidR="003E3FB4" w:rsidRDefault="003E3FB4">
      <w:pPr>
        <w:rPr>
          <w:rFonts w:asciiTheme="majorBidi" w:hAnsiTheme="majorBidi" w:cstheme="majorBidi"/>
          <w:sz w:val="28"/>
          <w:szCs w:val="28"/>
          <w:lang w:bidi="ar-DZ"/>
        </w:rPr>
      </w:pPr>
    </w:p>
    <w:p w14:paraId="377E8D45" w14:textId="77777777" w:rsidR="00B81C1B" w:rsidRDefault="00B81C1B">
      <w:pPr>
        <w:tabs>
          <w:tab w:val="left" w:pos="6173"/>
        </w:tabs>
        <w:jc w:val="mediumKashida"/>
        <w:rPr>
          <w:rFonts w:asciiTheme="majorBidi" w:hAnsiTheme="majorBidi" w:cstheme="majorBidi"/>
          <w:b/>
          <w:bCs/>
          <w:sz w:val="28"/>
          <w:szCs w:val="28"/>
          <w:lang w:bidi="ar-DZ"/>
        </w:rPr>
        <w:sectPr w:rsidR="00B81C1B">
          <w:footerReference w:type="default" r:id="rId12"/>
          <w:pgSz w:w="11906" w:h="16838"/>
          <w:pgMar w:top="1418" w:right="1416" w:bottom="1418" w:left="1418" w:header="709" w:footer="709" w:gutter="0"/>
          <w:pgNumType w:start="1"/>
          <w:cols w:space="708"/>
          <w:docGrid w:linePitch="360"/>
        </w:sectPr>
      </w:pPr>
    </w:p>
    <w:p w14:paraId="063F71F8" w14:textId="3E9C2C11" w:rsidR="003E3FB4" w:rsidRDefault="00561123">
      <w:pPr>
        <w:tabs>
          <w:tab w:val="left" w:pos="6173"/>
        </w:tabs>
        <w:jc w:val="mediumKashida"/>
        <w:rPr>
          <w:rFonts w:asciiTheme="majorBidi" w:hAnsiTheme="majorBidi" w:cstheme="majorBidi"/>
          <w:b/>
          <w:bCs/>
          <w:sz w:val="28"/>
          <w:szCs w:val="28"/>
          <w:lang w:bidi="ar-DZ"/>
        </w:rPr>
      </w:pPr>
      <w:r>
        <w:rPr>
          <w:rFonts w:asciiTheme="majorBidi" w:hAnsiTheme="majorBidi" w:cstheme="majorBidi"/>
          <w:b/>
          <w:bCs/>
          <w:sz w:val="28"/>
          <w:szCs w:val="28"/>
          <w:lang w:bidi="ar-DZ"/>
        </w:rPr>
        <w:lastRenderedPageBreak/>
        <w:t xml:space="preserve">                                                     </w:t>
      </w:r>
      <w:r w:rsidR="00385ED0">
        <w:rPr>
          <w:rFonts w:asciiTheme="majorBidi" w:hAnsiTheme="majorBidi" w:cstheme="majorBidi"/>
          <w:b/>
          <w:bCs/>
          <w:sz w:val="28"/>
          <w:szCs w:val="28"/>
          <w:lang w:bidi="ar-DZ"/>
        </w:rPr>
        <w:t xml:space="preserve">Introduction  </w:t>
      </w:r>
    </w:p>
    <w:p w14:paraId="4B03D883" w14:textId="788923FF" w:rsidR="003E3FB4" w:rsidRDefault="00385ED0">
      <w:pPr>
        <w:spacing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Depuis l’Antiquité, les plantes médicinales occupent une place centrale dans les pratiques de soins à travers le monde, tant pour leurs vertus nutritionnelles que pour leurs propriétés curatives </w:t>
      </w:r>
      <w:r>
        <w:rPr>
          <w:rFonts w:asciiTheme="majorBidi" w:hAnsiTheme="majorBidi" w:cstheme="majorBidi"/>
          <w:b/>
          <w:bCs/>
          <w:sz w:val="24"/>
          <w:szCs w:val="24"/>
        </w:rPr>
        <w:t>(Al-Asadi, 2014)</w:t>
      </w:r>
      <w:r>
        <w:rPr>
          <w:rFonts w:asciiTheme="majorBidi" w:hAnsiTheme="majorBidi" w:cstheme="majorBidi"/>
          <w:sz w:val="24"/>
          <w:szCs w:val="24"/>
        </w:rPr>
        <w:t xml:space="preserve">. </w:t>
      </w:r>
      <w:r w:rsidR="0093420B">
        <w:rPr>
          <w:rFonts w:asciiTheme="majorBidi" w:hAnsiTheme="majorBidi" w:cstheme="majorBidi"/>
          <w:sz w:val="24"/>
          <w:szCs w:val="24"/>
        </w:rPr>
        <w:t>Un</w:t>
      </w:r>
      <w:r>
        <w:rPr>
          <w:rFonts w:asciiTheme="majorBidi" w:hAnsiTheme="majorBidi" w:cstheme="majorBidi"/>
          <w:sz w:val="24"/>
          <w:szCs w:val="24"/>
        </w:rPr>
        <w:t xml:space="preserve"> regain d’intérêt pour la médecine traditionnelle s’observe, motivé par les effets secondaires souvent délétères des médicaments de synthèse, mais également par les limites de la médecine moderne à traiter certaines pathologies chroniques de manière efficace. Les plantes médicinales se distinguent par leur longue tradition d’usage thérapeutique et sont généralement perçues comme plus sûres, du fait de la rareté de leurs effets indésirables comparativement aux produits pharmaceutiques conventionnels </w:t>
      </w:r>
      <w:r>
        <w:rPr>
          <w:rFonts w:asciiTheme="majorBidi" w:hAnsiTheme="majorBidi" w:cstheme="majorBidi"/>
          <w:b/>
          <w:bCs/>
          <w:sz w:val="24"/>
          <w:szCs w:val="24"/>
        </w:rPr>
        <w:t>(Rafieian-Kopaei, 2012)</w:t>
      </w:r>
      <w:r>
        <w:rPr>
          <w:rFonts w:asciiTheme="majorBidi" w:hAnsiTheme="majorBidi" w:cstheme="majorBidi"/>
          <w:sz w:val="24"/>
          <w:szCs w:val="24"/>
        </w:rPr>
        <w:t xml:space="preserve">. En outre, elles possèdent la capacité d’atténuer les effets nocifs de certains traitements médicamenteux et de neutraliser la toxicité de substances dangereuses telles que les métaux lourds. Ainsi, elles représentent une source prometteuse pour le développement de nouvelles approches thérapeutiques </w:t>
      </w:r>
      <w:r>
        <w:rPr>
          <w:rFonts w:asciiTheme="majorBidi" w:hAnsiTheme="majorBidi" w:cstheme="majorBidi"/>
          <w:b/>
          <w:bCs/>
          <w:sz w:val="24"/>
          <w:szCs w:val="24"/>
        </w:rPr>
        <w:t xml:space="preserve">(Bahmani et </w:t>
      </w:r>
      <w:r>
        <w:rPr>
          <w:rFonts w:asciiTheme="majorBidi" w:hAnsiTheme="majorBidi" w:cstheme="majorBidi"/>
          <w:b/>
          <w:bCs/>
          <w:i/>
          <w:iCs/>
          <w:sz w:val="24"/>
          <w:szCs w:val="24"/>
        </w:rPr>
        <w:t>al.</w:t>
      </w:r>
      <w:r>
        <w:rPr>
          <w:rFonts w:asciiTheme="majorBidi" w:hAnsiTheme="majorBidi" w:cstheme="majorBidi"/>
          <w:b/>
          <w:bCs/>
          <w:sz w:val="24"/>
          <w:szCs w:val="24"/>
        </w:rPr>
        <w:t>, 2016)</w:t>
      </w:r>
      <w:r>
        <w:rPr>
          <w:rFonts w:asciiTheme="majorBidi" w:hAnsiTheme="majorBidi" w:cstheme="majorBidi"/>
          <w:sz w:val="24"/>
          <w:szCs w:val="24"/>
        </w:rPr>
        <w:t>.</w:t>
      </w:r>
    </w:p>
    <w:p w14:paraId="6D95F3E0" w14:textId="77777777" w:rsidR="003E3FB4" w:rsidRDefault="00385ED0">
      <w:pPr>
        <w:spacing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Près de 80 % de la population mondiale recourt aux plantes médicinales pour le traitement de diverses affections et l’amélioration de la santé générale </w:t>
      </w:r>
      <w:r>
        <w:rPr>
          <w:rFonts w:asciiTheme="majorBidi" w:hAnsiTheme="majorBidi" w:cstheme="majorBidi"/>
          <w:b/>
          <w:bCs/>
          <w:sz w:val="24"/>
          <w:szCs w:val="24"/>
        </w:rPr>
        <w:t>(Gawade et al., 2023).</w:t>
      </w:r>
      <w:r>
        <w:rPr>
          <w:rFonts w:asciiTheme="majorBidi" w:hAnsiTheme="majorBidi" w:cstheme="majorBidi"/>
          <w:sz w:val="24"/>
          <w:szCs w:val="24"/>
        </w:rPr>
        <w:t xml:space="preserve"> Parmi ces plantes figure le fenugrec (</w:t>
      </w:r>
      <w:r>
        <w:rPr>
          <w:rFonts w:asciiTheme="majorBidi" w:hAnsiTheme="majorBidi" w:cstheme="majorBidi"/>
          <w:i/>
          <w:iCs/>
          <w:sz w:val="24"/>
          <w:szCs w:val="24"/>
        </w:rPr>
        <w:t>Trigonella foenum-graecum</w:t>
      </w:r>
      <w:r>
        <w:rPr>
          <w:rFonts w:asciiTheme="majorBidi" w:hAnsiTheme="majorBidi" w:cstheme="majorBidi"/>
          <w:sz w:val="24"/>
          <w:szCs w:val="24"/>
        </w:rPr>
        <w:t xml:space="preserve"> L.), une espèce herbacée appartenant à la famille des Fabaceae, couramment cultivée dans les régions semi-arides où l'irrigation dépend principalement des précipitations </w:t>
      </w:r>
      <w:r>
        <w:rPr>
          <w:rFonts w:asciiTheme="majorBidi" w:hAnsiTheme="majorBidi" w:cstheme="majorBidi"/>
          <w:b/>
          <w:bCs/>
          <w:sz w:val="24"/>
          <w:szCs w:val="24"/>
        </w:rPr>
        <w:t>(Armo et al., 2024)</w:t>
      </w:r>
      <w:r>
        <w:rPr>
          <w:rFonts w:asciiTheme="majorBidi" w:hAnsiTheme="majorBidi" w:cstheme="majorBidi"/>
          <w:sz w:val="24"/>
          <w:szCs w:val="24"/>
        </w:rPr>
        <w:t xml:space="preserve">. Les graines de fenugrec, fréquemment utilisées comme épices, sont reconnues pour leur richesse nutritionnelle et leur composition phytochimique variée. Elles contiennent notamment des saponines stéroïdiennes, des graisses fixes, des huiles essentielles, ainsi que de faibles concentrations d’alcaloïdes </w:t>
      </w:r>
      <w:r>
        <w:rPr>
          <w:rFonts w:asciiTheme="majorBidi" w:hAnsiTheme="majorBidi" w:cstheme="majorBidi"/>
          <w:b/>
          <w:bCs/>
          <w:sz w:val="24"/>
          <w:szCs w:val="24"/>
        </w:rPr>
        <w:t>(Gawade et al., 2023)</w:t>
      </w:r>
      <w:r>
        <w:rPr>
          <w:rFonts w:asciiTheme="majorBidi" w:hAnsiTheme="majorBidi" w:cstheme="majorBidi"/>
          <w:sz w:val="24"/>
          <w:szCs w:val="24"/>
        </w:rPr>
        <w:t xml:space="preserve">. Cette composition confère au fenugrec un large spectre d’activités biologiques, incluant des effets hypoglycémiants et hypolipidémiants, ainsi que des propriétés antioxydantes, anti-inflammatoires, antimicrobiennes et immunomodulatrices </w:t>
      </w:r>
      <w:r>
        <w:rPr>
          <w:rFonts w:asciiTheme="majorBidi" w:hAnsiTheme="majorBidi" w:cstheme="majorBidi"/>
          <w:b/>
          <w:bCs/>
          <w:sz w:val="24"/>
          <w:szCs w:val="24"/>
        </w:rPr>
        <w:t xml:space="preserve">(Alu’datt et al., 2024). </w:t>
      </w:r>
      <w:r>
        <w:rPr>
          <w:rFonts w:asciiTheme="majorBidi" w:hAnsiTheme="majorBidi" w:cstheme="majorBidi"/>
          <w:sz w:val="24"/>
          <w:szCs w:val="24"/>
        </w:rPr>
        <w:t>Le fenugrec se distingue également par sa capacité à favoriser l’élimination du pus et à stimuler la diurèse, ce qui le rend utile dans le traitement de l’hydropisie, de la toux chronique et de l’hypertrophie de la rate.</w:t>
      </w:r>
      <w:r>
        <w:rPr>
          <w:rFonts w:asciiTheme="majorBidi" w:hAnsiTheme="majorBidi" w:cstheme="majorBidi"/>
          <w:b/>
          <w:bCs/>
          <w:sz w:val="24"/>
          <w:szCs w:val="24"/>
        </w:rPr>
        <w:t xml:space="preserve"> (Yogesh Singh Armo et </w:t>
      </w:r>
      <w:r>
        <w:rPr>
          <w:rFonts w:asciiTheme="majorBidi" w:hAnsiTheme="majorBidi" w:cstheme="majorBidi"/>
          <w:b/>
          <w:bCs/>
          <w:i/>
          <w:iCs/>
          <w:sz w:val="24"/>
          <w:szCs w:val="24"/>
        </w:rPr>
        <w:t xml:space="preserve">al., </w:t>
      </w:r>
      <w:r>
        <w:rPr>
          <w:rFonts w:asciiTheme="majorBidi" w:hAnsiTheme="majorBidi" w:cstheme="majorBidi"/>
          <w:b/>
          <w:bCs/>
          <w:sz w:val="24"/>
          <w:szCs w:val="24"/>
        </w:rPr>
        <w:t>2024).</w:t>
      </w:r>
    </w:p>
    <w:p w14:paraId="2CB9D3DC" w14:textId="77777777" w:rsidR="003E3FB4" w:rsidRDefault="00385ED0">
      <w:pPr>
        <w:spacing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Cette étude a pour principal objectif d’analyser la composition phytochimique des graines de </w:t>
      </w:r>
      <w:r>
        <w:rPr>
          <w:rFonts w:asciiTheme="majorBidi" w:hAnsiTheme="majorBidi" w:cstheme="majorBidi"/>
          <w:i/>
          <w:iCs/>
          <w:sz w:val="24"/>
          <w:szCs w:val="24"/>
        </w:rPr>
        <w:t>Trigonella foenum-graecum</w:t>
      </w:r>
      <w:r>
        <w:rPr>
          <w:rFonts w:asciiTheme="majorBidi" w:hAnsiTheme="majorBidi" w:cstheme="majorBidi"/>
          <w:sz w:val="24"/>
          <w:szCs w:val="24"/>
        </w:rPr>
        <w:t xml:space="preserve"> L. (fenugrec) importées d’Inde, tout en évaluant un ensemble d’activités biologiques clés. Il s’agit notamment de l’activité antioxydante, de l’activité anti-inflammatoire in vitro, ainsi que des propriétés antibactériennes et antifongiques. Cette démarche vise à approfondir la compréhension du potentiel fonctionnel des composés bioactifs </w:t>
      </w:r>
      <w:r>
        <w:rPr>
          <w:rFonts w:asciiTheme="majorBidi" w:hAnsiTheme="majorBidi" w:cstheme="majorBidi"/>
          <w:sz w:val="24"/>
          <w:szCs w:val="24"/>
        </w:rPr>
        <w:lastRenderedPageBreak/>
        <w:t>présents dans le fenugrec, et à mettre en évidence leur implication dans divers mécanismes biologiques.</w:t>
      </w:r>
    </w:p>
    <w:p w14:paraId="70015F95" w14:textId="77777777" w:rsidR="003E3FB4" w:rsidRDefault="00385ED0">
      <w:pPr>
        <w:spacing w:line="360" w:lineRule="auto"/>
        <w:jc w:val="both"/>
        <w:rPr>
          <w:rFonts w:asciiTheme="majorBidi" w:hAnsiTheme="majorBidi" w:cstheme="majorBidi"/>
          <w:sz w:val="24"/>
          <w:szCs w:val="24"/>
        </w:rPr>
      </w:pPr>
      <w:r>
        <w:rPr>
          <w:rFonts w:asciiTheme="majorBidi" w:hAnsiTheme="majorBidi" w:cstheme="majorBidi"/>
          <w:sz w:val="24"/>
          <w:szCs w:val="24"/>
        </w:rPr>
        <w:t>Nous avons structuré ce travail de recherche en trois chapitres principaux, dans le but d’aborder les différents aspects de l’étude de manière méthodique :</w:t>
      </w:r>
    </w:p>
    <w:p w14:paraId="7FBCCDF6" w14:textId="77777777" w:rsidR="003E3FB4" w:rsidRDefault="00385ED0">
      <w:pPr>
        <w:pStyle w:val="Paragraphedeliste"/>
        <w:numPr>
          <w:ilvl w:val="0"/>
          <w:numId w:val="1"/>
        </w:numPr>
        <w:spacing w:line="360" w:lineRule="auto"/>
        <w:jc w:val="both"/>
        <w:rPr>
          <w:rFonts w:asciiTheme="majorBidi" w:hAnsiTheme="majorBidi" w:cstheme="majorBidi"/>
          <w:sz w:val="24"/>
          <w:szCs w:val="24"/>
        </w:rPr>
      </w:pPr>
      <w:r>
        <w:rPr>
          <w:rFonts w:asciiTheme="majorBidi" w:hAnsiTheme="majorBidi" w:cstheme="majorBidi"/>
          <w:sz w:val="24"/>
          <w:szCs w:val="24"/>
        </w:rPr>
        <w:t xml:space="preserve">Dans le premier chapitre, une synthèse bibliographique sera présentée sur les graines de fenugrec et leurs activités biologiques. </w:t>
      </w:r>
    </w:p>
    <w:p w14:paraId="093659DF" w14:textId="609F3965" w:rsidR="003E3FB4" w:rsidRDefault="00385ED0">
      <w:pPr>
        <w:pStyle w:val="Paragraphedeliste"/>
        <w:numPr>
          <w:ilvl w:val="0"/>
          <w:numId w:val="1"/>
        </w:numPr>
        <w:spacing w:line="360" w:lineRule="auto"/>
        <w:jc w:val="both"/>
        <w:rPr>
          <w:rFonts w:asciiTheme="majorBidi" w:hAnsiTheme="majorBidi" w:cstheme="majorBidi"/>
          <w:sz w:val="24"/>
          <w:szCs w:val="24"/>
        </w:rPr>
      </w:pPr>
      <w:r>
        <w:rPr>
          <w:rFonts w:asciiTheme="majorBidi" w:hAnsiTheme="majorBidi" w:cstheme="majorBidi"/>
          <w:sz w:val="24"/>
          <w:szCs w:val="24"/>
        </w:rPr>
        <w:t xml:space="preserve">Le deuxième chapitre présente le matériel et les méthodes utilisés, notamment l’extraction des extraits de fenugrec, l’analyse de sa composition chimique, l’évaluation de son activité antibactérienne par la méthode d’aromatogramme et activité antifongique, l’évaluation de son activité antioxydante par le test de DPPH et le test de FRAP.  </w:t>
      </w:r>
      <w:r w:rsidR="00427A87">
        <w:rPr>
          <w:rFonts w:asciiTheme="majorBidi" w:hAnsiTheme="majorBidi" w:cstheme="majorBidi"/>
          <w:sz w:val="24"/>
          <w:szCs w:val="24"/>
        </w:rPr>
        <w:t>Activité</w:t>
      </w:r>
      <w:r>
        <w:rPr>
          <w:rFonts w:asciiTheme="majorBidi" w:hAnsiTheme="majorBidi" w:cstheme="majorBidi"/>
          <w:sz w:val="24"/>
          <w:szCs w:val="24"/>
        </w:rPr>
        <w:t xml:space="preserve"> anti-inflammatoire </w:t>
      </w:r>
      <w:r>
        <w:rPr>
          <w:rFonts w:asciiTheme="majorBidi" w:hAnsiTheme="majorBidi" w:cstheme="majorBidi"/>
          <w:i/>
          <w:iCs/>
          <w:sz w:val="24"/>
          <w:szCs w:val="24"/>
        </w:rPr>
        <w:t>in vitro</w:t>
      </w:r>
      <w:r>
        <w:rPr>
          <w:rFonts w:asciiTheme="majorBidi" w:hAnsiTheme="majorBidi" w:cstheme="majorBidi"/>
          <w:sz w:val="24"/>
          <w:szCs w:val="24"/>
        </w:rPr>
        <w:t xml:space="preserve"> par la méthode de dénaturation de l’ovalbumine.</w:t>
      </w:r>
    </w:p>
    <w:p w14:paraId="05226B19" w14:textId="77777777" w:rsidR="003E3FB4" w:rsidRDefault="00385ED0">
      <w:pPr>
        <w:pStyle w:val="Paragraphedeliste"/>
        <w:numPr>
          <w:ilvl w:val="0"/>
          <w:numId w:val="1"/>
        </w:numPr>
        <w:spacing w:line="360" w:lineRule="auto"/>
        <w:jc w:val="both"/>
        <w:rPr>
          <w:rFonts w:asciiTheme="majorBidi" w:hAnsiTheme="majorBidi" w:cstheme="majorBidi"/>
          <w:sz w:val="24"/>
          <w:szCs w:val="24"/>
        </w:rPr>
      </w:pPr>
      <w:r>
        <w:rPr>
          <w:rFonts w:asciiTheme="majorBidi" w:hAnsiTheme="majorBidi" w:cstheme="majorBidi"/>
          <w:sz w:val="24"/>
          <w:szCs w:val="24"/>
        </w:rPr>
        <w:t xml:space="preserve">La troisième et dernière partie présente les principaux résultats obtenus et leur discussion. </w:t>
      </w:r>
    </w:p>
    <w:p w14:paraId="14736292" w14:textId="77777777" w:rsidR="003E3FB4" w:rsidRDefault="00385ED0">
      <w:pPr>
        <w:spacing w:line="360" w:lineRule="auto"/>
        <w:jc w:val="both"/>
        <w:rPr>
          <w:rFonts w:asciiTheme="majorBidi" w:hAnsiTheme="majorBidi" w:cstheme="majorBidi"/>
          <w:sz w:val="24"/>
          <w:szCs w:val="24"/>
        </w:rPr>
      </w:pPr>
      <w:r>
        <w:rPr>
          <w:rFonts w:asciiTheme="majorBidi" w:hAnsiTheme="majorBidi" w:cstheme="majorBidi"/>
          <w:sz w:val="24"/>
          <w:szCs w:val="24"/>
        </w:rPr>
        <w:t>Enfin, le travail se conclut par une conclusion et des perspectives.</w:t>
      </w:r>
    </w:p>
    <w:p w14:paraId="29992F44" w14:textId="77777777" w:rsidR="003E3FB4" w:rsidRDefault="003E3FB4">
      <w:pPr>
        <w:tabs>
          <w:tab w:val="left" w:pos="6173"/>
        </w:tabs>
        <w:jc w:val="mediumKashida"/>
        <w:rPr>
          <w:rFonts w:asciiTheme="majorBidi" w:hAnsiTheme="majorBidi" w:cstheme="majorBidi"/>
          <w:b/>
          <w:bCs/>
          <w:sz w:val="28"/>
          <w:szCs w:val="28"/>
          <w:lang w:bidi="ar-DZ"/>
        </w:rPr>
      </w:pPr>
    </w:p>
    <w:p w14:paraId="74B70E54" w14:textId="77777777" w:rsidR="003E3FB4" w:rsidRDefault="003E3FB4">
      <w:pPr>
        <w:tabs>
          <w:tab w:val="left" w:pos="6173"/>
        </w:tabs>
        <w:jc w:val="mediumKashida"/>
        <w:rPr>
          <w:rFonts w:asciiTheme="majorBidi" w:hAnsiTheme="majorBidi" w:cstheme="majorBidi"/>
          <w:b/>
          <w:bCs/>
          <w:sz w:val="28"/>
          <w:szCs w:val="28"/>
          <w:rtl/>
          <w:lang w:bidi="ar-DZ"/>
        </w:rPr>
      </w:pPr>
    </w:p>
    <w:p w14:paraId="0E2ACCB0" w14:textId="77777777" w:rsidR="001314B3" w:rsidRDefault="001314B3">
      <w:pPr>
        <w:rPr>
          <w:rFonts w:asciiTheme="majorBidi" w:hAnsiTheme="majorBidi" w:cstheme="majorBidi"/>
          <w:b/>
          <w:bCs/>
          <w:sz w:val="28"/>
          <w:szCs w:val="28"/>
          <w:lang w:bidi="ar-DZ"/>
        </w:rPr>
        <w:sectPr w:rsidR="001314B3">
          <w:headerReference w:type="default" r:id="rId13"/>
          <w:footerReference w:type="default" r:id="rId14"/>
          <w:pgSz w:w="11906" w:h="16838"/>
          <w:pgMar w:top="1418" w:right="1416" w:bottom="1418" w:left="1418" w:header="709" w:footer="709" w:gutter="0"/>
          <w:pgNumType w:start="1"/>
          <w:cols w:space="708"/>
          <w:docGrid w:linePitch="360"/>
        </w:sectPr>
      </w:pPr>
    </w:p>
    <w:p w14:paraId="3C836E99" w14:textId="61C2EDD4" w:rsidR="004A3F2A" w:rsidRDefault="004A3F2A">
      <w:pPr>
        <w:rPr>
          <w:rFonts w:asciiTheme="majorBidi" w:hAnsiTheme="majorBidi" w:cstheme="majorBidi"/>
          <w:b/>
          <w:bCs/>
          <w:sz w:val="28"/>
          <w:szCs w:val="28"/>
          <w:lang w:bidi="ar-DZ"/>
        </w:rPr>
      </w:pPr>
    </w:p>
    <w:p w14:paraId="62729C66" w14:textId="77777777" w:rsidR="004A3F2A" w:rsidRDefault="004A3F2A">
      <w:pPr>
        <w:rPr>
          <w:rFonts w:asciiTheme="majorBidi" w:hAnsiTheme="majorBidi" w:cstheme="majorBidi"/>
          <w:b/>
          <w:bCs/>
          <w:sz w:val="28"/>
          <w:szCs w:val="28"/>
          <w:lang w:bidi="ar-DZ"/>
        </w:rPr>
      </w:pPr>
    </w:p>
    <w:p w14:paraId="709E81B6" w14:textId="77777777" w:rsidR="004A3F2A" w:rsidRDefault="004A3F2A">
      <w:pPr>
        <w:rPr>
          <w:rFonts w:asciiTheme="majorBidi" w:hAnsiTheme="majorBidi" w:cstheme="majorBidi"/>
          <w:b/>
          <w:bCs/>
          <w:sz w:val="28"/>
          <w:szCs w:val="28"/>
          <w:lang w:bidi="ar-DZ"/>
        </w:rPr>
      </w:pPr>
    </w:p>
    <w:p w14:paraId="226D425F" w14:textId="77777777" w:rsidR="004A3F2A" w:rsidRDefault="004A3F2A">
      <w:pPr>
        <w:rPr>
          <w:rFonts w:asciiTheme="majorBidi" w:hAnsiTheme="majorBidi" w:cstheme="majorBidi"/>
          <w:b/>
          <w:bCs/>
          <w:sz w:val="28"/>
          <w:szCs w:val="28"/>
          <w:lang w:bidi="ar-DZ"/>
        </w:rPr>
      </w:pPr>
    </w:p>
    <w:p w14:paraId="64207342" w14:textId="77777777" w:rsidR="004A3F2A" w:rsidRDefault="004A3F2A">
      <w:pPr>
        <w:rPr>
          <w:rFonts w:asciiTheme="majorBidi" w:hAnsiTheme="majorBidi" w:cstheme="majorBidi"/>
          <w:b/>
          <w:bCs/>
          <w:sz w:val="28"/>
          <w:szCs w:val="28"/>
          <w:lang w:bidi="ar-DZ"/>
        </w:rPr>
      </w:pPr>
    </w:p>
    <w:p w14:paraId="49A96ADA" w14:textId="77777777" w:rsidR="003E3FB4" w:rsidRDefault="003E3FB4">
      <w:pPr>
        <w:rPr>
          <w:rFonts w:asciiTheme="majorBidi" w:hAnsiTheme="majorBidi" w:cstheme="majorBidi"/>
          <w:b/>
          <w:bCs/>
          <w:sz w:val="28"/>
          <w:szCs w:val="28"/>
          <w:lang w:bidi="ar-DZ"/>
        </w:rPr>
      </w:pPr>
    </w:p>
    <w:p w14:paraId="0374FE59" w14:textId="346386CE" w:rsidR="003E3FB4" w:rsidRPr="004A3F2A" w:rsidRDefault="00320AF4" w:rsidP="004A3F2A">
      <w:pPr>
        <w:jc w:val="center"/>
        <w:rPr>
          <w:rFonts w:asciiTheme="majorBidi" w:hAnsiTheme="majorBidi" w:cstheme="majorBidi"/>
          <w:b/>
          <w:bCs/>
          <w:sz w:val="96"/>
          <w:szCs w:val="96"/>
          <w:lang w:bidi="ar-DZ"/>
        </w:rPr>
      </w:pPr>
      <w:r>
        <w:rPr>
          <w:rFonts w:asciiTheme="majorBidi" w:hAnsiTheme="majorBidi" w:cstheme="majorBidi"/>
          <w:b/>
          <w:bCs/>
          <w:sz w:val="96"/>
          <w:szCs w:val="96"/>
          <w:lang w:bidi="ar-DZ"/>
        </w:rPr>
        <w:t>S</w:t>
      </w:r>
      <w:r w:rsidR="004A3F2A" w:rsidRPr="004A3F2A">
        <w:rPr>
          <w:rFonts w:asciiTheme="majorBidi" w:hAnsiTheme="majorBidi" w:cstheme="majorBidi"/>
          <w:b/>
          <w:bCs/>
          <w:sz w:val="96"/>
          <w:szCs w:val="96"/>
          <w:lang w:bidi="ar-DZ"/>
        </w:rPr>
        <w:t>ynthèse bibliographique</w:t>
      </w:r>
    </w:p>
    <w:p w14:paraId="3A4E44F2" w14:textId="24B30772" w:rsidR="003E3FB4" w:rsidRDefault="003E3FB4">
      <w:pPr>
        <w:rPr>
          <w:rFonts w:asciiTheme="majorBidi" w:hAnsiTheme="majorBidi" w:cstheme="majorBidi"/>
          <w:b/>
          <w:bCs/>
          <w:sz w:val="28"/>
          <w:szCs w:val="28"/>
          <w:lang w:bidi="ar-DZ"/>
        </w:rPr>
      </w:pPr>
    </w:p>
    <w:p w14:paraId="67B7BC9F" w14:textId="77777777" w:rsidR="003E3FB4" w:rsidRDefault="003E3FB4">
      <w:pPr>
        <w:rPr>
          <w:rFonts w:asciiTheme="majorBidi" w:hAnsiTheme="majorBidi" w:cstheme="majorBidi"/>
          <w:b/>
          <w:bCs/>
          <w:sz w:val="28"/>
          <w:szCs w:val="28"/>
          <w:lang w:bidi="ar-DZ"/>
        </w:rPr>
      </w:pPr>
    </w:p>
    <w:p w14:paraId="0ECC0F42" w14:textId="77777777" w:rsidR="003E3FB4" w:rsidRDefault="003E3FB4">
      <w:pPr>
        <w:rPr>
          <w:rFonts w:asciiTheme="majorBidi" w:hAnsiTheme="majorBidi" w:cstheme="majorBidi"/>
          <w:b/>
          <w:bCs/>
          <w:sz w:val="28"/>
          <w:szCs w:val="28"/>
          <w:lang w:bidi="ar-DZ"/>
        </w:rPr>
      </w:pPr>
    </w:p>
    <w:p w14:paraId="4572153E" w14:textId="77777777" w:rsidR="003E3FB4" w:rsidRDefault="003E3FB4">
      <w:pPr>
        <w:jc w:val="center"/>
        <w:rPr>
          <w:rFonts w:asciiTheme="majorBidi" w:hAnsiTheme="majorBidi" w:cstheme="majorBidi"/>
          <w:b/>
          <w:bCs/>
          <w:sz w:val="72"/>
          <w:szCs w:val="72"/>
          <w:lang w:bidi="ar-DZ"/>
        </w:rPr>
      </w:pPr>
    </w:p>
    <w:p w14:paraId="44A5C331" w14:textId="77777777" w:rsidR="003E3FB4" w:rsidRDefault="003E3FB4">
      <w:pPr>
        <w:jc w:val="center"/>
        <w:rPr>
          <w:rFonts w:asciiTheme="majorBidi" w:hAnsiTheme="majorBidi" w:cstheme="majorBidi"/>
          <w:b/>
          <w:bCs/>
          <w:sz w:val="72"/>
          <w:szCs w:val="72"/>
          <w:lang w:bidi="ar-DZ"/>
        </w:rPr>
      </w:pPr>
    </w:p>
    <w:p w14:paraId="263DF636" w14:textId="77777777" w:rsidR="003E3FB4" w:rsidRDefault="003E3FB4">
      <w:pPr>
        <w:jc w:val="center"/>
        <w:rPr>
          <w:rFonts w:asciiTheme="majorBidi" w:hAnsiTheme="majorBidi" w:cstheme="majorBidi"/>
          <w:b/>
          <w:bCs/>
          <w:sz w:val="72"/>
          <w:szCs w:val="72"/>
          <w:lang w:bidi="ar-DZ"/>
        </w:rPr>
      </w:pPr>
    </w:p>
    <w:p w14:paraId="1E1A6F20" w14:textId="77777777" w:rsidR="001314B3" w:rsidRDefault="001314B3" w:rsidP="00380834">
      <w:pPr>
        <w:rPr>
          <w:rFonts w:asciiTheme="majorBidi" w:hAnsiTheme="majorBidi" w:cstheme="majorBidi"/>
          <w:b/>
          <w:bCs/>
          <w:sz w:val="28"/>
          <w:szCs w:val="28"/>
          <w:lang w:bidi="ar-DZ"/>
        </w:rPr>
        <w:sectPr w:rsidR="001314B3">
          <w:headerReference w:type="default" r:id="rId15"/>
          <w:footerReference w:type="default" r:id="rId16"/>
          <w:pgSz w:w="11906" w:h="16838"/>
          <w:pgMar w:top="1418" w:right="1416" w:bottom="1418" w:left="1418" w:header="709" w:footer="709" w:gutter="0"/>
          <w:pgNumType w:start="1"/>
          <w:cols w:space="708"/>
          <w:docGrid w:linePitch="360"/>
        </w:sectPr>
      </w:pPr>
    </w:p>
    <w:p w14:paraId="5DAA5B01" w14:textId="46D96C3E" w:rsidR="003E3FB4" w:rsidRPr="00427A87" w:rsidRDefault="00385ED0" w:rsidP="00380834">
      <w:pPr>
        <w:rPr>
          <w:rFonts w:asciiTheme="majorBidi" w:hAnsiTheme="majorBidi" w:cstheme="majorBidi"/>
          <w:b/>
          <w:bCs/>
          <w:sz w:val="28"/>
          <w:szCs w:val="28"/>
          <w:lang w:bidi="ar-DZ"/>
        </w:rPr>
      </w:pPr>
      <w:r w:rsidRPr="00427A87">
        <w:rPr>
          <w:rFonts w:asciiTheme="majorBidi" w:hAnsiTheme="majorBidi" w:cstheme="majorBidi"/>
          <w:b/>
          <w:bCs/>
          <w:sz w:val="28"/>
          <w:szCs w:val="28"/>
          <w:lang w:bidi="ar-DZ"/>
        </w:rPr>
        <w:lastRenderedPageBreak/>
        <w:t xml:space="preserve">Chapitre I. </w:t>
      </w:r>
      <w:r w:rsidRPr="00427A87">
        <w:rPr>
          <w:rFonts w:asciiTheme="majorBidi" w:hAnsiTheme="majorBidi" w:cstheme="majorBidi"/>
          <w:b/>
          <w:bCs/>
          <w:i/>
          <w:iCs/>
          <w:sz w:val="28"/>
          <w:szCs w:val="28"/>
          <w:lang w:bidi="ar-DZ"/>
        </w:rPr>
        <w:t>Trigonella foenum-graecum</w:t>
      </w:r>
      <w:r w:rsidRPr="00427A87">
        <w:rPr>
          <w:rFonts w:asciiTheme="majorBidi" w:hAnsiTheme="majorBidi" w:cstheme="majorBidi"/>
          <w:b/>
          <w:bCs/>
          <w:sz w:val="28"/>
          <w:szCs w:val="28"/>
          <w:lang w:bidi="ar-DZ"/>
        </w:rPr>
        <w:t xml:space="preserve"> L. </w:t>
      </w:r>
      <w:r w:rsidR="00427A87" w:rsidRPr="00427A87">
        <w:rPr>
          <w:rFonts w:asciiTheme="majorBidi" w:hAnsiTheme="majorBidi" w:cstheme="majorBidi"/>
          <w:b/>
          <w:bCs/>
          <w:sz w:val="28"/>
          <w:szCs w:val="28"/>
          <w:lang w:bidi="ar-DZ"/>
        </w:rPr>
        <w:t xml:space="preserve">et ses activités biologiques </w:t>
      </w:r>
    </w:p>
    <w:p w14:paraId="6B7221A2" w14:textId="77777777" w:rsidR="003E3FB4" w:rsidRPr="00427A87" w:rsidRDefault="00385ED0">
      <w:pPr>
        <w:spacing w:line="360" w:lineRule="auto"/>
        <w:rPr>
          <w:rFonts w:asciiTheme="majorBidi" w:hAnsiTheme="majorBidi" w:cstheme="majorBidi"/>
          <w:b/>
          <w:bCs/>
          <w:sz w:val="24"/>
          <w:szCs w:val="24"/>
          <w:lang w:bidi="ar-DZ"/>
        </w:rPr>
      </w:pPr>
      <w:r w:rsidRPr="00427A87">
        <w:rPr>
          <w:rFonts w:asciiTheme="majorBidi" w:hAnsiTheme="majorBidi" w:cstheme="majorBidi"/>
          <w:b/>
          <w:bCs/>
          <w:sz w:val="24"/>
          <w:szCs w:val="24"/>
          <w:lang w:bidi="ar-DZ"/>
        </w:rPr>
        <w:t xml:space="preserve">I-1-Historique et l’origine de </w:t>
      </w:r>
      <w:r w:rsidRPr="00427A87">
        <w:rPr>
          <w:rFonts w:asciiTheme="majorBidi" w:hAnsiTheme="majorBidi" w:cstheme="majorBidi"/>
          <w:b/>
          <w:bCs/>
          <w:i/>
          <w:iCs/>
          <w:sz w:val="24"/>
          <w:szCs w:val="24"/>
          <w:lang w:bidi="ar-DZ"/>
        </w:rPr>
        <w:t>Trigonella foenum-graecum</w:t>
      </w:r>
      <w:r w:rsidRPr="00427A87">
        <w:rPr>
          <w:rFonts w:asciiTheme="majorBidi" w:hAnsiTheme="majorBidi" w:cstheme="majorBidi"/>
          <w:b/>
          <w:bCs/>
          <w:sz w:val="24"/>
          <w:szCs w:val="24"/>
          <w:lang w:bidi="ar-DZ"/>
        </w:rPr>
        <w:t xml:space="preserve"> L.</w:t>
      </w:r>
    </w:p>
    <w:p w14:paraId="14812FC0" w14:textId="77777777" w:rsidR="003E3FB4" w:rsidRPr="00427A87" w:rsidRDefault="00385ED0">
      <w:pPr>
        <w:spacing w:line="360" w:lineRule="auto"/>
        <w:ind w:firstLine="567"/>
        <w:jc w:val="both"/>
        <w:rPr>
          <w:rFonts w:asciiTheme="majorBidi" w:hAnsiTheme="majorBidi" w:cstheme="majorBidi"/>
          <w:sz w:val="24"/>
          <w:szCs w:val="24"/>
          <w:lang w:bidi="ar-DZ"/>
        </w:rPr>
      </w:pPr>
      <w:r w:rsidRPr="00427A87">
        <w:rPr>
          <w:rFonts w:asciiTheme="majorBidi" w:hAnsiTheme="majorBidi" w:cstheme="majorBidi"/>
          <w:sz w:val="24"/>
          <w:szCs w:val="24"/>
          <w:lang w:bidi="ar-DZ"/>
        </w:rPr>
        <w:t>Le fenugrec (</w:t>
      </w:r>
      <w:bookmarkStart w:id="0" w:name="_Hlk197090605"/>
      <w:r w:rsidRPr="00427A87">
        <w:rPr>
          <w:rFonts w:asciiTheme="majorBidi" w:hAnsiTheme="majorBidi" w:cstheme="majorBidi"/>
          <w:i/>
          <w:iCs/>
          <w:sz w:val="24"/>
          <w:szCs w:val="24"/>
          <w:lang w:bidi="ar-DZ"/>
        </w:rPr>
        <w:t>Trigonella foenum-graecum</w:t>
      </w:r>
      <w:r w:rsidRPr="00427A87">
        <w:rPr>
          <w:rFonts w:asciiTheme="majorBidi" w:hAnsiTheme="majorBidi" w:cstheme="majorBidi"/>
          <w:sz w:val="24"/>
          <w:szCs w:val="24"/>
          <w:lang w:bidi="ar-DZ"/>
        </w:rPr>
        <w:t xml:space="preserve"> L.</w:t>
      </w:r>
      <w:bookmarkEnd w:id="0"/>
      <w:r w:rsidRPr="00427A87">
        <w:rPr>
          <w:rFonts w:asciiTheme="majorBidi" w:hAnsiTheme="majorBidi" w:cstheme="majorBidi"/>
          <w:sz w:val="24"/>
          <w:szCs w:val="24"/>
          <w:lang w:bidi="ar-DZ"/>
        </w:rPr>
        <w:t xml:space="preserve">), appartenant à la famille des Fabacées (légumineuses), est une plante largement reconnue pour ses propriétés culinaires et médicinales. Il est cultivé et consommé dans de nombreuses régions du monde, notamment en Méditerranée, en Afrique du Nord, en Inde et en Chine </w:t>
      </w:r>
      <w:r w:rsidRPr="00427A87">
        <w:rPr>
          <w:rFonts w:asciiTheme="majorBidi" w:hAnsiTheme="majorBidi" w:cstheme="majorBidi"/>
          <w:b/>
          <w:bCs/>
          <w:sz w:val="24"/>
          <w:szCs w:val="24"/>
          <w:lang w:bidi="ar-DZ"/>
        </w:rPr>
        <w:t xml:space="preserve">(Benziane et </w:t>
      </w:r>
      <w:r w:rsidRPr="00427A87">
        <w:rPr>
          <w:rFonts w:asciiTheme="majorBidi" w:hAnsiTheme="majorBidi" w:cstheme="majorBidi"/>
          <w:b/>
          <w:bCs/>
          <w:i/>
          <w:iCs/>
          <w:sz w:val="24"/>
          <w:szCs w:val="24"/>
          <w:lang w:bidi="ar-DZ"/>
        </w:rPr>
        <w:t>al</w:t>
      </w:r>
      <w:r w:rsidRPr="00427A87">
        <w:rPr>
          <w:rFonts w:asciiTheme="majorBidi" w:hAnsiTheme="majorBidi" w:cstheme="majorBidi"/>
          <w:b/>
          <w:bCs/>
          <w:sz w:val="24"/>
          <w:szCs w:val="24"/>
          <w:lang w:bidi="ar-DZ"/>
        </w:rPr>
        <w:t>., 2019).</w:t>
      </w:r>
    </w:p>
    <w:p w14:paraId="3B11A1CE" w14:textId="77777777" w:rsidR="003E3FB4" w:rsidRDefault="00385ED0" w:rsidP="00427A87">
      <w:pPr>
        <w:spacing w:line="360" w:lineRule="auto"/>
        <w:ind w:firstLine="567"/>
        <w:jc w:val="both"/>
        <w:rPr>
          <w:rFonts w:asciiTheme="majorBidi" w:hAnsiTheme="majorBidi" w:cstheme="majorBidi"/>
          <w:b/>
          <w:bCs/>
          <w:sz w:val="24"/>
          <w:szCs w:val="24"/>
          <w:lang w:bidi="ar-DZ"/>
        </w:rPr>
      </w:pPr>
      <w:r w:rsidRPr="00427A87">
        <w:rPr>
          <w:rFonts w:asciiTheme="majorBidi" w:hAnsiTheme="majorBidi" w:cstheme="majorBidi"/>
          <w:sz w:val="24"/>
          <w:szCs w:val="24"/>
          <w:lang w:bidi="ar-DZ"/>
        </w:rPr>
        <w:t>Cette espèce figure parmi les plus anciennes plantes domestiquées par l’humanité. Originaire du sud-est de l’Europe et de l’ouest de l’Asie, le fenugrec s’est largement diffusé vers l’Inde et l’Égypte dès l’Antiquité. Il était déjà utilisé dans les échanges commerciaux à l’époque de la civilisation de Harappa (2000–1700 av. J.-C.), et des traces de son usage ont été retrouvées dans la tombe du pharaon Toutankhamon. Son introduction en médecine traditionnelle chinoise remonte à l’année 1057 apr. J.-C., tandis qu’en Europe, sa diffusion s’est accélérée au Moyen Âge, notamment sous l’influence de Charlemagne</w:t>
      </w:r>
      <w:r>
        <w:rPr>
          <w:rFonts w:asciiTheme="majorBidi" w:hAnsiTheme="majorBidi" w:cstheme="majorBidi"/>
          <w:sz w:val="24"/>
          <w:szCs w:val="24"/>
          <w:lang w:bidi="ar-DZ"/>
        </w:rPr>
        <w:t xml:space="preserve"> et des moines bénédictins </w:t>
      </w:r>
      <w:r>
        <w:rPr>
          <w:rFonts w:asciiTheme="majorBidi" w:hAnsiTheme="majorBidi" w:cstheme="majorBidi"/>
          <w:b/>
          <w:bCs/>
          <w:sz w:val="24"/>
          <w:szCs w:val="24"/>
          <w:lang w:bidi="ar-DZ"/>
        </w:rPr>
        <w:t>(Suresh et Malhotra, 2011).</w:t>
      </w:r>
    </w:p>
    <w:p w14:paraId="2E79397F" w14:textId="77777777" w:rsidR="003E3FB4" w:rsidRDefault="00385ED0">
      <w:pPr>
        <w:spacing w:line="360" w:lineRule="auto"/>
        <w:ind w:firstLine="567"/>
        <w:jc w:val="both"/>
        <w:rPr>
          <w:rFonts w:asciiTheme="majorBidi" w:hAnsiTheme="majorBidi" w:cstheme="majorBidi"/>
          <w:sz w:val="24"/>
          <w:szCs w:val="24"/>
          <w:lang w:bidi="ar-DZ"/>
        </w:rPr>
      </w:pPr>
      <w:r>
        <w:rPr>
          <w:rFonts w:asciiTheme="majorBidi" w:hAnsiTheme="majorBidi" w:cstheme="majorBidi"/>
          <w:sz w:val="24"/>
          <w:szCs w:val="24"/>
          <w:lang w:bidi="ar-DZ"/>
        </w:rPr>
        <w:t xml:space="preserve">Le fenugrec bénéficie d’un long historique d’utilisation à des fins culinaires et médicinales à travers diverses civilisations </w:t>
      </w:r>
      <w:r>
        <w:rPr>
          <w:rFonts w:asciiTheme="majorBidi" w:hAnsiTheme="majorBidi" w:cstheme="majorBidi"/>
          <w:b/>
          <w:bCs/>
          <w:sz w:val="24"/>
          <w:szCs w:val="24"/>
          <w:lang w:bidi="ar-DZ"/>
        </w:rPr>
        <w:t>(Al-Asadi, 2017)</w:t>
      </w:r>
      <w:r>
        <w:rPr>
          <w:rFonts w:asciiTheme="majorBidi" w:hAnsiTheme="majorBidi" w:cstheme="majorBidi"/>
          <w:sz w:val="24"/>
          <w:szCs w:val="24"/>
          <w:lang w:bidi="ar-DZ"/>
        </w:rPr>
        <w:t xml:space="preserve">. En Égypte ancienne, les feuilles de fenugrec entraient dans la composition du "Kuphi", un encens sacré utilisé lors des rituels de fumigation et dans les pratiques d’embaumement </w:t>
      </w:r>
      <w:r>
        <w:rPr>
          <w:rFonts w:asciiTheme="majorBidi" w:hAnsiTheme="majorBidi" w:cstheme="majorBidi"/>
          <w:b/>
          <w:bCs/>
          <w:sz w:val="24"/>
          <w:szCs w:val="24"/>
          <w:lang w:bidi="ar-DZ"/>
        </w:rPr>
        <w:t xml:space="preserve">(Chaudhary et </w:t>
      </w:r>
      <w:r>
        <w:rPr>
          <w:rFonts w:asciiTheme="majorBidi" w:hAnsiTheme="majorBidi" w:cstheme="majorBidi"/>
          <w:b/>
          <w:bCs/>
          <w:i/>
          <w:iCs/>
          <w:sz w:val="24"/>
          <w:szCs w:val="24"/>
          <w:lang w:bidi="ar-DZ"/>
        </w:rPr>
        <w:t>al</w:t>
      </w:r>
      <w:r>
        <w:rPr>
          <w:rFonts w:asciiTheme="majorBidi" w:hAnsiTheme="majorBidi" w:cstheme="majorBidi"/>
          <w:b/>
          <w:bCs/>
          <w:sz w:val="24"/>
          <w:szCs w:val="24"/>
          <w:lang w:bidi="ar-DZ"/>
        </w:rPr>
        <w:t>., 2018).</w:t>
      </w:r>
      <w:r>
        <w:rPr>
          <w:rFonts w:asciiTheme="majorBidi" w:hAnsiTheme="majorBidi" w:cstheme="majorBidi"/>
          <w:sz w:val="24"/>
          <w:szCs w:val="24"/>
          <w:lang w:bidi="ar-DZ"/>
        </w:rPr>
        <w:t xml:space="preserve"> Dans l’Antiquité gréco-romaine, il était principalement utilisé comme fourrage, ce qui explique son nom latin </w:t>
      </w:r>
      <w:r>
        <w:rPr>
          <w:rFonts w:asciiTheme="majorBidi" w:hAnsiTheme="majorBidi" w:cstheme="majorBidi"/>
          <w:i/>
          <w:iCs/>
          <w:sz w:val="24"/>
          <w:szCs w:val="24"/>
          <w:lang w:bidi="ar-DZ"/>
        </w:rPr>
        <w:t>foenum graecum</w:t>
      </w:r>
      <w:r>
        <w:rPr>
          <w:rFonts w:asciiTheme="majorBidi" w:hAnsiTheme="majorBidi" w:cstheme="majorBidi"/>
          <w:sz w:val="24"/>
          <w:szCs w:val="24"/>
          <w:lang w:bidi="ar-DZ"/>
        </w:rPr>
        <w:t xml:space="preserve">, signifiant "foin grec". À Rome, il était également employé pour faciliter l’accouchement, tandis que la médecine traditionnelle chinoise le recommandait comme tonique et traitement contre la faiblesse générale et l’œdème des membres inférieurs. En Inde, le fenugrec est utilisé à la fois comme épice et comme remède, en particulier pour stimuler la lactation chez les femmes allaitantes </w:t>
      </w:r>
      <w:r>
        <w:rPr>
          <w:rFonts w:asciiTheme="majorBidi" w:hAnsiTheme="majorBidi" w:cstheme="majorBidi"/>
          <w:b/>
          <w:bCs/>
          <w:sz w:val="24"/>
          <w:szCs w:val="24"/>
          <w:lang w:bidi="ar-DZ"/>
        </w:rPr>
        <w:t>(Al-Asadi, 2017)</w:t>
      </w:r>
      <w:r>
        <w:rPr>
          <w:rFonts w:asciiTheme="majorBidi" w:hAnsiTheme="majorBidi" w:cstheme="majorBidi"/>
          <w:sz w:val="24"/>
          <w:szCs w:val="24"/>
          <w:lang w:bidi="ar-DZ"/>
        </w:rPr>
        <w:t>.</w:t>
      </w:r>
    </w:p>
    <w:p w14:paraId="7B9F98EC" w14:textId="2C0D6EE2" w:rsidR="003E3FB4" w:rsidRDefault="00385ED0">
      <w:pPr>
        <w:spacing w:line="360" w:lineRule="auto"/>
        <w:ind w:firstLine="567"/>
        <w:jc w:val="both"/>
        <w:rPr>
          <w:rFonts w:asciiTheme="majorBidi" w:hAnsiTheme="majorBidi" w:cstheme="majorBidi"/>
          <w:sz w:val="24"/>
          <w:szCs w:val="24"/>
          <w:lang w:bidi="ar-DZ"/>
        </w:rPr>
      </w:pPr>
      <w:r>
        <w:rPr>
          <w:rFonts w:asciiTheme="majorBidi" w:hAnsiTheme="majorBidi" w:cstheme="majorBidi"/>
          <w:sz w:val="24"/>
          <w:szCs w:val="24"/>
          <w:lang w:bidi="ar-DZ"/>
        </w:rPr>
        <w:t xml:space="preserve">Par ailleurs, les graines de fenugrec, après séchage, sont utilisées depuis des siècles en Inde, en Chine, en Égypte et dans certaines régions d’Europe, en raison de leurs vertus thérapeutiques reconnues </w:t>
      </w:r>
      <w:r>
        <w:rPr>
          <w:rFonts w:asciiTheme="majorBidi" w:hAnsiTheme="majorBidi" w:cstheme="majorBidi"/>
          <w:b/>
          <w:bCs/>
          <w:sz w:val="24"/>
          <w:szCs w:val="24"/>
          <w:lang w:bidi="ar-DZ"/>
        </w:rPr>
        <w:t xml:space="preserve">(Khorshidian et </w:t>
      </w:r>
      <w:r>
        <w:rPr>
          <w:rFonts w:asciiTheme="majorBidi" w:hAnsiTheme="majorBidi" w:cstheme="majorBidi"/>
          <w:b/>
          <w:bCs/>
          <w:i/>
          <w:iCs/>
          <w:sz w:val="24"/>
          <w:szCs w:val="24"/>
          <w:lang w:bidi="ar-DZ"/>
        </w:rPr>
        <w:t>al</w:t>
      </w:r>
      <w:r>
        <w:rPr>
          <w:rFonts w:asciiTheme="majorBidi" w:hAnsiTheme="majorBidi" w:cstheme="majorBidi"/>
          <w:b/>
          <w:bCs/>
          <w:sz w:val="24"/>
          <w:szCs w:val="24"/>
          <w:lang w:bidi="ar-DZ"/>
        </w:rPr>
        <w:t>., 2016)</w:t>
      </w:r>
      <w:r>
        <w:rPr>
          <w:rFonts w:asciiTheme="majorBidi" w:hAnsiTheme="majorBidi" w:cstheme="majorBidi"/>
          <w:sz w:val="24"/>
          <w:szCs w:val="24"/>
          <w:lang w:bidi="ar-DZ"/>
        </w:rPr>
        <w:t xml:space="preserve">. Au XVIIe siècle, la poudre de graines de fenugrec était notamment prescrite pour faciliter l’expulsion du placenta après l’accouchement </w:t>
      </w:r>
    </w:p>
    <w:p w14:paraId="72456A51" w14:textId="535692F6" w:rsidR="003E3FB4" w:rsidRDefault="00385ED0">
      <w:pPr>
        <w:tabs>
          <w:tab w:val="left" w:pos="6173"/>
        </w:tabs>
        <w:spacing w:after="0" w:line="360" w:lineRule="auto"/>
        <w:jc w:val="both"/>
        <w:rPr>
          <w:rFonts w:asciiTheme="majorBidi" w:hAnsiTheme="majorBidi" w:cstheme="majorBidi"/>
          <w:b/>
          <w:bCs/>
          <w:sz w:val="26"/>
          <w:szCs w:val="26"/>
          <w:lang w:bidi="ar-DZ"/>
        </w:rPr>
      </w:pPr>
      <w:r>
        <w:rPr>
          <w:rFonts w:asciiTheme="majorBidi" w:hAnsiTheme="majorBidi" w:cstheme="majorBidi"/>
          <w:noProof/>
          <w:sz w:val="26"/>
          <w:szCs w:val="26"/>
          <w:lang w:bidi="ar-DZ"/>
        </w:rPr>
        <mc:AlternateContent>
          <mc:Choice Requires="wps">
            <w:drawing>
              <wp:anchor distT="0" distB="0" distL="114300" distR="114300" simplePos="0" relativeHeight="251659264" behindDoc="0" locked="0" layoutInCell="1" allowOverlap="1" wp14:anchorId="5A6BB29B" wp14:editId="70AFB7B3">
                <wp:simplePos x="0" y="0"/>
                <wp:positionH relativeFrom="column">
                  <wp:posOffset>-764540</wp:posOffset>
                </wp:positionH>
                <wp:positionV relativeFrom="paragraph">
                  <wp:posOffset>9855200</wp:posOffset>
                </wp:positionV>
                <wp:extent cx="7753985" cy="323850"/>
                <wp:effectExtent l="0" t="0" r="0" b="0"/>
                <wp:wrapNone/>
                <wp:docPr id="1430154741" name="Rectangle 10"/>
                <wp:cNvGraphicFramePr/>
                <a:graphic xmlns:a="http://schemas.openxmlformats.org/drawingml/2006/main">
                  <a:graphicData uri="http://schemas.microsoft.com/office/word/2010/wordprocessingShape">
                    <wps:wsp>
                      <wps:cNvSpPr/>
                      <wps:spPr>
                        <a:xfrm>
                          <a:off x="0" y="0"/>
                          <a:ext cx="7753985" cy="323850"/>
                        </a:xfrm>
                        <a:prstGeom prst="rect">
                          <a:avLst/>
                        </a:prstGeom>
                        <a:solidFill>
                          <a:schemeClr val="accent5">
                            <a:lumMod val="60000"/>
                            <a:lumOff val="40000"/>
                          </a:schemeClr>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06CD2294" w14:textId="77777777" w:rsidR="003E3FB4" w:rsidRDefault="00385ED0">
                            <w:pPr>
                              <w:jc w:val="center"/>
                            </w:pPr>
                            <w:r>
                              <w:rPr>
                                <w:b/>
                                <w:bCs/>
                                <w:kern w:val="0"/>
                                <w:sz w:val="28"/>
                                <w:szCs w:val="28"/>
                                <w:lang w:val="en-US"/>
                                <w14:ligatures w14:val="none"/>
                              </w:rPr>
                              <w:t xml:space="preserve">Chapiter 1:   </w:t>
                            </w:r>
                            <w:r>
                              <w:rPr>
                                <w:kern w:val="0"/>
                                <w:sz w:val="28"/>
                                <w:szCs w:val="28"/>
                                <w:lang w:val="en-US"/>
                                <w14:ligatures w14:val="none"/>
                              </w:rPr>
                              <w:t xml:space="preserve">                                                                                                           </w:t>
                            </w:r>
                            <w:r>
                              <w:rPr>
                                <w:rFonts w:asciiTheme="majorBidi" w:hAnsiTheme="majorBidi" w:cstheme="majorBidi"/>
                                <w:b/>
                                <w:bCs/>
                                <w:kern w:val="0"/>
                                <w:sz w:val="28"/>
                                <w:szCs w:val="28"/>
                                <w:lang w:bidi="ar-DZ"/>
                                <w14:ligatures w14:val="none"/>
                              </w:rPr>
                              <w:t>Synthèse bibliographique</w:t>
                            </w:r>
                          </w:p>
                          <w:p w14:paraId="06B44942" w14:textId="77777777" w:rsidR="003E3FB4" w:rsidRDefault="003E3FB4">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w14:anchorId="5A6BB29B" id="_x0000_s1028" style="position:absolute;left:0;text-align:left;margin-left:-60.2pt;margin-top:776pt;width:610.55pt;height:25.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y07hAIAAHUFAAAOAAAAZHJzL2Uyb0RvYy54bWysVEtv2zAMvg/YfxB0Xx3n0UdQpwhadBjQ&#10;rUW7YWdFlmIBkqhJSpzs14+SHSdbix2G5eBIfHwkP5G8vtkZTbbCBwW2ouXZiBJhOdTKriv67ev9&#10;h0tKQmS2ZhqsqOheBHqzeP/uunVzMYYGdC08QRAb5q2raBOjmxdF4I0wLJyBExaVErxhEa9+XdSe&#10;tYhudDEejc6LFnztPHARAkrvOiVdZHwpBY+PUgYRia4o5hbz1+fvKn2LxTWbrz1zjeJ9GuwfsjBM&#10;WQw6QN2xyMjGq1dQRnEPAWQ842AKkFJxkWvAasrRH9W8NMyJXAuSE9xAU/h/sPzL9sU9eaShdWEe&#10;8Jiq2Elv0j/mR3aZrP1AlthFwlF4cTGbXF3OKOGom4wnl7PMZnH0dj7EjwIMSYeKenyMzBHbPoSI&#10;EdH0YJKCBdCqvlda50tqAHGrPdkyfDrGubBxlt31xnyGupOfj/DXPSKK8ak78fQgxhC5lRJSDvhb&#10;EG1TKAspaJdPkhRHJvIp7rVIdto+C0lUjbWPcyID8mmOZadqWC06cTnrU3yVSwZMyBLjD9g9wFv1&#10;l6lShOntk6vIPT44j/6WWOc8eOTIYOPgbJQF/xaAjkPkzv5AUkdNYinuVjvkJlGDYZJkBfX+yRMP&#10;3cwFx+8V9sEDC/GJeRwyHEdcHPERP1JDW1HoT5Q04H++JU/22PuopaTFoa1o+LFhXlCiP1mciqty&#10;Ok1Tni/T2cUYL/5UszrV2I25BWyuEleU4/mY7KM+HKUH8x33yzJFRRWzHGNXlEd/uNzGbpnghuJi&#10;ucxmONmOxQf74ngCTzxbWG4iSJXb/shOzyPOdn7Xfg+l5XF6z1bHbbn4BQAA//8DAFBLAwQUAAYA&#10;CAAAACEA56Dm6OMAAAAPAQAADwAAAGRycy9kb3ducmV2LnhtbEyPzU7DMBCE75V4B2uRuLV2Av1R&#10;iFMBEtyoROih3NzYJIF4HWw3Td6e7QluO5pPszP5drQdG4wPrUMJyUIAM1g53WItYf/+PN8AC1Gh&#10;Vp1DI2EyAbbF1SxXmXZnfDNDGWtGIRgyJaGJsc84D1VjrAoL1xsk79N5qyJJX3Pt1ZnCbcdTIVbc&#10;qhbpQ6N689SY6rs8WQmvuy+7rx7Lj80wDdOPXx8OL72T8uZ6fLgHFs0Y/2C41KfqUFCnozuhDqyT&#10;ME9ScUcsOctlSrMuTCLEGtiRrpW4FcCLnP/fUfwCAAD//wMAUEsBAi0AFAAGAAgAAAAhALaDOJL+&#10;AAAA4QEAABMAAAAAAAAAAAAAAAAAAAAAAFtDb250ZW50X1R5cGVzXS54bWxQSwECLQAUAAYACAAA&#10;ACEAOP0h/9YAAACUAQAACwAAAAAAAAAAAAAAAAAvAQAAX3JlbHMvLnJlbHNQSwECLQAUAAYACAAA&#10;ACEA1DMtO4QCAAB1BQAADgAAAAAAAAAAAAAAAAAuAgAAZHJzL2Uyb0RvYy54bWxQSwECLQAUAAYA&#10;CAAAACEA56Dm6OMAAAAPAQAADwAAAAAAAAAAAAAAAADeBAAAZHJzL2Rvd25yZXYueG1sUEsFBgAA&#10;AAAEAAQA8wAAAO4FAAAAAA==&#10;" fillcolor="#9cc2e5 [1944]" stroked="f" strokeweight="1pt">
                <v:textbox>
                  <w:txbxContent>
                    <w:p w14:paraId="06CD2294" w14:textId="77777777" w:rsidR="003E3FB4" w:rsidRDefault="00385ED0">
                      <w:pPr>
                        <w:jc w:val="center"/>
                      </w:pPr>
                      <w:r>
                        <w:rPr>
                          <w:b/>
                          <w:bCs/>
                          <w:kern w:val="0"/>
                          <w:sz w:val="28"/>
                          <w:szCs w:val="28"/>
                          <w:lang w:val="en-US"/>
                          <w14:ligatures w14:val="none"/>
                        </w:rPr>
                        <w:t xml:space="preserve">Chapiter 1:   </w:t>
                      </w:r>
                      <w:r>
                        <w:rPr>
                          <w:kern w:val="0"/>
                          <w:sz w:val="28"/>
                          <w:szCs w:val="28"/>
                          <w:lang w:val="en-US"/>
                          <w14:ligatures w14:val="none"/>
                        </w:rPr>
                        <w:t xml:space="preserve">                                                                                                           </w:t>
                      </w:r>
                      <w:r>
                        <w:rPr>
                          <w:rFonts w:asciiTheme="majorBidi" w:hAnsiTheme="majorBidi" w:cstheme="majorBidi"/>
                          <w:b/>
                          <w:bCs/>
                          <w:kern w:val="0"/>
                          <w:sz w:val="28"/>
                          <w:szCs w:val="28"/>
                          <w:lang w:bidi="ar-DZ"/>
                          <w14:ligatures w14:val="none"/>
                        </w:rPr>
                        <w:t>Synthèse bibliographique</w:t>
                      </w:r>
                    </w:p>
                    <w:p w14:paraId="06B44942" w14:textId="77777777" w:rsidR="003E3FB4" w:rsidRDefault="003E3FB4">
                      <w:pPr>
                        <w:jc w:val="center"/>
                      </w:pPr>
                    </w:p>
                  </w:txbxContent>
                </v:textbox>
              </v:rect>
            </w:pict>
          </mc:Fallback>
        </mc:AlternateContent>
      </w:r>
      <w:r>
        <w:rPr>
          <w:rFonts w:asciiTheme="majorBidi" w:hAnsiTheme="majorBidi" w:cstheme="majorBidi"/>
          <w:b/>
          <w:bCs/>
          <w:sz w:val="26"/>
          <w:szCs w:val="26"/>
          <w:lang w:bidi="ar-DZ"/>
        </w:rPr>
        <w:t>I-2 -</w:t>
      </w:r>
      <w:r>
        <w:rPr>
          <w:rFonts w:asciiTheme="majorBidi" w:hAnsiTheme="majorBidi" w:cstheme="majorBidi"/>
          <w:sz w:val="26"/>
          <w:szCs w:val="26"/>
          <w:lang w:bidi="ar-DZ"/>
        </w:rPr>
        <w:t xml:space="preserve"> </w:t>
      </w:r>
      <w:r>
        <w:rPr>
          <w:rFonts w:asciiTheme="majorBidi" w:hAnsiTheme="majorBidi" w:cstheme="majorBidi"/>
          <w:b/>
          <w:bCs/>
          <w:sz w:val="26"/>
          <w:szCs w:val="26"/>
          <w:lang w:bidi="ar-DZ"/>
        </w:rPr>
        <w:t>Description botanique</w:t>
      </w:r>
    </w:p>
    <w:p w14:paraId="6C0CA3C1" w14:textId="77777777" w:rsidR="003E3FB4" w:rsidRDefault="00385ED0">
      <w:pPr>
        <w:tabs>
          <w:tab w:val="left" w:pos="6173"/>
        </w:tabs>
        <w:spacing w:after="0" w:line="360" w:lineRule="auto"/>
        <w:ind w:firstLine="567"/>
        <w:jc w:val="both"/>
        <w:rPr>
          <w:rFonts w:asciiTheme="majorBidi" w:hAnsiTheme="majorBidi" w:cstheme="majorBidi"/>
          <w:sz w:val="24"/>
          <w:szCs w:val="24"/>
          <w:lang w:bidi="ar-DZ"/>
        </w:rPr>
      </w:pPr>
      <w:r>
        <w:rPr>
          <w:rFonts w:asciiTheme="majorBidi" w:hAnsiTheme="majorBidi" w:cstheme="majorBidi"/>
          <w:sz w:val="24"/>
          <w:szCs w:val="24"/>
          <w:lang w:bidi="ar-DZ"/>
        </w:rPr>
        <w:t xml:space="preserve">Le fenugrec, également connu sous les noms de trigonelle ou de sénégrain, est une plante herbacée annuelle appartenant à la famille des Fabacées </w:t>
      </w:r>
      <w:r>
        <w:rPr>
          <w:rFonts w:asciiTheme="majorBidi" w:hAnsiTheme="majorBidi" w:cstheme="majorBidi"/>
          <w:b/>
          <w:bCs/>
          <w:sz w:val="24"/>
          <w:szCs w:val="24"/>
          <w:lang w:bidi="ar-DZ"/>
        </w:rPr>
        <w:t xml:space="preserve">(Rahmani et </w:t>
      </w:r>
      <w:r>
        <w:rPr>
          <w:rFonts w:asciiTheme="majorBidi" w:hAnsiTheme="majorBidi" w:cstheme="majorBidi"/>
          <w:b/>
          <w:bCs/>
          <w:i/>
          <w:iCs/>
          <w:sz w:val="24"/>
          <w:szCs w:val="24"/>
          <w:lang w:bidi="ar-DZ"/>
        </w:rPr>
        <w:t>al</w:t>
      </w:r>
      <w:r>
        <w:rPr>
          <w:rFonts w:asciiTheme="majorBidi" w:hAnsiTheme="majorBidi" w:cstheme="majorBidi"/>
          <w:b/>
          <w:bCs/>
          <w:sz w:val="24"/>
          <w:szCs w:val="24"/>
          <w:lang w:bidi="ar-DZ"/>
        </w:rPr>
        <w:t>., 2015)</w:t>
      </w:r>
      <w:r>
        <w:rPr>
          <w:rFonts w:asciiTheme="majorBidi" w:hAnsiTheme="majorBidi" w:cstheme="majorBidi"/>
          <w:sz w:val="24"/>
          <w:szCs w:val="24"/>
          <w:lang w:bidi="ar-DZ"/>
        </w:rPr>
        <w:t xml:space="preserve">. Selon les </w:t>
      </w:r>
      <w:r>
        <w:rPr>
          <w:rFonts w:asciiTheme="majorBidi" w:hAnsiTheme="majorBidi" w:cstheme="majorBidi"/>
          <w:sz w:val="24"/>
          <w:szCs w:val="24"/>
          <w:lang w:bidi="ar-DZ"/>
        </w:rPr>
        <w:lastRenderedPageBreak/>
        <w:t xml:space="preserve">variétés, elle peut être velue ou glabre et atteint généralement une hauteur maximale de 50 cm </w:t>
      </w:r>
      <w:r>
        <w:rPr>
          <w:rFonts w:asciiTheme="majorBidi" w:hAnsiTheme="majorBidi" w:cstheme="majorBidi"/>
          <w:b/>
          <w:bCs/>
          <w:sz w:val="24"/>
          <w:szCs w:val="24"/>
          <w:lang w:bidi="ar-DZ"/>
        </w:rPr>
        <w:t>(</w:t>
      </w:r>
      <w:r>
        <w:rPr>
          <w:rFonts w:asciiTheme="majorBidi" w:hAnsiTheme="majorBidi" w:cstheme="majorBidi"/>
          <w:b/>
          <w:bCs/>
          <w:sz w:val="24"/>
          <w:szCs w:val="24"/>
          <w:shd w:val="clear" w:color="auto" w:fill="FFFFFF"/>
        </w:rPr>
        <w:t>Heuzé</w:t>
      </w:r>
      <w:r>
        <w:rPr>
          <w:rFonts w:asciiTheme="majorBidi" w:hAnsiTheme="majorBidi" w:cstheme="majorBidi"/>
          <w:b/>
          <w:bCs/>
          <w:sz w:val="24"/>
          <w:szCs w:val="24"/>
          <w:lang w:bidi="ar-DZ"/>
        </w:rPr>
        <w:t>, 2015)</w:t>
      </w:r>
      <w:r>
        <w:rPr>
          <w:rFonts w:asciiTheme="majorBidi" w:hAnsiTheme="majorBidi" w:cstheme="majorBidi"/>
          <w:sz w:val="24"/>
          <w:szCs w:val="24"/>
          <w:lang w:bidi="ar-DZ"/>
        </w:rPr>
        <w:t xml:space="preserve">. Cette espèce est largement reconnue à l’échelle mondiale pour ses propriétés médicinales et nutritionnelles </w:t>
      </w:r>
      <w:r>
        <w:rPr>
          <w:rFonts w:asciiTheme="majorBidi" w:hAnsiTheme="majorBidi" w:cstheme="majorBidi"/>
          <w:b/>
          <w:bCs/>
          <w:sz w:val="24"/>
          <w:szCs w:val="24"/>
          <w:lang w:bidi="ar-DZ"/>
        </w:rPr>
        <w:t xml:space="preserve">(Rahmani et </w:t>
      </w:r>
      <w:r>
        <w:rPr>
          <w:rFonts w:asciiTheme="majorBidi" w:hAnsiTheme="majorBidi" w:cstheme="majorBidi"/>
          <w:b/>
          <w:bCs/>
          <w:i/>
          <w:iCs/>
          <w:sz w:val="24"/>
          <w:szCs w:val="24"/>
          <w:lang w:bidi="ar-DZ"/>
        </w:rPr>
        <w:t>al</w:t>
      </w:r>
      <w:r>
        <w:rPr>
          <w:rFonts w:asciiTheme="majorBidi" w:hAnsiTheme="majorBidi" w:cstheme="majorBidi"/>
          <w:b/>
          <w:bCs/>
          <w:sz w:val="24"/>
          <w:szCs w:val="24"/>
          <w:lang w:bidi="ar-DZ"/>
        </w:rPr>
        <w:t>., 2015)</w:t>
      </w:r>
      <w:r>
        <w:rPr>
          <w:rFonts w:asciiTheme="majorBidi" w:hAnsiTheme="majorBidi" w:cstheme="majorBidi"/>
          <w:sz w:val="24"/>
          <w:szCs w:val="24"/>
          <w:lang w:bidi="ar-DZ"/>
        </w:rPr>
        <w:t>.</w:t>
      </w:r>
    </w:p>
    <w:p w14:paraId="3BF3068B" w14:textId="77777777" w:rsidR="003E3FB4" w:rsidRDefault="00385ED0">
      <w:pPr>
        <w:tabs>
          <w:tab w:val="left" w:pos="6173"/>
        </w:tabs>
        <w:spacing w:after="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La tige du fenugrec est rameuse, cylindrique, légèrement pubescente et souvent teintée de rose </w:t>
      </w:r>
      <w:r>
        <w:rPr>
          <w:rFonts w:asciiTheme="majorBidi" w:hAnsiTheme="majorBidi" w:cstheme="majorBidi"/>
          <w:b/>
          <w:bCs/>
          <w:sz w:val="24"/>
          <w:szCs w:val="24"/>
          <w:lang w:bidi="ar-DZ"/>
        </w:rPr>
        <w:t>(Figure I.1.A) (</w:t>
      </w:r>
      <w:r>
        <w:rPr>
          <w:rFonts w:asciiTheme="majorBidi" w:hAnsiTheme="majorBidi" w:cstheme="majorBidi"/>
          <w:b/>
          <w:bCs/>
          <w:sz w:val="24"/>
          <w:szCs w:val="24"/>
          <w:shd w:val="clear" w:color="auto" w:fill="FFFFFF"/>
        </w:rPr>
        <w:t>Heuzé</w:t>
      </w:r>
      <w:r>
        <w:rPr>
          <w:rFonts w:asciiTheme="majorBidi" w:hAnsiTheme="majorBidi" w:cstheme="majorBidi"/>
          <w:b/>
          <w:bCs/>
          <w:sz w:val="24"/>
          <w:szCs w:val="24"/>
          <w:lang w:bidi="ar-DZ"/>
        </w:rPr>
        <w:t xml:space="preserve">, 2015). </w:t>
      </w:r>
      <w:r>
        <w:rPr>
          <w:rFonts w:asciiTheme="majorBidi" w:hAnsiTheme="majorBidi" w:cstheme="majorBidi"/>
          <w:sz w:val="24"/>
          <w:szCs w:val="24"/>
          <w:lang w:bidi="ar-DZ"/>
        </w:rPr>
        <w:t>D’après</w:t>
      </w:r>
      <w:r>
        <w:rPr>
          <w:rFonts w:asciiTheme="majorBidi" w:hAnsiTheme="majorBidi" w:cstheme="majorBidi"/>
          <w:b/>
          <w:bCs/>
          <w:sz w:val="24"/>
          <w:szCs w:val="24"/>
          <w:lang w:bidi="ar-DZ"/>
        </w:rPr>
        <w:t xml:space="preserve"> Kor et</w:t>
      </w:r>
      <w:r>
        <w:rPr>
          <w:rFonts w:asciiTheme="majorBidi" w:hAnsiTheme="majorBidi" w:cstheme="majorBidi"/>
          <w:b/>
          <w:bCs/>
          <w:i/>
          <w:iCs/>
          <w:sz w:val="24"/>
          <w:szCs w:val="24"/>
          <w:lang w:bidi="ar-DZ"/>
        </w:rPr>
        <w:t xml:space="preserve"> al</w:t>
      </w:r>
      <w:r>
        <w:rPr>
          <w:rFonts w:asciiTheme="majorBidi" w:hAnsiTheme="majorBidi" w:cstheme="majorBidi"/>
          <w:b/>
          <w:bCs/>
          <w:sz w:val="24"/>
          <w:szCs w:val="24"/>
          <w:lang w:bidi="ar-DZ"/>
        </w:rPr>
        <w:t>., (2013)</w:t>
      </w:r>
      <w:r>
        <w:rPr>
          <w:rFonts w:asciiTheme="majorBidi" w:hAnsiTheme="majorBidi" w:cstheme="majorBidi"/>
          <w:sz w:val="24"/>
          <w:szCs w:val="24"/>
          <w:lang w:bidi="ar-DZ"/>
        </w:rPr>
        <w:t xml:space="preserve">, la racine est composée d’un système pivotant initialement simple, qui se développe ensuite en un réseau de racines secondaires. Ces dernières forment des nodosités racinaires établissant une symbiose avec les bactéries du genre *Rhizobium*, permettant la fixation de l’azote atmosphérique </w:t>
      </w:r>
      <w:r>
        <w:rPr>
          <w:rFonts w:asciiTheme="majorBidi" w:hAnsiTheme="majorBidi" w:cstheme="majorBidi"/>
          <w:b/>
          <w:bCs/>
          <w:sz w:val="24"/>
          <w:szCs w:val="24"/>
          <w:lang w:bidi="ar-DZ"/>
        </w:rPr>
        <w:t>(</w:t>
      </w:r>
      <w:r>
        <w:rPr>
          <w:rFonts w:asciiTheme="majorBidi" w:hAnsiTheme="majorBidi" w:cstheme="majorBidi"/>
          <w:b/>
          <w:bCs/>
          <w:sz w:val="24"/>
          <w:szCs w:val="24"/>
          <w:shd w:val="clear" w:color="auto" w:fill="FFFFFF"/>
        </w:rPr>
        <w:t>Melki</w:t>
      </w:r>
      <w:r>
        <w:rPr>
          <w:rFonts w:asciiTheme="majorBidi" w:hAnsiTheme="majorBidi" w:cstheme="majorBidi"/>
          <w:b/>
          <w:bCs/>
          <w:sz w:val="24"/>
          <w:szCs w:val="24"/>
          <w:lang w:bidi="ar-DZ"/>
        </w:rPr>
        <w:t xml:space="preserve"> et </w:t>
      </w:r>
      <w:r>
        <w:rPr>
          <w:rFonts w:asciiTheme="majorBidi" w:hAnsiTheme="majorBidi" w:cstheme="majorBidi"/>
          <w:b/>
          <w:bCs/>
          <w:i/>
          <w:iCs/>
          <w:sz w:val="24"/>
          <w:szCs w:val="24"/>
          <w:lang w:bidi="ar-DZ"/>
        </w:rPr>
        <w:t>al</w:t>
      </w:r>
      <w:r>
        <w:rPr>
          <w:rFonts w:asciiTheme="majorBidi" w:hAnsiTheme="majorBidi" w:cstheme="majorBidi"/>
          <w:b/>
          <w:bCs/>
          <w:sz w:val="24"/>
          <w:szCs w:val="24"/>
          <w:lang w:bidi="ar-DZ"/>
        </w:rPr>
        <w:t>., 2021)</w:t>
      </w:r>
      <w:r>
        <w:rPr>
          <w:rFonts w:asciiTheme="majorBidi" w:hAnsiTheme="majorBidi" w:cstheme="majorBidi"/>
          <w:sz w:val="24"/>
          <w:szCs w:val="24"/>
          <w:lang w:bidi="ar-DZ"/>
        </w:rPr>
        <w:t>.</w:t>
      </w:r>
    </w:p>
    <w:p w14:paraId="754EDDD5" w14:textId="77777777" w:rsidR="003E3FB4" w:rsidRDefault="00385ED0">
      <w:pPr>
        <w:tabs>
          <w:tab w:val="left" w:pos="6173"/>
        </w:tabs>
        <w:spacing w:after="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           Les feuilles sont alternes, portées par un long pétiole muni de deux stipules, et composées de trois folioles ovales et finement denticulées. L’inflorescence est axillaire, généralement composée de deux fleurs, plus rarement solitaires (</w:t>
      </w:r>
      <w:r>
        <w:rPr>
          <w:rFonts w:asciiTheme="majorBidi" w:hAnsiTheme="majorBidi" w:cstheme="majorBidi"/>
          <w:b/>
          <w:bCs/>
          <w:sz w:val="24"/>
          <w:szCs w:val="24"/>
          <w:lang w:bidi="ar-DZ"/>
        </w:rPr>
        <w:t>petit, 2014)</w:t>
      </w:r>
      <w:r>
        <w:rPr>
          <w:rFonts w:asciiTheme="majorBidi" w:hAnsiTheme="majorBidi" w:cstheme="majorBidi"/>
          <w:sz w:val="24"/>
          <w:szCs w:val="24"/>
          <w:lang w:bidi="ar-DZ"/>
        </w:rPr>
        <w:t xml:space="preserve">. La fleur du fenugrec, sessile et de type papilionacé, est relativement grande, de couleur variant du jaune pâle au violet clair. Elle se compose d’un calice à cinq tépales non divisés, d’une corolle à cinq pétales libres de forme triangulaire (à l’origine du nom trigonelle), de dix étamines et d’un ovaire pluriovulé </w:t>
      </w:r>
      <w:r>
        <w:rPr>
          <w:rFonts w:asciiTheme="majorBidi" w:hAnsiTheme="majorBidi" w:cstheme="majorBidi"/>
          <w:b/>
          <w:bCs/>
          <w:sz w:val="24"/>
          <w:szCs w:val="24"/>
          <w:lang w:bidi="ar-DZ"/>
        </w:rPr>
        <w:t>(Figure I.1.B)</w:t>
      </w:r>
      <w:r>
        <w:rPr>
          <w:rFonts w:asciiTheme="majorBidi" w:hAnsiTheme="majorBidi" w:cstheme="majorBidi"/>
          <w:sz w:val="24"/>
          <w:szCs w:val="24"/>
          <w:lang w:bidi="ar-DZ"/>
        </w:rPr>
        <w:t>.</w:t>
      </w:r>
    </w:p>
    <w:p w14:paraId="6DA11E53" w14:textId="77777777" w:rsidR="003E3FB4" w:rsidRDefault="00385ED0">
      <w:pPr>
        <w:tabs>
          <w:tab w:val="left" w:pos="6173"/>
        </w:tabs>
        <w:spacing w:after="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          Le fruit est une gousse linéaire, glabre, présentant de fines nervures longitudinales et se terminant par un bec. Il contient entre 10 et 20 graines </w:t>
      </w:r>
      <w:r>
        <w:rPr>
          <w:rFonts w:asciiTheme="majorBidi" w:hAnsiTheme="majorBidi" w:cstheme="majorBidi"/>
          <w:b/>
          <w:bCs/>
          <w:sz w:val="24"/>
          <w:szCs w:val="24"/>
          <w:lang w:bidi="ar-DZ"/>
        </w:rPr>
        <w:t xml:space="preserve">(Nabila et </w:t>
      </w:r>
      <w:r>
        <w:rPr>
          <w:rFonts w:asciiTheme="majorBidi" w:hAnsiTheme="majorBidi" w:cstheme="majorBidi"/>
          <w:b/>
          <w:bCs/>
          <w:i/>
          <w:iCs/>
          <w:sz w:val="24"/>
          <w:szCs w:val="24"/>
          <w:lang w:bidi="ar-DZ"/>
        </w:rPr>
        <w:t>al</w:t>
      </w:r>
      <w:r>
        <w:rPr>
          <w:rFonts w:asciiTheme="majorBidi" w:hAnsiTheme="majorBidi" w:cstheme="majorBidi"/>
          <w:b/>
          <w:bCs/>
          <w:sz w:val="24"/>
          <w:szCs w:val="24"/>
          <w:lang w:bidi="ar-DZ"/>
        </w:rPr>
        <w:t>., 2021)</w:t>
      </w:r>
      <w:r>
        <w:rPr>
          <w:rFonts w:asciiTheme="majorBidi" w:hAnsiTheme="majorBidi" w:cstheme="majorBidi"/>
          <w:sz w:val="24"/>
          <w:szCs w:val="24"/>
          <w:lang w:bidi="ar-DZ"/>
        </w:rPr>
        <w:t xml:space="preserve">. Ces graines, très dures, sont de forme rhomboïdale, de couleur jaune brunâtre, et présentent un sillon distinctif qui les divise en deux parties inégales </w:t>
      </w:r>
      <w:r>
        <w:rPr>
          <w:rFonts w:asciiTheme="majorBidi" w:hAnsiTheme="majorBidi" w:cstheme="majorBidi"/>
          <w:b/>
          <w:bCs/>
          <w:sz w:val="24"/>
          <w:szCs w:val="24"/>
          <w:lang w:bidi="ar-DZ"/>
        </w:rPr>
        <w:t xml:space="preserve">(Figure I.1.C) (Nabila et </w:t>
      </w:r>
      <w:r>
        <w:rPr>
          <w:rFonts w:asciiTheme="majorBidi" w:hAnsiTheme="majorBidi" w:cstheme="majorBidi"/>
          <w:b/>
          <w:bCs/>
          <w:i/>
          <w:iCs/>
          <w:sz w:val="24"/>
          <w:szCs w:val="24"/>
          <w:lang w:bidi="ar-DZ"/>
        </w:rPr>
        <w:t>al</w:t>
      </w:r>
      <w:r>
        <w:rPr>
          <w:rFonts w:asciiTheme="majorBidi" w:hAnsiTheme="majorBidi" w:cstheme="majorBidi"/>
          <w:b/>
          <w:bCs/>
          <w:sz w:val="24"/>
          <w:szCs w:val="24"/>
          <w:lang w:bidi="ar-DZ"/>
        </w:rPr>
        <w:t>., 2021)</w:t>
      </w:r>
      <w:r>
        <w:rPr>
          <w:rFonts w:asciiTheme="majorBidi" w:hAnsiTheme="majorBidi" w:cstheme="majorBidi"/>
          <w:sz w:val="24"/>
          <w:szCs w:val="24"/>
          <w:lang w:bidi="ar-DZ"/>
        </w:rPr>
        <w:t>.</w:t>
      </w:r>
    </w:p>
    <w:p w14:paraId="5915505C" w14:textId="77777777" w:rsidR="003E3FB4" w:rsidRDefault="003E3FB4">
      <w:pPr>
        <w:tabs>
          <w:tab w:val="left" w:pos="6173"/>
        </w:tabs>
        <w:spacing w:after="0" w:line="360" w:lineRule="auto"/>
        <w:jc w:val="both"/>
        <w:rPr>
          <w:rFonts w:asciiTheme="majorBidi" w:hAnsiTheme="majorBidi" w:cstheme="majorBidi"/>
          <w:sz w:val="24"/>
          <w:szCs w:val="24"/>
          <w:lang w:bidi="ar-DZ"/>
        </w:rPr>
      </w:pPr>
    </w:p>
    <w:p w14:paraId="21B8BD27" w14:textId="77777777" w:rsidR="003E3FB4" w:rsidRDefault="00385ED0">
      <w:pPr>
        <w:tabs>
          <w:tab w:val="left" w:pos="6173"/>
        </w:tabs>
        <w:spacing w:line="360" w:lineRule="auto"/>
        <w:rPr>
          <w:rFonts w:asciiTheme="majorBidi" w:hAnsiTheme="majorBidi" w:cstheme="majorBidi"/>
          <w:sz w:val="24"/>
          <w:szCs w:val="24"/>
          <w:lang w:bidi="ar-DZ"/>
        </w:rPr>
      </w:pPr>
      <w:r>
        <w:rPr>
          <w:noProof/>
        </w:rPr>
        <w:drawing>
          <wp:inline distT="0" distB="0" distL="0" distR="0" wp14:anchorId="2027549A" wp14:editId="1FE5541D">
            <wp:extent cx="5760720" cy="1725295"/>
            <wp:effectExtent l="19050" t="19050" r="11430" b="27305"/>
            <wp:docPr id="82872450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8724502" name="Image 1"/>
                    <pic:cNvPicPr>
                      <a:picLocks noChangeAspect="1"/>
                    </pic:cNvPicPr>
                  </pic:nvPicPr>
                  <pic:blipFill>
                    <a:blip r:embed="rId17"/>
                    <a:stretch>
                      <a:fillRect/>
                    </a:stretch>
                  </pic:blipFill>
                  <pic:spPr>
                    <a:xfrm>
                      <a:off x="0" y="0"/>
                      <a:ext cx="5760720" cy="1725295"/>
                    </a:xfrm>
                    <a:prstGeom prst="rect">
                      <a:avLst/>
                    </a:prstGeom>
                    <a:ln w="9525">
                      <a:solidFill>
                        <a:schemeClr val="tx1"/>
                      </a:solidFill>
                    </a:ln>
                  </pic:spPr>
                </pic:pic>
              </a:graphicData>
            </a:graphic>
          </wp:inline>
        </w:drawing>
      </w:r>
    </w:p>
    <w:p w14:paraId="473D51F1" w14:textId="77777777" w:rsidR="003E3FB4" w:rsidRDefault="00385ED0">
      <w:pPr>
        <w:tabs>
          <w:tab w:val="left" w:pos="6173"/>
        </w:tabs>
        <w:spacing w:after="0" w:line="360" w:lineRule="auto"/>
        <w:jc w:val="center"/>
        <w:rPr>
          <w:rFonts w:asciiTheme="majorBidi" w:hAnsiTheme="majorBidi" w:cstheme="majorBidi"/>
          <w:sz w:val="24"/>
          <w:szCs w:val="24"/>
          <w:lang w:bidi="ar-DZ"/>
        </w:rPr>
      </w:pPr>
      <w:r>
        <w:rPr>
          <w:rFonts w:asciiTheme="majorBidi" w:hAnsiTheme="majorBidi" w:cstheme="majorBidi"/>
          <w:b/>
          <w:bCs/>
          <w:sz w:val="24"/>
          <w:szCs w:val="24"/>
          <w:lang w:bidi="ar-DZ"/>
        </w:rPr>
        <w:t xml:space="preserve">Figure I.1. </w:t>
      </w:r>
      <w:r>
        <w:rPr>
          <w:rFonts w:asciiTheme="majorBidi" w:hAnsiTheme="majorBidi" w:cstheme="majorBidi"/>
          <w:sz w:val="24"/>
          <w:szCs w:val="24"/>
          <w:lang w:bidi="ar-DZ"/>
        </w:rPr>
        <w:t>Fenugrec</w:t>
      </w:r>
    </w:p>
    <w:p w14:paraId="167D5D0D" w14:textId="77777777" w:rsidR="003E3FB4" w:rsidRDefault="00385ED0">
      <w:pPr>
        <w:pStyle w:val="Paragraphedeliste"/>
        <w:numPr>
          <w:ilvl w:val="0"/>
          <w:numId w:val="2"/>
        </w:numPr>
        <w:tabs>
          <w:tab w:val="left" w:pos="6173"/>
        </w:tabs>
        <w:spacing w:after="0" w:line="240" w:lineRule="auto"/>
        <w:jc w:val="center"/>
        <w:rPr>
          <w:rFonts w:asciiTheme="majorBidi" w:hAnsiTheme="majorBidi" w:cstheme="majorBidi"/>
          <w:lang w:bidi="ar-DZ"/>
        </w:rPr>
      </w:pPr>
      <w:r>
        <w:rPr>
          <w:rFonts w:asciiTheme="majorBidi" w:hAnsiTheme="majorBidi" w:cstheme="majorBidi"/>
          <w:lang w:bidi="ar-DZ"/>
        </w:rPr>
        <w:t xml:space="preserve">Feuilles </w:t>
      </w:r>
      <w:bookmarkStart w:id="1" w:name="_Hlk196851739"/>
      <w:r>
        <w:rPr>
          <w:rFonts w:asciiTheme="majorBidi" w:hAnsiTheme="majorBidi" w:cstheme="majorBidi"/>
          <w:lang w:bidi="ar-DZ"/>
        </w:rPr>
        <w:t xml:space="preserve">de </w:t>
      </w:r>
      <w:r>
        <w:rPr>
          <w:rFonts w:asciiTheme="majorBidi" w:hAnsiTheme="majorBidi" w:cstheme="majorBidi"/>
          <w:i/>
          <w:iCs/>
          <w:lang w:bidi="ar-DZ"/>
        </w:rPr>
        <w:t>Trigonella foenum-graecum</w:t>
      </w:r>
      <w:r>
        <w:rPr>
          <w:rFonts w:asciiTheme="majorBidi" w:hAnsiTheme="majorBidi" w:cstheme="majorBidi"/>
          <w:lang w:bidi="ar-DZ"/>
        </w:rPr>
        <w:t xml:space="preserve">   </w:t>
      </w:r>
      <w:bookmarkEnd w:id="1"/>
      <w:r>
        <w:rPr>
          <w:rFonts w:asciiTheme="majorBidi" w:hAnsiTheme="majorBidi" w:cstheme="majorBidi"/>
          <w:lang w:bidi="ar-DZ"/>
        </w:rPr>
        <w:t>B. Les fleurs de</w:t>
      </w:r>
      <w:r>
        <w:t xml:space="preserve"> </w:t>
      </w:r>
      <w:r>
        <w:rPr>
          <w:rFonts w:asciiTheme="majorBidi" w:hAnsiTheme="majorBidi" w:cstheme="majorBidi"/>
          <w:i/>
          <w:iCs/>
          <w:lang w:bidi="ar-DZ"/>
        </w:rPr>
        <w:t>Trigonella foenum-graecum</w:t>
      </w:r>
    </w:p>
    <w:p w14:paraId="62676EAC" w14:textId="77777777" w:rsidR="003E3FB4" w:rsidRDefault="00385ED0">
      <w:pPr>
        <w:pStyle w:val="Paragraphedeliste"/>
        <w:tabs>
          <w:tab w:val="left" w:pos="6173"/>
        </w:tabs>
        <w:spacing w:after="0" w:line="240" w:lineRule="auto"/>
        <w:jc w:val="center"/>
        <w:rPr>
          <w:rFonts w:asciiTheme="majorBidi" w:hAnsiTheme="majorBidi" w:cstheme="majorBidi"/>
          <w:lang w:bidi="ar-DZ"/>
        </w:rPr>
      </w:pPr>
      <w:r>
        <w:rPr>
          <w:rFonts w:asciiTheme="majorBidi" w:hAnsiTheme="majorBidi" w:cstheme="majorBidi"/>
          <w:lang w:bidi="ar-DZ"/>
        </w:rPr>
        <w:t xml:space="preserve">C. Graines de </w:t>
      </w:r>
      <w:r>
        <w:rPr>
          <w:rFonts w:asciiTheme="majorBidi" w:hAnsiTheme="majorBidi" w:cstheme="majorBidi"/>
          <w:i/>
          <w:iCs/>
          <w:lang w:bidi="ar-DZ"/>
        </w:rPr>
        <w:t>Trigonella foenum-graecum</w:t>
      </w:r>
      <w:r>
        <w:rPr>
          <w:rFonts w:asciiTheme="majorBidi" w:hAnsiTheme="majorBidi" w:cstheme="majorBidi"/>
          <w:b/>
          <w:bCs/>
          <w:lang w:bidi="ar-DZ"/>
        </w:rPr>
        <w:t xml:space="preserve"> (Oueslati et al., 2015).</w:t>
      </w:r>
    </w:p>
    <w:p w14:paraId="350DAA1B" w14:textId="77777777" w:rsidR="003E3FB4" w:rsidRDefault="003E3FB4">
      <w:pPr>
        <w:tabs>
          <w:tab w:val="left" w:pos="6173"/>
        </w:tabs>
        <w:spacing w:line="360" w:lineRule="auto"/>
        <w:jc w:val="both"/>
        <w:rPr>
          <w:rFonts w:asciiTheme="majorBidi" w:hAnsiTheme="majorBidi" w:cstheme="majorBidi"/>
          <w:b/>
          <w:bCs/>
          <w:sz w:val="24"/>
          <w:szCs w:val="24"/>
          <w:lang w:bidi="ar-DZ"/>
        </w:rPr>
      </w:pPr>
    </w:p>
    <w:p w14:paraId="7A47D055" w14:textId="77777777" w:rsidR="002A7F52" w:rsidRDefault="002A7F52">
      <w:pPr>
        <w:tabs>
          <w:tab w:val="left" w:pos="6173"/>
        </w:tabs>
        <w:spacing w:line="360" w:lineRule="auto"/>
        <w:jc w:val="both"/>
        <w:rPr>
          <w:rFonts w:asciiTheme="majorBidi" w:hAnsiTheme="majorBidi" w:cstheme="majorBidi"/>
          <w:b/>
          <w:bCs/>
          <w:sz w:val="24"/>
          <w:szCs w:val="24"/>
          <w:lang w:bidi="ar-DZ"/>
        </w:rPr>
      </w:pPr>
    </w:p>
    <w:p w14:paraId="7AB50408" w14:textId="77777777" w:rsidR="002A7F52" w:rsidRDefault="002A7F52">
      <w:pPr>
        <w:tabs>
          <w:tab w:val="left" w:pos="6173"/>
        </w:tabs>
        <w:spacing w:line="360" w:lineRule="auto"/>
        <w:jc w:val="both"/>
        <w:rPr>
          <w:rFonts w:asciiTheme="majorBidi" w:hAnsiTheme="majorBidi" w:cstheme="majorBidi"/>
          <w:b/>
          <w:bCs/>
          <w:sz w:val="24"/>
          <w:szCs w:val="24"/>
          <w:lang w:bidi="ar-DZ"/>
        </w:rPr>
      </w:pPr>
    </w:p>
    <w:p w14:paraId="68439DAE" w14:textId="301041B2" w:rsidR="003E3FB4" w:rsidRDefault="00385ED0">
      <w:pPr>
        <w:tabs>
          <w:tab w:val="left" w:pos="6173"/>
        </w:tabs>
        <w:spacing w:line="360" w:lineRule="auto"/>
        <w:jc w:val="both"/>
        <w:rPr>
          <w:rFonts w:asciiTheme="majorBidi" w:hAnsiTheme="majorBidi" w:cstheme="majorBidi"/>
          <w:b/>
          <w:bCs/>
          <w:sz w:val="24"/>
          <w:szCs w:val="24"/>
          <w:lang w:bidi="ar-DZ"/>
        </w:rPr>
      </w:pPr>
      <w:r>
        <w:rPr>
          <w:rFonts w:asciiTheme="majorBidi" w:hAnsiTheme="majorBidi" w:cstheme="majorBidi"/>
          <w:b/>
          <w:bCs/>
          <w:sz w:val="24"/>
          <w:szCs w:val="24"/>
          <w:lang w:bidi="ar-DZ"/>
        </w:rPr>
        <w:lastRenderedPageBreak/>
        <w:t xml:space="preserve">I-3 </w:t>
      </w:r>
      <w:r>
        <w:rPr>
          <w:rFonts w:asciiTheme="majorBidi" w:hAnsiTheme="majorBidi" w:cstheme="majorBidi"/>
          <w:sz w:val="24"/>
          <w:szCs w:val="24"/>
          <w:lang w:bidi="ar-DZ"/>
        </w:rPr>
        <w:t>-</w:t>
      </w:r>
      <w:r>
        <w:rPr>
          <w:rFonts w:asciiTheme="majorBidi" w:hAnsiTheme="majorBidi" w:cstheme="majorBidi"/>
          <w:b/>
          <w:bCs/>
          <w:sz w:val="24"/>
          <w:szCs w:val="24"/>
          <w:lang w:bidi="ar-DZ"/>
        </w:rPr>
        <w:t xml:space="preserve"> Classification botanique</w:t>
      </w:r>
    </w:p>
    <w:p w14:paraId="05050E2E" w14:textId="4DE627FC" w:rsidR="003E3FB4" w:rsidRDefault="00385ED0">
      <w:pPr>
        <w:tabs>
          <w:tab w:val="left" w:pos="6173"/>
        </w:tabs>
        <w:spacing w:after="120" w:line="360" w:lineRule="auto"/>
        <w:ind w:firstLine="567"/>
        <w:jc w:val="both"/>
        <w:rPr>
          <w:rFonts w:asciiTheme="majorBidi" w:hAnsiTheme="majorBidi" w:cstheme="majorBidi"/>
          <w:b/>
          <w:bCs/>
          <w:sz w:val="24"/>
          <w:szCs w:val="24"/>
          <w:lang w:bidi="ar-DZ"/>
        </w:rPr>
      </w:pPr>
      <w:r>
        <w:rPr>
          <w:rFonts w:asciiTheme="majorBidi" w:hAnsiTheme="majorBidi" w:cstheme="majorBidi"/>
          <w:sz w:val="24"/>
          <w:szCs w:val="24"/>
          <w:lang w:bidi="ar-DZ"/>
        </w:rPr>
        <w:t xml:space="preserve">Le fenugrec, désigné scientifiquement sous l'appellation </w:t>
      </w:r>
      <w:r>
        <w:rPr>
          <w:rFonts w:asciiTheme="majorBidi" w:hAnsiTheme="majorBidi" w:cstheme="majorBidi"/>
          <w:i/>
          <w:iCs/>
          <w:sz w:val="24"/>
          <w:szCs w:val="24"/>
          <w:lang w:bidi="ar-DZ"/>
        </w:rPr>
        <w:t>Trigonella foenum-graecum</w:t>
      </w:r>
      <w:r w:rsidR="00427A87">
        <w:rPr>
          <w:rFonts w:asciiTheme="majorBidi" w:hAnsiTheme="majorBidi" w:cstheme="majorBidi"/>
          <w:i/>
          <w:iCs/>
          <w:sz w:val="24"/>
          <w:szCs w:val="24"/>
          <w:lang w:bidi="ar-DZ"/>
        </w:rPr>
        <w:t xml:space="preserve"> </w:t>
      </w:r>
      <w:r w:rsidR="00427A87" w:rsidRPr="00427A87">
        <w:rPr>
          <w:rFonts w:asciiTheme="majorBidi" w:hAnsiTheme="majorBidi" w:cstheme="majorBidi"/>
          <w:sz w:val="24"/>
          <w:szCs w:val="24"/>
          <w:lang w:bidi="ar-DZ"/>
        </w:rPr>
        <w:t>L</w:t>
      </w:r>
      <w:r w:rsidR="00427A87">
        <w:rPr>
          <w:rFonts w:asciiTheme="majorBidi" w:hAnsiTheme="majorBidi" w:cstheme="majorBidi"/>
          <w:i/>
          <w:iCs/>
          <w:sz w:val="24"/>
          <w:szCs w:val="24"/>
          <w:lang w:bidi="ar-DZ"/>
        </w:rPr>
        <w:t>.</w:t>
      </w:r>
      <w:r>
        <w:rPr>
          <w:rFonts w:asciiTheme="majorBidi" w:hAnsiTheme="majorBidi" w:cstheme="majorBidi"/>
          <w:sz w:val="24"/>
          <w:szCs w:val="24"/>
          <w:lang w:bidi="ar-DZ"/>
        </w:rPr>
        <w:t xml:space="preserve">, est une plante herbacée rattachée à la famille des Fabacées (également appelée Légumineuses) </w:t>
      </w:r>
      <w:r>
        <w:rPr>
          <w:rFonts w:asciiTheme="majorBidi" w:hAnsiTheme="majorBidi" w:cstheme="majorBidi"/>
          <w:b/>
          <w:bCs/>
          <w:sz w:val="24"/>
          <w:szCs w:val="24"/>
          <w:lang w:bidi="ar-DZ"/>
        </w:rPr>
        <w:t xml:space="preserve">(Petit-Aldana et </w:t>
      </w:r>
      <w:r>
        <w:rPr>
          <w:rFonts w:asciiTheme="majorBidi" w:hAnsiTheme="majorBidi" w:cstheme="majorBidi"/>
          <w:b/>
          <w:bCs/>
          <w:i/>
          <w:iCs/>
          <w:sz w:val="24"/>
          <w:szCs w:val="24"/>
          <w:lang w:bidi="ar-DZ"/>
        </w:rPr>
        <w:t>al</w:t>
      </w:r>
      <w:r>
        <w:rPr>
          <w:rFonts w:asciiTheme="majorBidi" w:hAnsiTheme="majorBidi" w:cstheme="majorBidi"/>
          <w:b/>
          <w:bCs/>
          <w:sz w:val="24"/>
          <w:szCs w:val="24"/>
          <w:lang w:bidi="ar-DZ"/>
        </w:rPr>
        <w:t>., 2014)</w:t>
      </w:r>
      <w:r>
        <w:rPr>
          <w:rFonts w:asciiTheme="majorBidi" w:hAnsiTheme="majorBidi" w:cstheme="majorBidi"/>
          <w:sz w:val="24"/>
          <w:szCs w:val="24"/>
          <w:lang w:bidi="ar-DZ"/>
        </w:rPr>
        <w:t xml:space="preserve">. </w:t>
      </w:r>
    </w:p>
    <w:tbl>
      <w:tblPr>
        <w:tblStyle w:val="Tableausimple21"/>
        <w:tblW w:w="0" w:type="auto"/>
        <w:jc w:val="center"/>
        <w:tblLook w:val="04A0" w:firstRow="1" w:lastRow="0" w:firstColumn="1" w:lastColumn="0" w:noHBand="0" w:noVBand="1"/>
      </w:tblPr>
      <w:tblGrid>
        <w:gridCol w:w="1686"/>
        <w:gridCol w:w="4126"/>
      </w:tblGrid>
      <w:tr w:rsidR="003E3FB4" w14:paraId="0ECF4F48" w14:textId="77777777" w:rsidTr="003E3FB4">
        <w:trPr>
          <w:cnfStyle w:val="100000000000" w:firstRow="1" w:lastRow="0" w:firstColumn="0" w:lastColumn="0" w:oddVBand="0" w:evenVBand="0" w:oddHBand="0" w:evenHBand="0" w:firstRowFirstColumn="0" w:firstRowLastColumn="0" w:lastRowFirstColumn="0" w:lastRowLastColumn="0"/>
          <w:trHeight w:val="416"/>
          <w:jc w:val="center"/>
        </w:trPr>
        <w:tc>
          <w:tcPr>
            <w:cnfStyle w:val="001000000000" w:firstRow="0" w:lastRow="0" w:firstColumn="1" w:lastColumn="0" w:oddVBand="0" w:evenVBand="0" w:oddHBand="0" w:evenHBand="0" w:firstRowFirstColumn="0" w:firstRowLastColumn="0" w:lastRowFirstColumn="0" w:lastRowLastColumn="0"/>
            <w:tcW w:w="1686" w:type="dxa"/>
          </w:tcPr>
          <w:p w14:paraId="2DFDB8C1" w14:textId="77777777" w:rsidR="003E3FB4" w:rsidRDefault="00385ED0">
            <w:pPr>
              <w:tabs>
                <w:tab w:val="left" w:pos="6173"/>
              </w:tabs>
              <w:spacing w:after="0" w:line="240" w:lineRule="auto"/>
              <w:rPr>
                <w:rFonts w:asciiTheme="majorBidi" w:hAnsiTheme="majorBidi" w:cstheme="majorBidi"/>
                <w:lang w:bidi="ar-DZ"/>
              </w:rPr>
            </w:pPr>
            <w:r>
              <w:rPr>
                <w:rFonts w:asciiTheme="majorBidi" w:hAnsiTheme="majorBidi" w:cstheme="majorBidi"/>
                <w:lang w:bidi="ar-DZ"/>
              </w:rPr>
              <w:t>Règne :</w:t>
            </w:r>
          </w:p>
          <w:p w14:paraId="79A586DF" w14:textId="77777777" w:rsidR="003E3FB4" w:rsidRDefault="003E3FB4">
            <w:pPr>
              <w:pStyle w:val="Paragraphedeliste"/>
              <w:tabs>
                <w:tab w:val="left" w:pos="6173"/>
              </w:tabs>
              <w:spacing w:after="0" w:line="240" w:lineRule="auto"/>
              <w:ind w:left="0"/>
              <w:jc w:val="both"/>
              <w:rPr>
                <w:rFonts w:asciiTheme="majorBidi" w:hAnsiTheme="majorBidi" w:cstheme="majorBidi"/>
                <w:lang w:bidi="ar-DZ"/>
              </w:rPr>
            </w:pPr>
          </w:p>
        </w:tc>
        <w:tc>
          <w:tcPr>
            <w:tcW w:w="4126" w:type="dxa"/>
          </w:tcPr>
          <w:p w14:paraId="5E341325" w14:textId="77777777" w:rsidR="003E3FB4" w:rsidRDefault="00385ED0">
            <w:pPr>
              <w:pStyle w:val="Paragraphedeliste"/>
              <w:tabs>
                <w:tab w:val="left" w:pos="6173"/>
              </w:tabs>
              <w:spacing w:after="0" w:line="240" w:lineRule="auto"/>
              <w:ind w:left="0"/>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lang w:bidi="ar-DZ"/>
              </w:rPr>
            </w:pPr>
            <w:r>
              <w:rPr>
                <w:rFonts w:asciiTheme="majorBidi" w:hAnsiTheme="majorBidi" w:cstheme="majorBidi"/>
                <w:b w:val="0"/>
                <w:bCs w:val="0"/>
                <w:lang w:bidi="ar-DZ"/>
              </w:rPr>
              <w:t>Plantae (Plantes)</w:t>
            </w:r>
          </w:p>
        </w:tc>
      </w:tr>
      <w:tr w:rsidR="003E3FB4" w14:paraId="1564343E" w14:textId="77777777" w:rsidTr="003E3FB4">
        <w:trPr>
          <w:jc w:val="center"/>
        </w:trPr>
        <w:tc>
          <w:tcPr>
            <w:cnfStyle w:val="001000000000" w:firstRow="0" w:lastRow="0" w:firstColumn="1" w:lastColumn="0" w:oddVBand="0" w:evenVBand="0" w:oddHBand="0" w:evenHBand="0" w:firstRowFirstColumn="0" w:firstRowLastColumn="0" w:lastRowFirstColumn="0" w:lastRowLastColumn="0"/>
            <w:tcW w:w="1686" w:type="dxa"/>
            <w:tcBorders>
              <w:top w:val="single" w:sz="4" w:space="0" w:color="7F7F7F" w:themeColor="text1" w:themeTint="80"/>
              <w:bottom w:val="single" w:sz="4" w:space="0" w:color="7F7F7F" w:themeColor="text1" w:themeTint="80"/>
            </w:tcBorders>
          </w:tcPr>
          <w:p w14:paraId="422132A8" w14:textId="77777777" w:rsidR="003E3FB4" w:rsidRDefault="00385ED0">
            <w:pPr>
              <w:tabs>
                <w:tab w:val="left" w:pos="6173"/>
              </w:tabs>
              <w:spacing w:after="0" w:line="240" w:lineRule="auto"/>
              <w:rPr>
                <w:rFonts w:asciiTheme="majorBidi" w:hAnsiTheme="majorBidi" w:cstheme="majorBidi"/>
                <w:lang w:bidi="ar-DZ"/>
              </w:rPr>
            </w:pPr>
            <w:r>
              <w:rPr>
                <w:rFonts w:asciiTheme="majorBidi" w:hAnsiTheme="majorBidi" w:cstheme="majorBidi"/>
                <w:lang w:bidi="ar-DZ"/>
              </w:rPr>
              <w:t>Sous-règne :</w:t>
            </w:r>
          </w:p>
          <w:p w14:paraId="0EA12509" w14:textId="77777777" w:rsidR="003E3FB4" w:rsidRDefault="003E3FB4">
            <w:pPr>
              <w:pStyle w:val="Paragraphedeliste"/>
              <w:tabs>
                <w:tab w:val="left" w:pos="6173"/>
              </w:tabs>
              <w:spacing w:after="0" w:line="240" w:lineRule="auto"/>
              <w:ind w:left="0"/>
              <w:jc w:val="both"/>
              <w:rPr>
                <w:rFonts w:asciiTheme="majorBidi" w:hAnsiTheme="majorBidi" w:cstheme="majorBidi"/>
                <w:lang w:bidi="ar-DZ"/>
              </w:rPr>
            </w:pPr>
          </w:p>
        </w:tc>
        <w:tc>
          <w:tcPr>
            <w:tcW w:w="4126" w:type="dxa"/>
            <w:tcBorders>
              <w:top w:val="single" w:sz="4" w:space="0" w:color="7F7F7F" w:themeColor="text1" w:themeTint="80"/>
              <w:bottom w:val="single" w:sz="4" w:space="0" w:color="7F7F7F" w:themeColor="text1" w:themeTint="80"/>
            </w:tcBorders>
          </w:tcPr>
          <w:p w14:paraId="5716811E" w14:textId="77777777" w:rsidR="003E3FB4" w:rsidRDefault="00385ED0">
            <w:pPr>
              <w:pStyle w:val="Paragraphedeliste"/>
              <w:tabs>
                <w:tab w:val="left" w:pos="6173"/>
              </w:tabs>
              <w:spacing w:after="0" w:line="240" w:lineRule="auto"/>
              <w:ind w:left="0"/>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lang w:bidi="ar-DZ"/>
              </w:rPr>
            </w:pPr>
            <w:r>
              <w:rPr>
                <w:rFonts w:asciiTheme="majorBidi" w:hAnsiTheme="majorBidi" w:cstheme="majorBidi"/>
                <w:lang w:bidi="ar-DZ"/>
              </w:rPr>
              <w:t>Tracheobionta (Plantes vasculaires)</w:t>
            </w:r>
          </w:p>
        </w:tc>
      </w:tr>
      <w:tr w:rsidR="003E3FB4" w14:paraId="3252659F" w14:textId="77777777" w:rsidTr="003E3FB4">
        <w:trPr>
          <w:jc w:val="center"/>
        </w:trPr>
        <w:tc>
          <w:tcPr>
            <w:cnfStyle w:val="001000000000" w:firstRow="0" w:lastRow="0" w:firstColumn="1" w:lastColumn="0" w:oddVBand="0" w:evenVBand="0" w:oddHBand="0" w:evenHBand="0" w:firstRowFirstColumn="0" w:firstRowLastColumn="0" w:lastRowFirstColumn="0" w:lastRowLastColumn="0"/>
            <w:tcW w:w="1686" w:type="dxa"/>
          </w:tcPr>
          <w:p w14:paraId="4034E7EB" w14:textId="77777777" w:rsidR="003E3FB4" w:rsidRDefault="00385ED0">
            <w:pPr>
              <w:pStyle w:val="Paragraphedeliste"/>
              <w:tabs>
                <w:tab w:val="left" w:pos="6173"/>
              </w:tabs>
              <w:spacing w:after="0" w:line="240" w:lineRule="auto"/>
              <w:ind w:left="0"/>
              <w:jc w:val="both"/>
              <w:rPr>
                <w:rFonts w:asciiTheme="majorBidi" w:hAnsiTheme="majorBidi" w:cstheme="majorBidi"/>
                <w:lang w:bidi="ar-DZ"/>
              </w:rPr>
            </w:pPr>
            <w:r>
              <w:rPr>
                <w:rFonts w:asciiTheme="majorBidi" w:hAnsiTheme="majorBidi" w:cstheme="majorBidi"/>
                <w:lang w:bidi="ar-DZ"/>
              </w:rPr>
              <w:t>Division :</w:t>
            </w:r>
          </w:p>
        </w:tc>
        <w:tc>
          <w:tcPr>
            <w:tcW w:w="4126" w:type="dxa"/>
          </w:tcPr>
          <w:p w14:paraId="48B20174" w14:textId="77777777" w:rsidR="003E3FB4" w:rsidRDefault="00385ED0">
            <w:pPr>
              <w:tabs>
                <w:tab w:val="left" w:pos="6173"/>
              </w:tabs>
              <w:spacing w:after="0" w:line="240"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lang w:bidi="ar-DZ"/>
              </w:rPr>
            </w:pPr>
            <w:r>
              <w:rPr>
                <w:rFonts w:asciiTheme="majorBidi" w:hAnsiTheme="majorBidi" w:cstheme="majorBidi"/>
                <w:lang w:bidi="ar-DZ"/>
              </w:rPr>
              <w:t>Magnoliophyta (Plantes à fleurs)</w:t>
            </w:r>
          </w:p>
          <w:p w14:paraId="6FEEAC3C" w14:textId="77777777" w:rsidR="003E3FB4" w:rsidRDefault="003E3FB4">
            <w:pPr>
              <w:pStyle w:val="Paragraphedeliste"/>
              <w:tabs>
                <w:tab w:val="left" w:pos="6173"/>
              </w:tabs>
              <w:spacing w:after="0" w:line="240" w:lineRule="auto"/>
              <w:ind w:left="0"/>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lang w:bidi="ar-DZ"/>
              </w:rPr>
            </w:pPr>
          </w:p>
        </w:tc>
      </w:tr>
      <w:tr w:rsidR="003E3FB4" w14:paraId="1D276489" w14:textId="77777777" w:rsidTr="003E3FB4">
        <w:trPr>
          <w:jc w:val="center"/>
        </w:trPr>
        <w:tc>
          <w:tcPr>
            <w:cnfStyle w:val="001000000000" w:firstRow="0" w:lastRow="0" w:firstColumn="1" w:lastColumn="0" w:oddVBand="0" w:evenVBand="0" w:oddHBand="0" w:evenHBand="0" w:firstRowFirstColumn="0" w:firstRowLastColumn="0" w:lastRowFirstColumn="0" w:lastRowLastColumn="0"/>
            <w:tcW w:w="1686" w:type="dxa"/>
            <w:tcBorders>
              <w:top w:val="single" w:sz="4" w:space="0" w:color="7F7F7F" w:themeColor="text1" w:themeTint="80"/>
              <w:bottom w:val="single" w:sz="4" w:space="0" w:color="7F7F7F" w:themeColor="text1" w:themeTint="80"/>
            </w:tcBorders>
          </w:tcPr>
          <w:p w14:paraId="1E1146ED" w14:textId="77777777" w:rsidR="003E3FB4" w:rsidRDefault="00385ED0">
            <w:pPr>
              <w:pStyle w:val="Paragraphedeliste"/>
              <w:tabs>
                <w:tab w:val="left" w:pos="6173"/>
              </w:tabs>
              <w:spacing w:after="0" w:line="240" w:lineRule="auto"/>
              <w:ind w:left="0"/>
              <w:jc w:val="both"/>
              <w:rPr>
                <w:rFonts w:asciiTheme="majorBidi" w:hAnsiTheme="majorBidi" w:cstheme="majorBidi"/>
                <w:lang w:bidi="ar-DZ"/>
              </w:rPr>
            </w:pPr>
            <w:r>
              <w:rPr>
                <w:rFonts w:asciiTheme="majorBidi" w:hAnsiTheme="majorBidi" w:cstheme="majorBidi"/>
                <w:lang w:bidi="ar-DZ"/>
              </w:rPr>
              <w:t>Classe :</w:t>
            </w:r>
          </w:p>
        </w:tc>
        <w:tc>
          <w:tcPr>
            <w:tcW w:w="4126" w:type="dxa"/>
            <w:tcBorders>
              <w:top w:val="single" w:sz="4" w:space="0" w:color="7F7F7F" w:themeColor="text1" w:themeTint="80"/>
              <w:bottom w:val="single" w:sz="4" w:space="0" w:color="7F7F7F" w:themeColor="text1" w:themeTint="80"/>
            </w:tcBorders>
          </w:tcPr>
          <w:p w14:paraId="17DAB47D" w14:textId="77777777" w:rsidR="003E3FB4" w:rsidRDefault="00385ED0">
            <w:pPr>
              <w:tabs>
                <w:tab w:val="left" w:pos="6173"/>
              </w:tabs>
              <w:spacing w:after="0" w:line="240"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lang w:bidi="ar-DZ"/>
              </w:rPr>
            </w:pPr>
            <w:r>
              <w:rPr>
                <w:rFonts w:asciiTheme="majorBidi" w:hAnsiTheme="majorBidi" w:cstheme="majorBidi"/>
                <w:lang w:bidi="ar-DZ"/>
              </w:rPr>
              <w:t>Magnoliopsida (Dicotylédones)</w:t>
            </w:r>
          </w:p>
          <w:p w14:paraId="3C4AD057" w14:textId="77777777" w:rsidR="003E3FB4" w:rsidRDefault="003E3FB4">
            <w:pPr>
              <w:pStyle w:val="Paragraphedeliste"/>
              <w:tabs>
                <w:tab w:val="left" w:pos="6173"/>
              </w:tabs>
              <w:spacing w:after="0" w:line="240" w:lineRule="auto"/>
              <w:ind w:left="0"/>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lang w:bidi="ar-DZ"/>
              </w:rPr>
            </w:pPr>
          </w:p>
        </w:tc>
      </w:tr>
      <w:tr w:rsidR="003E3FB4" w14:paraId="7D350269" w14:textId="77777777" w:rsidTr="003E3FB4">
        <w:trPr>
          <w:jc w:val="center"/>
        </w:trPr>
        <w:tc>
          <w:tcPr>
            <w:cnfStyle w:val="001000000000" w:firstRow="0" w:lastRow="0" w:firstColumn="1" w:lastColumn="0" w:oddVBand="0" w:evenVBand="0" w:oddHBand="0" w:evenHBand="0" w:firstRowFirstColumn="0" w:firstRowLastColumn="0" w:lastRowFirstColumn="0" w:lastRowLastColumn="0"/>
            <w:tcW w:w="1686" w:type="dxa"/>
          </w:tcPr>
          <w:p w14:paraId="0B48A7D3" w14:textId="77777777" w:rsidR="003E3FB4" w:rsidRDefault="00385ED0">
            <w:pPr>
              <w:pStyle w:val="Paragraphedeliste"/>
              <w:tabs>
                <w:tab w:val="left" w:pos="6173"/>
              </w:tabs>
              <w:spacing w:after="0" w:line="240" w:lineRule="auto"/>
              <w:ind w:left="0"/>
              <w:jc w:val="both"/>
              <w:rPr>
                <w:rFonts w:asciiTheme="majorBidi" w:hAnsiTheme="majorBidi" w:cstheme="majorBidi"/>
                <w:lang w:bidi="ar-DZ"/>
              </w:rPr>
            </w:pPr>
            <w:r>
              <w:rPr>
                <w:rFonts w:asciiTheme="majorBidi" w:hAnsiTheme="majorBidi" w:cstheme="majorBidi"/>
                <w:lang w:bidi="ar-DZ"/>
              </w:rPr>
              <w:t xml:space="preserve">Sous-classe : </w:t>
            </w:r>
          </w:p>
        </w:tc>
        <w:tc>
          <w:tcPr>
            <w:tcW w:w="4126" w:type="dxa"/>
          </w:tcPr>
          <w:p w14:paraId="7D5B0B23" w14:textId="77777777" w:rsidR="003E3FB4" w:rsidRDefault="00385ED0">
            <w:pPr>
              <w:tabs>
                <w:tab w:val="left" w:pos="6173"/>
              </w:tabs>
              <w:spacing w:after="0" w:line="240"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lang w:bidi="ar-DZ"/>
              </w:rPr>
            </w:pPr>
            <w:r>
              <w:rPr>
                <w:rFonts w:asciiTheme="majorBidi" w:hAnsiTheme="majorBidi" w:cstheme="majorBidi"/>
                <w:lang w:bidi="ar-DZ"/>
              </w:rPr>
              <w:t>Rosidae</w:t>
            </w:r>
          </w:p>
          <w:p w14:paraId="28C7347A" w14:textId="77777777" w:rsidR="003E3FB4" w:rsidRDefault="003E3FB4">
            <w:pPr>
              <w:pStyle w:val="Paragraphedeliste"/>
              <w:tabs>
                <w:tab w:val="left" w:pos="6173"/>
              </w:tabs>
              <w:spacing w:after="0" w:line="240" w:lineRule="auto"/>
              <w:ind w:left="0"/>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lang w:bidi="ar-DZ"/>
              </w:rPr>
            </w:pPr>
          </w:p>
        </w:tc>
      </w:tr>
      <w:tr w:rsidR="003E3FB4" w14:paraId="1451A498" w14:textId="77777777" w:rsidTr="003E3FB4">
        <w:trPr>
          <w:jc w:val="center"/>
        </w:trPr>
        <w:tc>
          <w:tcPr>
            <w:cnfStyle w:val="001000000000" w:firstRow="0" w:lastRow="0" w:firstColumn="1" w:lastColumn="0" w:oddVBand="0" w:evenVBand="0" w:oddHBand="0" w:evenHBand="0" w:firstRowFirstColumn="0" w:firstRowLastColumn="0" w:lastRowFirstColumn="0" w:lastRowLastColumn="0"/>
            <w:tcW w:w="1686" w:type="dxa"/>
            <w:tcBorders>
              <w:top w:val="single" w:sz="4" w:space="0" w:color="7F7F7F" w:themeColor="text1" w:themeTint="80"/>
              <w:bottom w:val="single" w:sz="4" w:space="0" w:color="7F7F7F" w:themeColor="text1" w:themeTint="80"/>
            </w:tcBorders>
          </w:tcPr>
          <w:p w14:paraId="75AA6B08" w14:textId="77777777" w:rsidR="003E3FB4" w:rsidRDefault="00385ED0">
            <w:pPr>
              <w:tabs>
                <w:tab w:val="left" w:pos="6173"/>
              </w:tabs>
              <w:spacing w:after="0" w:line="240" w:lineRule="auto"/>
              <w:rPr>
                <w:rFonts w:asciiTheme="majorBidi" w:hAnsiTheme="majorBidi" w:cstheme="majorBidi"/>
                <w:lang w:bidi="ar-DZ"/>
              </w:rPr>
            </w:pPr>
            <w:r>
              <w:rPr>
                <w:rFonts w:asciiTheme="majorBidi" w:hAnsiTheme="majorBidi" w:cstheme="majorBidi"/>
                <w:lang w:bidi="ar-DZ"/>
              </w:rPr>
              <w:t>Ordre :</w:t>
            </w:r>
          </w:p>
          <w:p w14:paraId="25D8F989" w14:textId="77777777" w:rsidR="003E3FB4" w:rsidRDefault="003E3FB4">
            <w:pPr>
              <w:pStyle w:val="Paragraphedeliste"/>
              <w:tabs>
                <w:tab w:val="left" w:pos="6173"/>
              </w:tabs>
              <w:spacing w:after="0" w:line="240" w:lineRule="auto"/>
              <w:ind w:left="0"/>
              <w:jc w:val="both"/>
              <w:rPr>
                <w:rFonts w:asciiTheme="majorBidi" w:hAnsiTheme="majorBidi" w:cstheme="majorBidi"/>
                <w:lang w:bidi="ar-DZ"/>
              </w:rPr>
            </w:pPr>
          </w:p>
        </w:tc>
        <w:tc>
          <w:tcPr>
            <w:tcW w:w="4126" w:type="dxa"/>
            <w:tcBorders>
              <w:top w:val="single" w:sz="4" w:space="0" w:color="7F7F7F" w:themeColor="text1" w:themeTint="80"/>
              <w:bottom w:val="single" w:sz="4" w:space="0" w:color="7F7F7F" w:themeColor="text1" w:themeTint="80"/>
            </w:tcBorders>
          </w:tcPr>
          <w:p w14:paraId="0FE9B857" w14:textId="77777777" w:rsidR="003E3FB4" w:rsidRDefault="00385ED0">
            <w:pPr>
              <w:pStyle w:val="Paragraphedeliste"/>
              <w:tabs>
                <w:tab w:val="left" w:pos="6173"/>
              </w:tabs>
              <w:spacing w:after="0" w:line="240" w:lineRule="auto"/>
              <w:ind w:left="0"/>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lang w:bidi="ar-DZ"/>
              </w:rPr>
            </w:pPr>
            <w:r>
              <w:rPr>
                <w:rFonts w:asciiTheme="majorBidi" w:hAnsiTheme="majorBidi" w:cstheme="majorBidi"/>
                <w:lang w:bidi="ar-DZ"/>
              </w:rPr>
              <w:t>Fabales</w:t>
            </w:r>
          </w:p>
        </w:tc>
      </w:tr>
      <w:tr w:rsidR="003E3FB4" w14:paraId="0B189D3A" w14:textId="77777777" w:rsidTr="003E3FB4">
        <w:trPr>
          <w:jc w:val="center"/>
        </w:trPr>
        <w:tc>
          <w:tcPr>
            <w:cnfStyle w:val="001000000000" w:firstRow="0" w:lastRow="0" w:firstColumn="1" w:lastColumn="0" w:oddVBand="0" w:evenVBand="0" w:oddHBand="0" w:evenHBand="0" w:firstRowFirstColumn="0" w:firstRowLastColumn="0" w:lastRowFirstColumn="0" w:lastRowLastColumn="0"/>
            <w:tcW w:w="1686" w:type="dxa"/>
          </w:tcPr>
          <w:p w14:paraId="1B241D88" w14:textId="77777777" w:rsidR="003E3FB4" w:rsidRDefault="00385ED0">
            <w:pPr>
              <w:tabs>
                <w:tab w:val="left" w:pos="6173"/>
              </w:tabs>
              <w:spacing w:after="0" w:line="240" w:lineRule="auto"/>
              <w:rPr>
                <w:rFonts w:asciiTheme="majorBidi" w:hAnsiTheme="majorBidi" w:cstheme="majorBidi"/>
                <w:lang w:bidi="ar-DZ"/>
              </w:rPr>
            </w:pPr>
            <w:r>
              <w:rPr>
                <w:rFonts w:asciiTheme="majorBidi" w:hAnsiTheme="majorBidi" w:cstheme="majorBidi"/>
                <w:lang w:bidi="ar-DZ"/>
              </w:rPr>
              <w:t>Famille :</w:t>
            </w:r>
          </w:p>
          <w:p w14:paraId="538DBABA" w14:textId="77777777" w:rsidR="003E3FB4" w:rsidRDefault="003E3FB4">
            <w:pPr>
              <w:pStyle w:val="Paragraphedeliste"/>
              <w:tabs>
                <w:tab w:val="left" w:pos="6173"/>
              </w:tabs>
              <w:spacing w:after="0" w:line="240" w:lineRule="auto"/>
              <w:rPr>
                <w:rFonts w:asciiTheme="majorBidi" w:hAnsiTheme="majorBidi" w:cstheme="majorBidi"/>
                <w:lang w:bidi="ar-DZ"/>
              </w:rPr>
            </w:pPr>
          </w:p>
        </w:tc>
        <w:tc>
          <w:tcPr>
            <w:tcW w:w="4126" w:type="dxa"/>
          </w:tcPr>
          <w:p w14:paraId="7F4166FB" w14:textId="77777777" w:rsidR="003E3FB4" w:rsidRDefault="00385ED0">
            <w:pPr>
              <w:pStyle w:val="Paragraphedeliste"/>
              <w:tabs>
                <w:tab w:val="left" w:pos="6173"/>
              </w:tabs>
              <w:spacing w:after="0" w:line="240" w:lineRule="auto"/>
              <w:ind w:left="0"/>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lang w:bidi="ar-DZ"/>
              </w:rPr>
            </w:pPr>
            <w:r>
              <w:rPr>
                <w:rFonts w:asciiTheme="majorBidi" w:hAnsiTheme="majorBidi" w:cstheme="majorBidi"/>
                <w:lang w:bidi="ar-DZ"/>
              </w:rPr>
              <w:t>Fabaceae (Légumineuses)</w:t>
            </w:r>
          </w:p>
        </w:tc>
      </w:tr>
      <w:tr w:rsidR="003E3FB4" w14:paraId="2426AF30" w14:textId="77777777" w:rsidTr="003E3FB4">
        <w:trPr>
          <w:jc w:val="center"/>
        </w:trPr>
        <w:tc>
          <w:tcPr>
            <w:cnfStyle w:val="001000000000" w:firstRow="0" w:lastRow="0" w:firstColumn="1" w:lastColumn="0" w:oddVBand="0" w:evenVBand="0" w:oddHBand="0" w:evenHBand="0" w:firstRowFirstColumn="0" w:firstRowLastColumn="0" w:lastRowFirstColumn="0" w:lastRowLastColumn="0"/>
            <w:tcW w:w="1686" w:type="dxa"/>
            <w:tcBorders>
              <w:top w:val="single" w:sz="4" w:space="0" w:color="7F7F7F" w:themeColor="text1" w:themeTint="80"/>
              <w:bottom w:val="single" w:sz="4" w:space="0" w:color="7F7F7F" w:themeColor="text1" w:themeTint="80"/>
            </w:tcBorders>
          </w:tcPr>
          <w:p w14:paraId="4A547F3B" w14:textId="77777777" w:rsidR="003E3FB4" w:rsidRDefault="00385ED0">
            <w:pPr>
              <w:tabs>
                <w:tab w:val="left" w:pos="6173"/>
              </w:tabs>
              <w:spacing w:after="0" w:line="240" w:lineRule="auto"/>
              <w:rPr>
                <w:rFonts w:asciiTheme="majorBidi" w:hAnsiTheme="majorBidi" w:cstheme="majorBidi"/>
                <w:lang w:bidi="ar-DZ"/>
              </w:rPr>
            </w:pPr>
            <w:r>
              <w:rPr>
                <w:rFonts w:asciiTheme="majorBidi" w:hAnsiTheme="majorBidi" w:cstheme="majorBidi"/>
                <w:lang w:bidi="ar-DZ"/>
              </w:rPr>
              <w:t xml:space="preserve">Genre : </w:t>
            </w:r>
          </w:p>
          <w:p w14:paraId="26A1C703" w14:textId="77777777" w:rsidR="003E3FB4" w:rsidRDefault="003E3FB4">
            <w:pPr>
              <w:pStyle w:val="Paragraphedeliste"/>
              <w:tabs>
                <w:tab w:val="left" w:pos="6173"/>
              </w:tabs>
              <w:spacing w:after="0" w:line="240" w:lineRule="auto"/>
              <w:rPr>
                <w:rFonts w:asciiTheme="majorBidi" w:hAnsiTheme="majorBidi" w:cstheme="majorBidi"/>
                <w:lang w:bidi="ar-DZ"/>
              </w:rPr>
            </w:pPr>
          </w:p>
        </w:tc>
        <w:tc>
          <w:tcPr>
            <w:tcW w:w="4126" w:type="dxa"/>
            <w:tcBorders>
              <w:top w:val="single" w:sz="4" w:space="0" w:color="7F7F7F" w:themeColor="text1" w:themeTint="80"/>
              <w:bottom w:val="single" w:sz="4" w:space="0" w:color="7F7F7F" w:themeColor="text1" w:themeTint="80"/>
            </w:tcBorders>
          </w:tcPr>
          <w:p w14:paraId="275C89FE" w14:textId="77777777" w:rsidR="003E3FB4" w:rsidRDefault="00385ED0">
            <w:pPr>
              <w:pStyle w:val="Paragraphedeliste"/>
              <w:tabs>
                <w:tab w:val="left" w:pos="6173"/>
              </w:tabs>
              <w:spacing w:after="0" w:line="240" w:lineRule="auto"/>
              <w:ind w:left="0"/>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i/>
                <w:iCs/>
                <w:lang w:bidi="ar-DZ"/>
              </w:rPr>
            </w:pPr>
            <w:r>
              <w:rPr>
                <w:rFonts w:asciiTheme="majorBidi" w:hAnsiTheme="majorBidi" w:cstheme="majorBidi"/>
                <w:i/>
                <w:iCs/>
                <w:lang w:bidi="ar-DZ"/>
              </w:rPr>
              <w:t>Trigonella</w:t>
            </w:r>
          </w:p>
        </w:tc>
      </w:tr>
      <w:tr w:rsidR="003E3FB4" w14:paraId="77F09F84" w14:textId="77777777" w:rsidTr="003E3FB4">
        <w:trPr>
          <w:trHeight w:val="437"/>
          <w:jc w:val="center"/>
        </w:trPr>
        <w:tc>
          <w:tcPr>
            <w:cnfStyle w:val="001000000000" w:firstRow="0" w:lastRow="0" w:firstColumn="1" w:lastColumn="0" w:oddVBand="0" w:evenVBand="0" w:oddHBand="0" w:evenHBand="0" w:firstRowFirstColumn="0" w:firstRowLastColumn="0" w:lastRowFirstColumn="0" w:lastRowLastColumn="0"/>
            <w:tcW w:w="1686" w:type="dxa"/>
          </w:tcPr>
          <w:p w14:paraId="7B1B9D13" w14:textId="77777777" w:rsidR="003E3FB4" w:rsidRDefault="00385ED0">
            <w:pPr>
              <w:tabs>
                <w:tab w:val="left" w:pos="6173"/>
              </w:tabs>
              <w:spacing w:after="0" w:line="240" w:lineRule="auto"/>
              <w:rPr>
                <w:rFonts w:asciiTheme="majorBidi" w:hAnsiTheme="majorBidi" w:cstheme="majorBidi"/>
                <w:lang w:bidi="ar-DZ"/>
              </w:rPr>
            </w:pPr>
            <w:r>
              <w:rPr>
                <w:rFonts w:asciiTheme="majorBidi" w:hAnsiTheme="majorBidi" w:cstheme="majorBidi"/>
                <w:lang w:bidi="ar-DZ"/>
              </w:rPr>
              <w:t>Espèce :</w:t>
            </w:r>
          </w:p>
        </w:tc>
        <w:tc>
          <w:tcPr>
            <w:tcW w:w="4126" w:type="dxa"/>
          </w:tcPr>
          <w:p w14:paraId="6D65DD88" w14:textId="77777777" w:rsidR="003E3FB4" w:rsidRDefault="00385ED0">
            <w:pPr>
              <w:pStyle w:val="Paragraphedeliste"/>
              <w:tabs>
                <w:tab w:val="left" w:pos="6173"/>
              </w:tabs>
              <w:spacing w:after="0" w:line="240" w:lineRule="auto"/>
              <w:ind w:left="0"/>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i/>
                <w:iCs/>
                <w:lang w:bidi="ar-DZ"/>
              </w:rPr>
            </w:pPr>
            <w:r>
              <w:rPr>
                <w:rFonts w:asciiTheme="majorBidi" w:hAnsiTheme="majorBidi" w:cstheme="majorBidi"/>
                <w:i/>
                <w:iCs/>
                <w:lang w:bidi="ar-DZ"/>
              </w:rPr>
              <w:t>Trigonella foenum-graecum</w:t>
            </w:r>
          </w:p>
        </w:tc>
      </w:tr>
    </w:tbl>
    <w:p w14:paraId="6524878F" w14:textId="77777777" w:rsidR="003E3FB4" w:rsidRDefault="003E3FB4">
      <w:pPr>
        <w:pStyle w:val="Paragraphedeliste"/>
        <w:tabs>
          <w:tab w:val="left" w:pos="6173"/>
        </w:tabs>
        <w:spacing w:line="360" w:lineRule="auto"/>
        <w:ind w:left="1003"/>
        <w:jc w:val="both"/>
        <w:rPr>
          <w:rFonts w:asciiTheme="majorBidi" w:hAnsiTheme="majorBidi" w:cstheme="majorBidi"/>
          <w:b/>
          <w:bCs/>
          <w:sz w:val="24"/>
          <w:szCs w:val="24"/>
          <w:lang w:bidi="ar-DZ"/>
        </w:rPr>
      </w:pPr>
    </w:p>
    <w:p w14:paraId="4571557C" w14:textId="77777777" w:rsidR="003E3FB4" w:rsidRDefault="00385ED0">
      <w:pPr>
        <w:tabs>
          <w:tab w:val="left" w:pos="6173"/>
        </w:tabs>
        <w:spacing w:line="360" w:lineRule="auto"/>
        <w:jc w:val="both"/>
        <w:rPr>
          <w:rFonts w:asciiTheme="majorBidi" w:hAnsiTheme="majorBidi" w:cstheme="majorBidi"/>
          <w:sz w:val="26"/>
          <w:szCs w:val="26"/>
          <w:lang w:bidi="ar-DZ"/>
        </w:rPr>
      </w:pPr>
      <w:r>
        <w:rPr>
          <w:rFonts w:asciiTheme="majorBidi" w:hAnsiTheme="majorBidi" w:cstheme="majorBidi"/>
          <w:b/>
          <w:bCs/>
          <w:sz w:val="26"/>
          <w:szCs w:val="26"/>
          <w:lang w:bidi="ar-DZ"/>
        </w:rPr>
        <w:t>I-4 - Noms vernaculaires</w:t>
      </w:r>
    </w:p>
    <w:p w14:paraId="27E95C67" w14:textId="77777777" w:rsidR="003E3FB4" w:rsidRDefault="00385ED0">
      <w:pPr>
        <w:tabs>
          <w:tab w:val="left" w:pos="6173"/>
        </w:tabs>
        <w:spacing w:line="360" w:lineRule="auto"/>
        <w:jc w:val="both"/>
        <w:rPr>
          <w:rFonts w:asciiTheme="majorBidi" w:hAnsiTheme="majorBidi" w:cstheme="majorBidi"/>
          <w:b/>
          <w:bCs/>
          <w:sz w:val="24"/>
          <w:szCs w:val="24"/>
          <w:lang w:bidi="ar-DZ"/>
        </w:rPr>
      </w:pPr>
      <w:r>
        <w:rPr>
          <w:rFonts w:asciiTheme="majorBidi" w:hAnsiTheme="majorBidi" w:cstheme="majorBidi"/>
          <w:sz w:val="24"/>
          <w:szCs w:val="24"/>
          <w:lang w:bidi="ar-DZ"/>
        </w:rPr>
        <w:t xml:space="preserve">           Le fenugrec (</w:t>
      </w:r>
      <w:r>
        <w:rPr>
          <w:rFonts w:asciiTheme="majorBidi" w:hAnsiTheme="majorBidi" w:cstheme="majorBidi"/>
          <w:i/>
          <w:iCs/>
          <w:sz w:val="24"/>
          <w:szCs w:val="24"/>
          <w:lang w:bidi="ar-DZ"/>
        </w:rPr>
        <w:t>Trigonella foenum-graecum</w:t>
      </w:r>
      <w:r>
        <w:rPr>
          <w:rFonts w:asciiTheme="majorBidi" w:hAnsiTheme="majorBidi" w:cstheme="majorBidi"/>
          <w:sz w:val="24"/>
          <w:szCs w:val="24"/>
          <w:lang w:bidi="ar-DZ"/>
        </w:rPr>
        <w:t xml:space="preserve"> L.) est désigné par divers noms vernaculaires selon les régions du monde </w:t>
      </w:r>
      <w:r>
        <w:rPr>
          <w:rFonts w:asciiTheme="majorBidi" w:hAnsiTheme="majorBidi" w:cstheme="majorBidi"/>
          <w:b/>
          <w:bCs/>
          <w:sz w:val="24"/>
          <w:szCs w:val="24"/>
          <w:lang w:bidi="ar-DZ"/>
        </w:rPr>
        <w:t>(Tableau I.1).</w:t>
      </w:r>
    </w:p>
    <w:p w14:paraId="3E8A938A" w14:textId="77777777" w:rsidR="003E3FB4" w:rsidRDefault="00385ED0">
      <w:pPr>
        <w:tabs>
          <w:tab w:val="left" w:pos="6173"/>
        </w:tabs>
        <w:spacing w:line="360" w:lineRule="auto"/>
        <w:jc w:val="center"/>
        <w:rPr>
          <w:rFonts w:asciiTheme="majorBidi" w:hAnsiTheme="majorBidi" w:cstheme="majorBidi"/>
          <w:b/>
          <w:bCs/>
          <w:sz w:val="24"/>
          <w:szCs w:val="24"/>
          <w:lang w:bidi="ar-DZ"/>
        </w:rPr>
      </w:pPr>
      <w:r>
        <w:rPr>
          <w:rFonts w:asciiTheme="majorBidi" w:hAnsiTheme="majorBidi" w:cstheme="majorBidi"/>
          <w:b/>
          <w:bCs/>
          <w:sz w:val="24"/>
          <w:szCs w:val="24"/>
          <w:lang w:bidi="ar-DZ"/>
        </w:rPr>
        <w:t>Tableau I.1</w:t>
      </w:r>
      <w:r>
        <w:rPr>
          <w:rFonts w:asciiTheme="majorBidi" w:hAnsiTheme="majorBidi" w:cstheme="majorBidi"/>
          <w:sz w:val="24"/>
          <w:szCs w:val="24"/>
          <w:lang w:bidi="ar-DZ"/>
        </w:rPr>
        <w:t xml:space="preserve"> : Noms communs de fenugrec (</w:t>
      </w:r>
      <w:r>
        <w:rPr>
          <w:rFonts w:asciiTheme="majorBidi" w:hAnsiTheme="majorBidi" w:cstheme="majorBidi"/>
          <w:i/>
          <w:iCs/>
          <w:sz w:val="24"/>
          <w:szCs w:val="24"/>
          <w:lang w:bidi="ar-DZ"/>
        </w:rPr>
        <w:t>Trigonella foenum- graecum</w:t>
      </w:r>
      <w:r>
        <w:rPr>
          <w:rFonts w:asciiTheme="majorBidi" w:hAnsiTheme="majorBidi" w:cstheme="majorBidi"/>
          <w:sz w:val="24"/>
          <w:szCs w:val="24"/>
          <w:lang w:bidi="ar-DZ"/>
        </w:rPr>
        <w:t xml:space="preserve"> L.</w:t>
      </w:r>
      <w:r>
        <w:rPr>
          <w:rFonts w:asciiTheme="majorBidi" w:hAnsiTheme="majorBidi" w:cstheme="majorBidi"/>
          <w:b/>
          <w:bCs/>
          <w:sz w:val="24"/>
          <w:szCs w:val="24"/>
          <w:lang w:bidi="ar-DZ"/>
        </w:rPr>
        <w:t>) (Jhajhria et Kumar,2016)</w:t>
      </w:r>
    </w:p>
    <w:tbl>
      <w:tblPr>
        <w:tblStyle w:val="Tableausimple21"/>
        <w:tblW w:w="0" w:type="auto"/>
        <w:jc w:val="center"/>
        <w:tblLook w:val="04A0" w:firstRow="1" w:lastRow="0" w:firstColumn="1" w:lastColumn="0" w:noHBand="0" w:noVBand="1"/>
      </w:tblPr>
      <w:tblGrid>
        <w:gridCol w:w="1698"/>
        <w:gridCol w:w="3827"/>
      </w:tblGrid>
      <w:tr w:rsidR="003E3FB4" w14:paraId="1DBF5AA6" w14:textId="77777777" w:rsidTr="003E3FB4">
        <w:trPr>
          <w:cnfStyle w:val="100000000000" w:firstRow="1" w:lastRow="0" w:firstColumn="0" w:lastColumn="0" w:oddVBand="0" w:evenVBand="0" w:oddHBand="0" w:evenHBand="0" w:firstRowFirstColumn="0" w:firstRowLastColumn="0" w:lastRowFirstColumn="0" w:lastRowLastColumn="0"/>
          <w:trHeight w:val="369"/>
          <w:jc w:val="center"/>
        </w:trPr>
        <w:tc>
          <w:tcPr>
            <w:cnfStyle w:val="001000000000" w:firstRow="0" w:lastRow="0" w:firstColumn="1" w:lastColumn="0" w:oddVBand="0" w:evenVBand="0" w:oddHBand="0" w:evenHBand="0" w:firstRowFirstColumn="0" w:firstRowLastColumn="0" w:lastRowFirstColumn="0" w:lastRowLastColumn="0"/>
            <w:tcW w:w="1698" w:type="dxa"/>
            <w:tcBorders>
              <w:top w:val="single" w:sz="4" w:space="0" w:color="7F7F7F" w:themeColor="text1" w:themeTint="80"/>
              <w:left w:val="single" w:sz="4" w:space="0" w:color="7F7F7F" w:themeColor="text1" w:themeTint="80"/>
              <w:right w:val="single" w:sz="4" w:space="0" w:color="7F7F7F" w:themeColor="text1" w:themeTint="80"/>
            </w:tcBorders>
          </w:tcPr>
          <w:p w14:paraId="654AF0D8" w14:textId="77777777" w:rsidR="003E3FB4" w:rsidRDefault="00385ED0">
            <w:pPr>
              <w:tabs>
                <w:tab w:val="left" w:pos="6173"/>
              </w:tabs>
              <w:spacing w:after="0" w:line="240" w:lineRule="auto"/>
              <w:jc w:val="both"/>
              <w:rPr>
                <w:rFonts w:asciiTheme="majorBidi" w:hAnsiTheme="majorBidi" w:cstheme="majorBidi"/>
                <w:lang w:bidi="ar-DZ"/>
              </w:rPr>
            </w:pPr>
            <w:r>
              <w:rPr>
                <w:rFonts w:asciiTheme="majorBidi" w:hAnsiTheme="majorBidi" w:cstheme="majorBidi"/>
                <w:lang w:bidi="ar-DZ"/>
              </w:rPr>
              <w:t xml:space="preserve">Langage </w:t>
            </w:r>
          </w:p>
        </w:tc>
        <w:tc>
          <w:tcPr>
            <w:tcW w:w="3827" w:type="dxa"/>
            <w:tcBorders>
              <w:top w:val="single" w:sz="4" w:space="0" w:color="7F7F7F" w:themeColor="text1" w:themeTint="80"/>
              <w:left w:val="single" w:sz="4" w:space="0" w:color="7F7F7F" w:themeColor="text1" w:themeTint="80"/>
              <w:right w:val="single" w:sz="4" w:space="0" w:color="7F7F7F" w:themeColor="text1" w:themeTint="80"/>
            </w:tcBorders>
          </w:tcPr>
          <w:p w14:paraId="070674E6" w14:textId="77777777" w:rsidR="003E3FB4" w:rsidRDefault="00385ED0">
            <w:pPr>
              <w:tabs>
                <w:tab w:val="left" w:pos="6173"/>
              </w:tabs>
              <w:spacing w:after="0" w:line="240" w:lineRule="auto"/>
              <w:jc w:val="both"/>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lang w:bidi="ar-DZ"/>
              </w:rPr>
            </w:pPr>
            <w:r>
              <w:rPr>
                <w:rFonts w:asciiTheme="majorBidi" w:hAnsiTheme="majorBidi" w:cstheme="majorBidi"/>
                <w:lang w:bidi="ar-DZ"/>
              </w:rPr>
              <w:t>Noms usuels</w:t>
            </w:r>
          </w:p>
        </w:tc>
      </w:tr>
      <w:tr w:rsidR="003E3FB4" w14:paraId="6374962F" w14:textId="77777777" w:rsidTr="003E3FB4">
        <w:trPr>
          <w:trHeight w:val="277"/>
          <w:jc w:val="center"/>
        </w:trPr>
        <w:tc>
          <w:tcPr>
            <w:cnfStyle w:val="001000000000" w:firstRow="0" w:lastRow="0" w:firstColumn="1" w:lastColumn="0" w:oddVBand="0" w:evenVBand="0" w:oddHBand="0" w:evenHBand="0" w:firstRowFirstColumn="0" w:firstRowLastColumn="0" w:lastRowFirstColumn="0" w:lastRowLastColumn="0"/>
            <w:tcW w:w="1698" w:type="dxa"/>
            <w:tcBorders>
              <w:left w:val="single" w:sz="4" w:space="0" w:color="7F7F7F" w:themeColor="text1" w:themeTint="80"/>
              <w:right w:val="single" w:sz="4" w:space="0" w:color="7F7F7F" w:themeColor="text1" w:themeTint="80"/>
            </w:tcBorders>
          </w:tcPr>
          <w:p w14:paraId="51054388" w14:textId="77777777" w:rsidR="003E3FB4" w:rsidRDefault="00385ED0">
            <w:pPr>
              <w:tabs>
                <w:tab w:val="left" w:pos="6173"/>
              </w:tabs>
              <w:spacing w:after="0" w:line="240" w:lineRule="auto"/>
              <w:jc w:val="both"/>
              <w:rPr>
                <w:rFonts w:asciiTheme="majorBidi" w:hAnsiTheme="majorBidi" w:cstheme="majorBidi"/>
                <w:b w:val="0"/>
                <w:bCs w:val="0"/>
                <w:lang w:bidi="ar-DZ"/>
              </w:rPr>
            </w:pPr>
            <w:r>
              <w:rPr>
                <w:rFonts w:asciiTheme="majorBidi" w:hAnsiTheme="majorBidi" w:cstheme="majorBidi"/>
                <w:lang w:bidi="ar-DZ"/>
              </w:rPr>
              <w:t xml:space="preserve">L`arabe </w:t>
            </w:r>
          </w:p>
        </w:tc>
        <w:tc>
          <w:tcPr>
            <w:tcW w:w="3827" w:type="dxa"/>
            <w:tcBorders>
              <w:left w:val="single" w:sz="4" w:space="0" w:color="7F7F7F" w:themeColor="text1" w:themeTint="80"/>
              <w:right w:val="single" w:sz="4" w:space="0" w:color="7F7F7F" w:themeColor="text1" w:themeTint="80"/>
            </w:tcBorders>
          </w:tcPr>
          <w:p w14:paraId="51FC9F35" w14:textId="77777777" w:rsidR="003E3FB4" w:rsidRDefault="00385ED0">
            <w:pPr>
              <w:tabs>
                <w:tab w:val="left" w:pos="6173"/>
              </w:tabs>
              <w:spacing w:after="0" w:line="24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lang w:bidi="ar-DZ"/>
              </w:rPr>
            </w:pPr>
            <w:r>
              <w:rPr>
                <w:rFonts w:asciiTheme="majorBidi" w:hAnsiTheme="majorBidi" w:cstheme="majorBidi" w:hint="cs"/>
                <w:rtl/>
                <w:lang w:bidi="ar-DZ"/>
              </w:rPr>
              <w:t>حلبة</w:t>
            </w:r>
            <w:r>
              <w:rPr>
                <w:rFonts w:asciiTheme="majorBidi" w:hAnsiTheme="majorBidi" w:cstheme="majorBidi"/>
                <w:lang w:bidi="ar-DZ"/>
              </w:rPr>
              <w:t xml:space="preserve"> (Hulba) </w:t>
            </w:r>
          </w:p>
        </w:tc>
      </w:tr>
      <w:tr w:rsidR="003E3FB4" w14:paraId="787097F7" w14:textId="77777777" w:rsidTr="003E3FB4">
        <w:trPr>
          <w:trHeight w:val="139"/>
          <w:jc w:val="center"/>
        </w:trPr>
        <w:tc>
          <w:tcPr>
            <w:cnfStyle w:val="001000000000" w:firstRow="0" w:lastRow="0" w:firstColumn="1" w:lastColumn="0" w:oddVBand="0" w:evenVBand="0" w:oddHBand="0" w:evenHBand="0" w:firstRowFirstColumn="0" w:firstRowLastColumn="0" w:lastRowFirstColumn="0" w:lastRowLastColumn="0"/>
            <w:tcW w:w="1698"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0AB2726D" w14:textId="77777777" w:rsidR="003E3FB4" w:rsidRDefault="00385ED0">
            <w:pPr>
              <w:tabs>
                <w:tab w:val="left" w:pos="6173"/>
              </w:tabs>
              <w:spacing w:after="0" w:line="240" w:lineRule="auto"/>
              <w:jc w:val="both"/>
              <w:rPr>
                <w:rFonts w:asciiTheme="majorBidi" w:hAnsiTheme="majorBidi" w:cstheme="majorBidi"/>
                <w:b w:val="0"/>
                <w:bCs w:val="0"/>
                <w:lang w:bidi="ar-DZ"/>
              </w:rPr>
            </w:pPr>
            <w:r>
              <w:rPr>
                <w:rFonts w:asciiTheme="majorBidi" w:hAnsiTheme="majorBidi" w:cstheme="majorBidi"/>
                <w:lang w:bidi="ar-DZ"/>
              </w:rPr>
              <w:t xml:space="preserve">Anglais </w:t>
            </w:r>
          </w:p>
        </w:tc>
        <w:tc>
          <w:tcPr>
            <w:tcW w:w="3827"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7ADC81E8" w14:textId="77777777" w:rsidR="003E3FB4" w:rsidRDefault="00385ED0">
            <w:pPr>
              <w:tabs>
                <w:tab w:val="left" w:pos="6173"/>
              </w:tabs>
              <w:spacing w:after="0" w:line="24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lang w:bidi="ar-DZ"/>
              </w:rPr>
            </w:pPr>
            <w:r>
              <w:rPr>
                <w:rFonts w:asciiTheme="majorBidi" w:hAnsiTheme="majorBidi" w:cstheme="majorBidi"/>
                <w:lang w:bidi="ar-DZ"/>
              </w:rPr>
              <w:t>Fenugreek</w:t>
            </w:r>
          </w:p>
        </w:tc>
      </w:tr>
      <w:tr w:rsidR="003E3FB4" w14:paraId="74E45923" w14:textId="77777777" w:rsidTr="003E3FB4">
        <w:trPr>
          <w:trHeight w:val="380"/>
          <w:jc w:val="center"/>
        </w:trPr>
        <w:tc>
          <w:tcPr>
            <w:cnfStyle w:val="001000000000" w:firstRow="0" w:lastRow="0" w:firstColumn="1" w:lastColumn="0" w:oddVBand="0" w:evenVBand="0" w:oddHBand="0" w:evenHBand="0" w:firstRowFirstColumn="0" w:firstRowLastColumn="0" w:lastRowFirstColumn="0" w:lastRowLastColumn="0"/>
            <w:tcW w:w="1698" w:type="dxa"/>
            <w:tcBorders>
              <w:left w:val="single" w:sz="4" w:space="0" w:color="7F7F7F" w:themeColor="text1" w:themeTint="80"/>
              <w:right w:val="single" w:sz="4" w:space="0" w:color="7F7F7F" w:themeColor="text1" w:themeTint="80"/>
            </w:tcBorders>
          </w:tcPr>
          <w:p w14:paraId="1282D425" w14:textId="77777777" w:rsidR="003E3FB4" w:rsidRDefault="00385ED0">
            <w:pPr>
              <w:tabs>
                <w:tab w:val="left" w:pos="6173"/>
              </w:tabs>
              <w:spacing w:after="0" w:line="240" w:lineRule="auto"/>
              <w:jc w:val="both"/>
              <w:rPr>
                <w:rFonts w:asciiTheme="majorBidi" w:hAnsiTheme="majorBidi" w:cstheme="majorBidi"/>
                <w:b w:val="0"/>
                <w:bCs w:val="0"/>
                <w:lang w:bidi="ar-DZ"/>
              </w:rPr>
            </w:pPr>
            <w:r>
              <w:rPr>
                <w:rFonts w:asciiTheme="majorBidi" w:hAnsiTheme="majorBidi" w:cstheme="majorBidi"/>
                <w:lang w:bidi="ar-DZ"/>
              </w:rPr>
              <w:t xml:space="preserve">Français </w:t>
            </w:r>
          </w:p>
        </w:tc>
        <w:tc>
          <w:tcPr>
            <w:tcW w:w="3827" w:type="dxa"/>
            <w:tcBorders>
              <w:left w:val="single" w:sz="4" w:space="0" w:color="7F7F7F" w:themeColor="text1" w:themeTint="80"/>
              <w:right w:val="single" w:sz="4" w:space="0" w:color="7F7F7F" w:themeColor="text1" w:themeTint="80"/>
            </w:tcBorders>
          </w:tcPr>
          <w:p w14:paraId="40115B32" w14:textId="77777777" w:rsidR="003E3FB4" w:rsidRDefault="00385ED0">
            <w:pPr>
              <w:tabs>
                <w:tab w:val="left" w:pos="6173"/>
              </w:tabs>
              <w:spacing w:after="0" w:line="24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lang w:bidi="ar-DZ"/>
              </w:rPr>
            </w:pPr>
            <w:r>
              <w:rPr>
                <w:rFonts w:asciiTheme="majorBidi" w:hAnsiTheme="majorBidi" w:cstheme="majorBidi"/>
                <w:lang w:bidi="ar-DZ"/>
              </w:rPr>
              <w:t xml:space="preserve">Fenugrec </w:t>
            </w:r>
          </w:p>
        </w:tc>
      </w:tr>
      <w:tr w:rsidR="003E3FB4" w:rsidRPr="0093420B" w14:paraId="1ECBF10E" w14:textId="77777777" w:rsidTr="003E3FB4">
        <w:trPr>
          <w:trHeight w:val="344"/>
          <w:jc w:val="center"/>
        </w:trPr>
        <w:tc>
          <w:tcPr>
            <w:cnfStyle w:val="001000000000" w:firstRow="0" w:lastRow="0" w:firstColumn="1" w:lastColumn="0" w:oddVBand="0" w:evenVBand="0" w:oddHBand="0" w:evenHBand="0" w:firstRowFirstColumn="0" w:firstRowLastColumn="0" w:lastRowFirstColumn="0" w:lastRowLastColumn="0"/>
            <w:tcW w:w="1698"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773C9AF5" w14:textId="77777777" w:rsidR="003E3FB4" w:rsidRDefault="00385ED0">
            <w:pPr>
              <w:tabs>
                <w:tab w:val="left" w:pos="6173"/>
              </w:tabs>
              <w:spacing w:after="0" w:line="240" w:lineRule="auto"/>
              <w:jc w:val="both"/>
              <w:rPr>
                <w:rFonts w:asciiTheme="majorBidi" w:hAnsiTheme="majorBidi" w:cstheme="majorBidi"/>
                <w:b w:val="0"/>
                <w:bCs w:val="0"/>
                <w:lang w:bidi="ar-DZ"/>
              </w:rPr>
            </w:pPr>
            <w:r>
              <w:rPr>
                <w:rFonts w:asciiTheme="majorBidi" w:hAnsiTheme="majorBidi" w:cstheme="majorBidi"/>
                <w:lang w:bidi="ar-DZ"/>
              </w:rPr>
              <w:t xml:space="preserve">Inde </w:t>
            </w:r>
          </w:p>
        </w:tc>
        <w:tc>
          <w:tcPr>
            <w:tcW w:w="3827"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6B11A3F5" w14:textId="77777777" w:rsidR="003E3FB4" w:rsidRDefault="00385ED0">
            <w:pPr>
              <w:tabs>
                <w:tab w:val="left" w:pos="6173"/>
              </w:tabs>
              <w:spacing w:after="0" w:line="24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lang w:val="en-US" w:bidi="ar-DZ"/>
              </w:rPr>
            </w:pPr>
            <w:r>
              <w:rPr>
                <w:rFonts w:asciiTheme="majorBidi" w:hAnsiTheme="majorBidi" w:cstheme="majorBidi"/>
                <w:lang w:val="en-US" w:bidi="ar-DZ"/>
              </w:rPr>
              <w:t>Methi, saag methi, Kasuri methi</w:t>
            </w:r>
          </w:p>
        </w:tc>
      </w:tr>
      <w:tr w:rsidR="003E3FB4" w14:paraId="7F8B9C3A" w14:textId="77777777" w:rsidTr="003E3FB4">
        <w:trPr>
          <w:trHeight w:val="456"/>
          <w:jc w:val="center"/>
        </w:trPr>
        <w:tc>
          <w:tcPr>
            <w:cnfStyle w:val="001000000000" w:firstRow="0" w:lastRow="0" w:firstColumn="1" w:lastColumn="0" w:oddVBand="0" w:evenVBand="0" w:oddHBand="0" w:evenHBand="0" w:firstRowFirstColumn="0" w:firstRowLastColumn="0" w:lastRowFirstColumn="0" w:lastRowLastColumn="0"/>
            <w:tcW w:w="1698" w:type="dxa"/>
            <w:tcBorders>
              <w:left w:val="single" w:sz="4" w:space="0" w:color="7F7F7F" w:themeColor="text1" w:themeTint="80"/>
              <w:right w:val="single" w:sz="4" w:space="0" w:color="7F7F7F" w:themeColor="text1" w:themeTint="80"/>
            </w:tcBorders>
          </w:tcPr>
          <w:p w14:paraId="10EB7417" w14:textId="77777777" w:rsidR="003E3FB4" w:rsidRDefault="00385ED0">
            <w:pPr>
              <w:tabs>
                <w:tab w:val="left" w:pos="6173"/>
              </w:tabs>
              <w:spacing w:after="0" w:line="240" w:lineRule="auto"/>
              <w:jc w:val="both"/>
              <w:rPr>
                <w:rFonts w:asciiTheme="majorBidi" w:hAnsiTheme="majorBidi" w:cstheme="majorBidi"/>
                <w:b w:val="0"/>
                <w:bCs w:val="0"/>
                <w:lang w:bidi="ar-DZ"/>
              </w:rPr>
            </w:pPr>
            <w:r>
              <w:rPr>
                <w:rFonts w:asciiTheme="majorBidi" w:hAnsiTheme="majorBidi" w:cstheme="majorBidi"/>
                <w:lang w:bidi="ar-DZ"/>
              </w:rPr>
              <w:t>Allemande</w:t>
            </w:r>
          </w:p>
        </w:tc>
        <w:tc>
          <w:tcPr>
            <w:tcW w:w="3827" w:type="dxa"/>
            <w:tcBorders>
              <w:left w:val="single" w:sz="4" w:space="0" w:color="7F7F7F" w:themeColor="text1" w:themeTint="80"/>
              <w:right w:val="single" w:sz="4" w:space="0" w:color="7F7F7F" w:themeColor="text1" w:themeTint="80"/>
            </w:tcBorders>
          </w:tcPr>
          <w:p w14:paraId="33D14D34" w14:textId="77777777" w:rsidR="003E3FB4" w:rsidRDefault="00385ED0">
            <w:pPr>
              <w:tabs>
                <w:tab w:val="left" w:pos="6173"/>
              </w:tabs>
              <w:spacing w:after="0" w:line="24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lang w:bidi="ar-DZ"/>
              </w:rPr>
            </w:pPr>
            <w:r>
              <w:rPr>
                <w:rFonts w:asciiTheme="majorBidi" w:hAnsiTheme="majorBidi" w:cstheme="majorBidi"/>
                <w:lang w:bidi="ar-DZ"/>
              </w:rPr>
              <w:t>Bockshornklee, griechish heu</w:t>
            </w:r>
          </w:p>
        </w:tc>
      </w:tr>
      <w:tr w:rsidR="003E3FB4" w14:paraId="6A51E3F0" w14:textId="77777777" w:rsidTr="003E3FB4">
        <w:trPr>
          <w:trHeight w:val="333"/>
          <w:jc w:val="center"/>
        </w:trPr>
        <w:tc>
          <w:tcPr>
            <w:cnfStyle w:val="001000000000" w:firstRow="0" w:lastRow="0" w:firstColumn="1" w:lastColumn="0" w:oddVBand="0" w:evenVBand="0" w:oddHBand="0" w:evenHBand="0" w:firstRowFirstColumn="0" w:firstRowLastColumn="0" w:lastRowFirstColumn="0" w:lastRowLastColumn="0"/>
            <w:tcW w:w="1698"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29F56332" w14:textId="77777777" w:rsidR="003E3FB4" w:rsidRDefault="00385ED0">
            <w:pPr>
              <w:tabs>
                <w:tab w:val="left" w:pos="6173"/>
              </w:tabs>
              <w:spacing w:after="0" w:line="240" w:lineRule="auto"/>
              <w:jc w:val="both"/>
              <w:rPr>
                <w:rFonts w:asciiTheme="majorBidi" w:hAnsiTheme="majorBidi" w:cstheme="majorBidi"/>
                <w:b w:val="0"/>
                <w:bCs w:val="0"/>
                <w:lang w:bidi="ar-DZ"/>
              </w:rPr>
            </w:pPr>
            <w:r>
              <w:rPr>
                <w:rFonts w:asciiTheme="majorBidi" w:hAnsiTheme="majorBidi" w:cstheme="majorBidi"/>
                <w:lang w:bidi="ar-DZ"/>
              </w:rPr>
              <w:t xml:space="preserve">Japonaises </w:t>
            </w:r>
          </w:p>
        </w:tc>
        <w:tc>
          <w:tcPr>
            <w:tcW w:w="3827"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45EB2E09" w14:textId="77777777" w:rsidR="003E3FB4" w:rsidRDefault="00385ED0">
            <w:pPr>
              <w:tabs>
                <w:tab w:val="left" w:pos="6173"/>
              </w:tabs>
              <w:spacing w:after="0" w:line="24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lang w:bidi="ar-DZ"/>
              </w:rPr>
            </w:pPr>
            <w:r>
              <w:rPr>
                <w:rFonts w:asciiTheme="majorBidi" w:hAnsiTheme="majorBidi" w:cstheme="majorBidi"/>
                <w:lang w:bidi="ar-DZ"/>
              </w:rPr>
              <w:t>Koruha, fenu-guriku</w:t>
            </w:r>
          </w:p>
        </w:tc>
      </w:tr>
      <w:tr w:rsidR="003E3FB4" w14:paraId="76670B27" w14:textId="77777777" w:rsidTr="003E3FB4">
        <w:trPr>
          <w:trHeight w:val="407"/>
          <w:jc w:val="center"/>
        </w:trPr>
        <w:tc>
          <w:tcPr>
            <w:cnfStyle w:val="001000000000" w:firstRow="0" w:lastRow="0" w:firstColumn="1" w:lastColumn="0" w:oddVBand="0" w:evenVBand="0" w:oddHBand="0" w:evenHBand="0" w:firstRowFirstColumn="0" w:firstRowLastColumn="0" w:lastRowFirstColumn="0" w:lastRowLastColumn="0"/>
            <w:tcW w:w="1698" w:type="dxa"/>
            <w:tcBorders>
              <w:left w:val="single" w:sz="4" w:space="0" w:color="7F7F7F" w:themeColor="text1" w:themeTint="80"/>
              <w:right w:val="single" w:sz="4" w:space="0" w:color="7F7F7F" w:themeColor="text1" w:themeTint="80"/>
            </w:tcBorders>
          </w:tcPr>
          <w:p w14:paraId="62A251C4" w14:textId="77777777" w:rsidR="003E3FB4" w:rsidRDefault="00385ED0">
            <w:pPr>
              <w:tabs>
                <w:tab w:val="left" w:pos="6173"/>
              </w:tabs>
              <w:spacing w:after="0" w:line="240" w:lineRule="auto"/>
              <w:jc w:val="both"/>
              <w:rPr>
                <w:rFonts w:asciiTheme="majorBidi" w:hAnsiTheme="majorBidi" w:cstheme="majorBidi"/>
                <w:b w:val="0"/>
                <w:bCs w:val="0"/>
                <w:lang w:val="en-US" w:bidi="ar-DZ"/>
              </w:rPr>
            </w:pPr>
            <w:r>
              <w:rPr>
                <w:rFonts w:asciiTheme="majorBidi" w:hAnsiTheme="majorBidi" w:cstheme="majorBidi"/>
                <w:lang w:bidi="ar-DZ"/>
              </w:rPr>
              <w:t>N</w:t>
            </w:r>
            <w:r>
              <w:rPr>
                <w:rFonts w:asciiTheme="majorBidi" w:hAnsiTheme="majorBidi" w:cstheme="majorBidi" w:hint="cs"/>
                <w:rtl/>
                <w:lang w:bidi="ar-DZ"/>
              </w:rPr>
              <w:t>é</w:t>
            </w:r>
            <w:r>
              <w:rPr>
                <w:rFonts w:asciiTheme="majorBidi" w:hAnsiTheme="majorBidi" w:cstheme="majorBidi"/>
                <w:lang w:val="en-US" w:bidi="ar-DZ"/>
              </w:rPr>
              <w:t xml:space="preserve">erlandais  </w:t>
            </w:r>
          </w:p>
        </w:tc>
        <w:tc>
          <w:tcPr>
            <w:tcW w:w="3827" w:type="dxa"/>
            <w:tcBorders>
              <w:left w:val="single" w:sz="4" w:space="0" w:color="7F7F7F" w:themeColor="text1" w:themeTint="80"/>
              <w:right w:val="single" w:sz="4" w:space="0" w:color="7F7F7F" w:themeColor="text1" w:themeTint="80"/>
            </w:tcBorders>
          </w:tcPr>
          <w:p w14:paraId="0827B568" w14:textId="77777777" w:rsidR="003E3FB4" w:rsidRDefault="00385ED0">
            <w:pPr>
              <w:tabs>
                <w:tab w:val="left" w:pos="6173"/>
              </w:tabs>
              <w:spacing w:after="0" w:line="24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lang w:bidi="ar-DZ"/>
              </w:rPr>
            </w:pPr>
            <w:r>
              <w:rPr>
                <w:rFonts w:asciiTheme="majorBidi" w:hAnsiTheme="majorBidi" w:cstheme="majorBidi"/>
                <w:lang w:bidi="ar-DZ"/>
              </w:rPr>
              <w:t>Fenugriek</w:t>
            </w:r>
          </w:p>
        </w:tc>
      </w:tr>
      <w:tr w:rsidR="003E3FB4" w14:paraId="5A338110" w14:textId="77777777" w:rsidTr="003E3FB4">
        <w:trPr>
          <w:trHeight w:val="413"/>
          <w:jc w:val="center"/>
        </w:trPr>
        <w:tc>
          <w:tcPr>
            <w:cnfStyle w:val="001000000000" w:firstRow="0" w:lastRow="0" w:firstColumn="1" w:lastColumn="0" w:oddVBand="0" w:evenVBand="0" w:oddHBand="0" w:evenHBand="0" w:firstRowFirstColumn="0" w:firstRowLastColumn="0" w:lastRowFirstColumn="0" w:lastRowLastColumn="0"/>
            <w:tcW w:w="1698"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6A23D618" w14:textId="77777777" w:rsidR="003E3FB4" w:rsidRDefault="00385ED0">
            <w:pPr>
              <w:tabs>
                <w:tab w:val="left" w:pos="6173"/>
              </w:tabs>
              <w:spacing w:after="0" w:line="240" w:lineRule="auto"/>
              <w:jc w:val="both"/>
              <w:rPr>
                <w:rFonts w:asciiTheme="majorBidi" w:hAnsiTheme="majorBidi" w:cstheme="majorBidi"/>
                <w:b w:val="0"/>
                <w:bCs w:val="0"/>
                <w:lang w:bidi="ar-DZ"/>
              </w:rPr>
            </w:pPr>
            <w:r>
              <w:rPr>
                <w:rFonts w:asciiTheme="majorBidi" w:hAnsiTheme="majorBidi" w:cstheme="majorBidi"/>
                <w:lang w:bidi="ar-DZ"/>
              </w:rPr>
              <w:t xml:space="preserve">Roumain </w:t>
            </w:r>
          </w:p>
        </w:tc>
        <w:tc>
          <w:tcPr>
            <w:tcW w:w="3827"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7BD94B87" w14:textId="77777777" w:rsidR="003E3FB4" w:rsidRDefault="00385ED0">
            <w:pPr>
              <w:tabs>
                <w:tab w:val="left" w:pos="6173"/>
              </w:tabs>
              <w:spacing w:after="0" w:line="24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lang w:bidi="ar-DZ"/>
              </w:rPr>
            </w:pPr>
            <w:r>
              <w:rPr>
                <w:rFonts w:asciiTheme="majorBidi" w:hAnsiTheme="majorBidi" w:cstheme="majorBidi"/>
                <w:lang w:bidi="ar-DZ"/>
              </w:rPr>
              <w:t>Molotru, Molotru cmun, schinduf</w:t>
            </w:r>
          </w:p>
        </w:tc>
      </w:tr>
      <w:tr w:rsidR="003E3FB4" w14:paraId="0F4A2D11" w14:textId="77777777" w:rsidTr="003E3FB4">
        <w:trPr>
          <w:trHeight w:val="406"/>
          <w:jc w:val="center"/>
        </w:trPr>
        <w:tc>
          <w:tcPr>
            <w:cnfStyle w:val="001000000000" w:firstRow="0" w:lastRow="0" w:firstColumn="1" w:lastColumn="0" w:oddVBand="0" w:evenVBand="0" w:oddHBand="0" w:evenHBand="0" w:firstRowFirstColumn="0" w:firstRowLastColumn="0" w:lastRowFirstColumn="0" w:lastRowLastColumn="0"/>
            <w:tcW w:w="1698" w:type="dxa"/>
            <w:tcBorders>
              <w:left w:val="single" w:sz="4" w:space="0" w:color="7F7F7F" w:themeColor="text1" w:themeTint="80"/>
              <w:right w:val="single" w:sz="4" w:space="0" w:color="7F7F7F" w:themeColor="text1" w:themeTint="80"/>
            </w:tcBorders>
          </w:tcPr>
          <w:p w14:paraId="04EB28F2" w14:textId="77777777" w:rsidR="003E3FB4" w:rsidRDefault="00385ED0">
            <w:pPr>
              <w:tabs>
                <w:tab w:val="left" w:pos="6173"/>
              </w:tabs>
              <w:spacing w:after="0" w:line="240" w:lineRule="auto"/>
              <w:jc w:val="both"/>
              <w:rPr>
                <w:rFonts w:asciiTheme="majorBidi" w:hAnsiTheme="majorBidi" w:cstheme="majorBidi"/>
                <w:b w:val="0"/>
                <w:bCs w:val="0"/>
                <w:lang w:bidi="ar-DZ"/>
              </w:rPr>
            </w:pPr>
            <w:r>
              <w:rPr>
                <w:rFonts w:asciiTheme="majorBidi" w:hAnsiTheme="majorBidi" w:cstheme="majorBidi"/>
                <w:lang w:bidi="ar-DZ"/>
              </w:rPr>
              <w:t xml:space="preserve">Turc </w:t>
            </w:r>
          </w:p>
        </w:tc>
        <w:tc>
          <w:tcPr>
            <w:tcW w:w="3827" w:type="dxa"/>
            <w:tcBorders>
              <w:left w:val="single" w:sz="4" w:space="0" w:color="7F7F7F" w:themeColor="text1" w:themeTint="80"/>
              <w:right w:val="single" w:sz="4" w:space="0" w:color="7F7F7F" w:themeColor="text1" w:themeTint="80"/>
            </w:tcBorders>
          </w:tcPr>
          <w:p w14:paraId="4C8E6F21" w14:textId="77777777" w:rsidR="003E3FB4" w:rsidRDefault="00385ED0">
            <w:pPr>
              <w:tabs>
                <w:tab w:val="left" w:pos="6173"/>
              </w:tabs>
              <w:spacing w:after="0" w:line="24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lang w:bidi="ar-DZ"/>
              </w:rPr>
            </w:pPr>
            <w:r>
              <w:rPr>
                <w:rFonts w:asciiTheme="majorBidi" w:hAnsiTheme="majorBidi" w:cstheme="majorBidi" w:hint="cs"/>
                <w:rtl/>
                <w:lang w:bidi="ar-DZ"/>
              </w:rPr>
              <w:t>ç</w:t>
            </w:r>
            <w:r>
              <w:rPr>
                <w:rFonts w:asciiTheme="majorBidi" w:hAnsiTheme="majorBidi" w:cstheme="majorBidi"/>
                <w:lang w:bidi="ar-DZ"/>
              </w:rPr>
              <w:t>emen</w:t>
            </w:r>
          </w:p>
        </w:tc>
      </w:tr>
      <w:tr w:rsidR="003E3FB4" w14:paraId="5614FC44" w14:textId="77777777" w:rsidTr="003E3FB4">
        <w:trPr>
          <w:trHeight w:val="492"/>
          <w:jc w:val="center"/>
        </w:trPr>
        <w:tc>
          <w:tcPr>
            <w:cnfStyle w:val="001000000000" w:firstRow="0" w:lastRow="0" w:firstColumn="1" w:lastColumn="0" w:oddVBand="0" w:evenVBand="0" w:oddHBand="0" w:evenHBand="0" w:firstRowFirstColumn="0" w:firstRowLastColumn="0" w:lastRowFirstColumn="0" w:lastRowLastColumn="0"/>
            <w:tcW w:w="1698"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2BAFA41E" w14:textId="77777777" w:rsidR="003E3FB4" w:rsidRDefault="00385ED0">
            <w:pPr>
              <w:tabs>
                <w:tab w:val="left" w:pos="6173"/>
              </w:tabs>
              <w:spacing w:after="0" w:line="240" w:lineRule="auto"/>
              <w:jc w:val="both"/>
              <w:rPr>
                <w:rFonts w:asciiTheme="majorBidi" w:hAnsiTheme="majorBidi" w:cstheme="majorBidi"/>
                <w:b w:val="0"/>
                <w:bCs w:val="0"/>
                <w:lang w:bidi="ar-DZ"/>
              </w:rPr>
            </w:pPr>
            <w:r>
              <w:rPr>
                <w:rFonts w:asciiTheme="majorBidi" w:hAnsiTheme="majorBidi" w:cstheme="majorBidi"/>
                <w:lang w:bidi="ar-DZ"/>
              </w:rPr>
              <w:t xml:space="preserve">Espagnole </w:t>
            </w:r>
          </w:p>
        </w:tc>
        <w:tc>
          <w:tcPr>
            <w:tcW w:w="3827" w:type="dxa"/>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0C37DC8E" w14:textId="77777777" w:rsidR="003E3FB4" w:rsidRDefault="00385ED0">
            <w:pPr>
              <w:tabs>
                <w:tab w:val="left" w:pos="6173"/>
              </w:tabs>
              <w:spacing w:after="0" w:line="24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lang w:bidi="ar-DZ"/>
              </w:rPr>
            </w:pPr>
            <w:r>
              <w:rPr>
                <w:rFonts w:asciiTheme="majorBidi" w:hAnsiTheme="majorBidi" w:cstheme="majorBidi"/>
                <w:lang w:bidi="ar-DZ"/>
              </w:rPr>
              <w:t xml:space="preserve">Alholva </w:t>
            </w:r>
          </w:p>
        </w:tc>
      </w:tr>
    </w:tbl>
    <w:p w14:paraId="7E1E9DE2" w14:textId="77777777" w:rsidR="003E3FB4" w:rsidRDefault="003E3FB4">
      <w:pPr>
        <w:tabs>
          <w:tab w:val="left" w:pos="6173"/>
        </w:tabs>
        <w:spacing w:after="0" w:line="360" w:lineRule="auto"/>
        <w:jc w:val="both"/>
        <w:rPr>
          <w:rFonts w:asciiTheme="majorBidi" w:hAnsiTheme="majorBidi" w:cstheme="majorBidi"/>
          <w:b/>
          <w:bCs/>
          <w:sz w:val="26"/>
          <w:szCs w:val="26"/>
          <w:lang w:bidi="ar-DZ"/>
        </w:rPr>
      </w:pPr>
    </w:p>
    <w:p w14:paraId="779BD77E" w14:textId="77777777" w:rsidR="003E3FB4" w:rsidRDefault="00385ED0">
      <w:pPr>
        <w:tabs>
          <w:tab w:val="left" w:pos="6173"/>
        </w:tabs>
        <w:spacing w:after="0" w:line="360" w:lineRule="auto"/>
        <w:jc w:val="both"/>
        <w:rPr>
          <w:rFonts w:asciiTheme="majorBidi" w:hAnsiTheme="majorBidi" w:cstheme="majorBidi"/>
          <w:b/>
          <w:bCs/>
          <w:sz w:val="26"/>
          <w:szCs w:val="26"/>
          <w:lang w:bidi="ar-DZ"/>
        </w:rPr>
      </w:pPr>
      <w:r>
        <w:rPr>
          <w:rFonts w:asciiTheme="majorBidi" w:hAnsiTheme="majorBidi" w:cstheme="majorBidi"/>
          <w:b/>
          <w:bCs/>
          <w:sz w:val="26"/>
          <w:szCs w:val="26"/>
          <w:lang w:bidi="ar-DZ"/>
        </w:rPr>
        <w:t>I-5</w:t>
      </w:r>
      <w:r>
        <w:rPr>
          <w:rFonts w:asciiTheme="majorBidi" w:hAnsiTheme="majorBidi" w:cstheme="majorBidi"/>
          <w:sz w:val="26"/>
          <w:szCs w:val="26"/>
          <w:lang w:bidi="ar-DZ"/>
        </w:rPr>
        <w:t xml:space="preserve"> -</w:t>
      </w:r>
      <w:r>
        <w:rPr>
          <w:rFonts w:asciiTheme="majorBidi" w:hAnsiTheme="majorBidi" w:cstheme="majorBidi"/>
          <w:b/>
          <w:bCs/>
          <w:sz w:val="26"/>
          <w:szCs w:val="26"/>
          <w:lang w:bidi="ar-DZ"/>
        </w:rPr>
        <w:t xml:space="preserve"> Répartition géographique</w:t>
      </w:r>
    </w:p>
    <w:p w14:paraId="30A6E84C" w14:textId="77777777" w:rsidR="003E3FB4" w:rsidRDefault="00385ED0">
      <w:pPr>
        <w:tabs>
          <w:tab w:val="left" w:pos="6173"/>
        </w:tabs>
        <w:spacing w:after="0" w:line="360" w:lineRule="auto"/>
        <w:ind w:firstLine="567"/>
        <w:jc w:val="both"/>
        <w:rPr>
          <w:rFonts w:asciiTheme="majorBidi" w:hAnsiTheme="majorBidi" w:cstheme="majorBidi"/>
          <w:sz w:val="24"/>
          <w:szCs w:val="24"/>
          <w:lang w:bidi="ar-DZ"/>
        </w:rPr>
      </w:pPr>
      <w:r>
        <w:rPr>
          <w:rFonts w:asciiTheme="majorBidi" w:hAnsiTheme="majorBidi" w:cstheme="majorBidi"/>
          <w:sz w:val="24"/>
          <w:szCs w:val="24"/>
          <w:lang w:bidi="ar-DZ"/>
        </w:rPr>
        <w:t>Le fenugrec se développe naturellement dans diverses régions telles que le Pendjab et le Cachemire, le désert mésopotamien, la Perse, ainsi que dans plusieurs pays européens, notamment la Grèce, l’Italie et l’Espagne (</w:t>
      </w:r>
      <w:r>
        <w:rPr>
          <w:rFonts w:asciiTheme="majorBidi" w:hAnsiTheme="majorBidi" w:cstheme="majorBidi"/>
          <w:b/>
          <w:bCs/>
          <w:sz w:val="24"/>
          <w:szCs w:val="24"/>
          <w:lang w:bidi="ar-DZ"/>
        </w:rPr>
        <w:t>Zand</w:t>
      </w:r>
      <w:r>
        <w:rPr>
          <w:rFonts w:asciiTheme="majorBidi" w:hAnsiTheme="majorBidi" w:cstheme="majorBidi"/>
          <w:sz w:val="24"/>
          <w:szCs w:val="24"/>
          <w:lang w:bidi="ar-DZ"/>
        </w:rPr>
        <w:t xml:space="preserve">i </w:t>
      </w:r>
      <w:r>
        <w:rPr>
          <w:rFonts w:asciiTheme="majorBidi" w:hAnsiTheme="majorBidi" w:cstheme="majorBidi"/>
          <w:b/>
          <w:bCs/>
          <w:sz w:val="24"/>
          <w:szCs w:val="24"/>
          <w:lang w:bidi="ar-DZ"/>
        </w:rPr>
        <w:t xml:space="preserve">et </w:t>
      </w:r>
      <w:r>
        <w:rPr>
          <w:rFonts w:asciiTheme="majorBidi" w:hAnsiTheme="majorBidi" w:cstheme="majorBidi"/>
          <w:b/>
          <w:bCs/>
          <w:i/>
          <w:iCs/>
          <w:sz w:val="24"/>
          <w:szCs w:val="24"/>
          <w:lang w:bidi="ar-DZ"/>
        </w:rPr>
        <w:t>al</w:t>
      </w:r>
      <w:r>
        <w:rPr>
          <w:rFonts w:asciiTheme="majorBidi" w:hAnsiTheme="majorBidi" w:cstheme="majorBidi"/>
          <w:b/>
          <w:bCs/>
          <w:sz w:val="24"/>
          <w:szCs w:val="24"/>
          <w:lang w:bidi="ar-DZ"/>
        </w:rPr>
        <w:t>., 2017).</w:t>
      </w:r>
      <w:r>
        <w:rPr>
          <w:rFonts w:asciiTheme="majorBidi" w:hAnsiTheme="majorBidi" w:cstheme="majorBidi"/>
          <w:sz w:val="24"/>
          <w:szCs w:val="24"/>
          <w:lang w:bidi="ar-DZ"/>
        </w:rPr>
        <w:t xml:space="preserve">Bien que l’Europe méridionale, la région méditerranéenne et l’Asie occidentale soient largement reconnues comme les principaux centres d’origine de cette plante, l’Inde est également considérée comme un foyer important, en particulier dans les zones où le fenugrec croît à l’état sauvage, comme le Cachemire, le Pendjab et les plaines supérieures du Gange </w:t>
      </w:r>
      <w:r>
        <w:rPr>
          <w:rFonts w:asciiTheme="majorBidi" w:hAnsiTheme="majorBidi" w:cstheme="majorBidi"/>
          <w:b/>
          <w:bCs/>
          <w:sz w:val="24"/>
          <w:szCs w:val="24"/>
          <w:lang w:bidi="ar-DZ"/>
        </w:rPr>
        <w:t>(Mamatha et Panyam, 2021)</w:t>
      </w:r>
      <w:r>
        <w:rPr>
          <w:rFonts w:asciiTheme="majorBidi" w:hAnsiTheme="majorBidi" w:cstheme="majorBidi"/>
          <w:sz w:val="24"/>
          <w:szCs w:val="24"/>
          <w:lang w:bidi="ar-DZ"/>
        </w:rPr>
        <w:t>.</w:t>
      </w:r>
    </w:p>
    <w:p w14:paraId="0E2A7844" w14:textId="77777777" w:rsidR="003E3FB4" w:rsidRDefault="00385ED0" w:rsidP="00427A87">
      <w:pPr>
        <w:tabs>
          <w:tab w:val="left" w:pos="6173"/>
        </w:tabs>
        <w:spacing w:after="0" w:line="360" w:lineRule="auto"/>
        <w:ind w:firstLine="567"/>
        <w:jc w:val="both"/>
        <w:rPr>
          <w:rFonts w:asciiTheme="majorBidi" w:hAnsiTheme="majorBidi" w:cstheme="majorBidi"/>
          <w:sz w:val="24"/>
          <w:szCs w:val="24"/>
          <w:lang w:bidi="ar-DZ"/>
        </w:rPr>
      </w:pPr>
      <w:r>
        <w:rPr>
          <w:rFonts w:asciiTheme="majorBidi" w:hAnsiTheme="majorBidi" w:cstheme="majorBidi"/>
          <w:sz w:val="24"/>
          <w:szCs w:val="24"/>
          <w:lang w:bidi="ar-DZ"/>
        </w:rPr>
        <w:t xml:space="preserve">Le fenugrec est originaire d’Afrique du Nord, du Moyen-Orient et du sous-continent indien, avant de se répandre abondamment dans l’ensemble du bassin méditerranéen. Actuellement, ses principaux pays producteurs incluent l’Inde, l’Iran, le Népal, le Bangladesh, le Pakistan, l’Argentine, l’Égypte, la France, l’Espagne, la Turquie, le Maroc et la Chine. Toutefois, sa culture s’est aujourd’hui étendue à l’échelle mondiale </w:t>
      </w:r>
      <w:r>
        <w:rPr>
          <w:rFonts w:asciiTheme="majorBidi" w:hAnsiTheme="majorBidi" w:cstheme="majorBidi"/>
          <w:b/>
          <w:bCs/>
          <w:sz w:val="24"/>
          <w:szCs w:val="24"/>
          <w:lang w:bidi="ar-DZ"/>
        </w:rPr>
        <w:t>(Fig. I.2) (Mahmood, 2013)</w:t>
      </w:r>
      <w:r>
        <w:rPr>
          <w:rFonts w:asciiTheme="majorBidi" w:hAnsiTheme="majorBidi" w:cstheme="majorBidi"/>
          <w:sz w:val="24"/>
          <w:szCs w:val="24"/>
          <w:lang w:bidi="ar-DZ"/>
        </w:rPr>
        <w:t>.</w:t>
      </w:r>
    </w:p>
    <w:p w14:paraId="0E547537" w14:textId="77777777" w:rsidR="003E3FB4" w:rsidRDefault="00385ED0">
      <w:pPr>
        <w:tabs>
          <w:tab w:val="left" w:pos="195"/>
          <w:tab w:val="left" w:pos="6173"/>
        </w:tabs>
        <w:spacing w:after="0" w:line="360" w:lineRule="auto"/>
        <w:jc w:val="center"/>
        <w:rPr>
          <w:rFonts w:asciiTheme="majorBidi" w:hAnsiTheme="majorBidi" w:cstheme="majorBidi"/>
          <w:sz w:val="24"/>
          <w:szCs w:val="24"/>
          <w:lang w:bidi="ar-DZ"/>
        </w:rPr>
      </w:pPr>
      <w:r>
        <w:rPr>
          <w:noProof/>
        </w:rPr>
        <w:drawing>
          <wp:inline distT="0" distB="0" distL="0" distR="0" wp14:anchorId="3BD8B0E8" wp14:editId="03077BFE">
            <wp:extent cx="5502910" cy="3449320"/>
            <wp:effectExtent l="0" t="0" r="2540" b="0"/>
            <wp:docPr id="133294139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2941393" name="Image 1"/>
                    <pic:cNvPicPr>
                      <a:picLocks noChangeAspect="1"/>
                    </pic:cNvPicPr>
                  </pic:nvPicPr>
                  <pic:blipFill>
                    <a:blip r:embed="rId18"/>
                    <a:stretch>
                      <a:fillRect/>
                    </a:stretch>
                  </pic:blipFill>
                  <pic:spPr>
                    <a:xfrm>
                      <a:off x="0" y="0"/>
                      <a:ext cx="5516628" cy="3458091"/>
                    </a:xfrm>
                    <a:prstGeom prst="rect">
                      <a:avLst/>
                    </a:prstGeom>
                  </pic:spPr>
                </pic:pic>
              </a:graphicData>
            </a:graphic>
          </wp:inline>
        </w:drawing>
      </w:r>
    </w:p>
    <w:p w14:paraId="59216E69" w14:textId="77777777" w:rsidR="003E3FB4" w:rsidRDefault="00385ED0">
      <w:pPr>
        <w:tabs>
          <w:tab w:val="left" w:pos="6173"/>
        </w:tabs>
        <w:spacing w:after="0" w:line="360" w:lineRule="auto"/>
        <w:jc w:val="center"/>
        <w:rPr>
          <w:rFonts w:asciiTheme="majorBidi" w:hAnsiTheme="majorBidi" w:cstheme="majorBidi"/>
          <w:b/>
          <w:bCs/>
          <w:sz w:val="24"/>
          <w:szCs w:val="24"/>
          <w:lang w:bidi="ar-DZ"/>
        </w:rPr>
      </w:pPr>
      <w:r>
        <w:rPr>
          <w:rFonts w:asciiTheme="majorBidi" w:hAnsiTheme="majorBidi" w:cstheme="majorBidi"/>
          <w:b/>
          <w:bCs/>
          <w:sz w:val="24"/>
          <w:szCs w:val="24"/>
          <w:lang w:bidi="ar-DZ"/>
        </w:rPr>
        <w:t>Figure I.2.</w:t>
      </w:r>
      <w:r>
        <w:rPr>
          <w:rFonts w:asciiTheme="majorBidi" w:hAnsiTheme="majorBidi" w:cstheme="majorBidi"/>
          <w:sz w:val="24"/>
          <w:szCs w:val="24"/>
          <w:lang w:bidi="ar-DZ"/>
        </w:rPr>
        <w:t xml:space="preserve"> Répartition géographique de fenugrec dans le monde </w:t>
      </w:r>
      <w:r>
        <w:rPr>
          <w:rFonts w:asciiTheme="majorBidi" w:hAnsiTheme="majorBidi" w:cstheme="majorBidi"/>
          <w:b/>
          <w:bCs/>
          <w:sz w:val="24"/>
          <w:szCs w:val="24"/>
          <w:lang w:bidi="ar-DZ"/>
        </w:rPr>
        <w:t xml:space="preserve">(encyclopédie des plante, 2025)  </w:t>
      </w:r>
    </w:p>
    <w:p w14:paraId="72958B28" w14:textId="77777777" w:rsidR="003E3FB4" w:rsidRDefault="003E3FB4">
      <w:pPr>
        <w:tabs>
          <w:tab w:val="left" w:pos="6173"/>
        </w:tabs>
        <w:spacing w:after="0" w:line="360" w:lineRule="auto"/>
        <w:jc w:val="center"/>
        <w:rPr>
          <w:rFonts w:asciiTheme="majorBidi" w:hAnsiTheme="majorBidi" w:cstheme="majorBidi"/>
          <w:b/>
          <w:bCs/>
          <w:sz w:val="24"/>
          <w:szCs w:val="24"/>
          <w:lang w:bidi="ar-DZ"/>
        </w:rPr>
      </w:pPr>
    </w:p>
    <w:p w14:paraId="6E0875A4" w14:textId="77777777" w:rsidR="003E3FB4" w:rsidRDefault="003E3FB4">
      <w:pPr>
        <w:tabs>
          <w:tab w:val="left" w:pos="6173"/>
        </w:tabs>
        <w:spacing w:after="0" w:line="360" w:lineRule="auto"/>
        <w:jc w:val="center"/>
        <w:rPr>
          <w:rFonts w:asciiTheme="majorBidi" w:hAnsiTheme="majorBidi" w:cstheme="majorBidi"/>
          <w:b/>
          <w:bCs/>
          <w:sz w:val="24"/>
          <w:szCs w:val="24"/>
          <w:lang w:bidi="ar-DZ"/>
        </w:rPr>
      </w:pPr>
    </w:p>
    <w:p w14:paraId="7815A1C5" w14:textId="77777777" w:rsidR="00320AF4" w:rsidRDefault="00320AF4">
      <w:pPr>
        <w:tabs>
          <w:tab w:val="left" w:pos="6173"/>
        </w:tabs>
        <w:spacing w:after="0" w:line="360" w:lineRule="auto"/>
        <w:jc w:val="center"/>
        <w:rPr>
          <w:rFonts w:asciiTheme="majorBidi" w:hAnsiTheme="majorBidi" w:cstheme="majorBidi"/>
          <w:b/>
          <w:bCs/>
          <w:sz w:val="24"/>
          <w:szCs w:val="24"/>
          <w:lang w:bidi="ar-DZ"/>
        </w:rPr>
      </w:pPr>
    </w:p>
    <w:p w14:paraId="5595F503" w14:textId="77777777" w:rsidR="003E3FB4" w:rsidRDefault="003E3FB4">
      <w:pPr>
        <w:tabs>
          <w:tab w:val="left" w:pos="6173"/>
        </w:tabs>
        <w:spacing w:after="0" w:line="360" w:lineRule="auto"/>
        <w:jc w:val="center"/>
        <w:rPr>
          <w:rFonts w:asciiTheme="majorBidi" w:hAnsiTheme="majorBidi" w:cstheme="majorBidi"/>
          <w:b/>
          <w:bCs/>
          <w:sz w:val="24"/>
          <w:szCs w:val="24"/>
          <w:lang w:bidi="ar-DZ"/>
        </w:rPr>
      </w:pPr>
    </w:p>
    <w:p w14:paraId="1A9E0423" w14:textId="77777777" w:rsidR="003E3FB4" w:rsidRDefault="00385ED0">
      <w:pPr>
        <w:tabs>
          <w:tab w:val="left" w:pos="6173"/>
        </w:tabs>
        <w:spacing w:after="0" w:line="360" w:lineRule="auto"/>
        <w:jc w:val="both"/>
        <w:rPr>
          <w:rFonts w:asciiTheme="majorBidi" w:hAnsiTheme="majorBidi" w:cstheme="majorBidi"/>
          <w:b/>
          <w:bCs/>
          <w:sz w:val="26"/>
          <w:szCs w:val="26"/>
          <w:lang w:bidi="ar-DZ"/>
        </w:rPr>
      </w:pPr>
      <w:r>
        <w:rPr>
          <w:rFonts w:asciiTheme="majorBidi" w:hAnsiTheme="majorBidi" w:cstheme="majorBidi"/>
          <w:b/>
          <w:bCs/>
          <w:sz w:val="26"/>
          <w:szCs w:val="26"/>
          <w:lang w:bidi="ar-DZ"/>
        </w:rPr>
        <w:t xml:space="preserve">I.6. Composition phytochimique de </w:t>
      </w:r>
      <w:r>
        <w:rPr>
          <w:rFonts w:asciiTheme="majorBidi" w:hAnsiTheme="majorBidi" w:cstheme="majorBidi"/>
          <w:b/>
          <w:bCs/>
          <w:i/>
          <w:iCs/>
          <w:sz w:val="26"/>
          <w:szCs w:val="26"/>
          <w:lang w:bidi="ar-DZ"/>
        </w:rPr>
        <w:t>Trigonella foenum-graecum</w:t>
      </w:r>
      <w:r>
        <w:rPr>
          <w:rFonts w:asciiTheme="majorBidi" w:hAnsiTheme="majorBidi" w:cstheme="majorBidi"/>
          <w:b/>
          <w:bCs/>
          <w:sz w:val="26"/>
          <w:szCs w:val="26"/>
          <w:lang w:bidi="ar-DZ"/>
        </w:rPr>
        <w:t xml:space="preserve"> L. </w:t>
      </w:r>
    </w:p>
    <w:p w14:paraId="3B117793" w14:textId="77777777" w:rsidR="003E3FB4" w:rsidRDefault="00385ED0">
      <w:pPr>
        <w:tabs>
          <w:tab w:val="left" w:pos="6173"/>
        </w:tabs>
        <w:spacing w:after="0" w:line="360" w:lineRule="auto"/>
        <w:jc w:val="both"/>
        <w:rPr>
          <w:rFonts w:asciiTheme="majorBidi" w:hAnsiTheme="majorBidi" w:cstheme="majorBidi"/>
          <w:b/>
          <w:bCs/>
          <w:sz w:val="26"/>
          <w:szCs w:val="26"/>
          <w:lang w:bidi="ar-DZ"/>
        </w:rPr>
      </w:pPr>
      <w:r>
        <w:rPr>
          <w:rFonts w:asciiTheme="majorBidi" w:hAnsiTheme="majorBidi" w:cstheme="majorBidi"/>
          <w:b/>
          <w:bCs/>
          <w:sz w:val="26"/>
          <w:szCs w:val="26"/>
          <w:lang w:bidi="ar-DZ"/>
        </w:rPr>
        <w:t>I.6.1. Les métabolites primaires de fenugrec</w:t>
      </w:r>
    </w:p>
    <w:p w14:paraId="28251979" w14:textId="77777777" w:rsidR="003E3FB4" w:rsidRDefault="00385ED0">
      <w:pPr>
        <w:tabs>
          <w:tab w:val="left" w:pos="6173"/>
        </w:tabs>
        <w:spacing w:line="360" w:lineRule="auto"/>
        <w:ind w:firstLine="567"/>
        <w:jc w:val="both"/>
        <w:rPr>
          <w:rFonts w:asciiTheme="majorBidi" w:hAnsiTheme="majorBidi" w:cstheme="majorBidi"/>
          <w:sz w:val="24"/>
          <w:szCs w:val="24"/>
          <w:lang w:bidi="ar-DZ"/>
        </w:rPr>
      </w:pPr>
      <w:r>
        <w:rPr>
          <w:rFonts w:asciiTheme="majorBidi" w:hAnsiTheme="majorBidi" w:cstheme="majorBidi"/>
          <w:sz w:val="24"/>
          <w:szCs w:val="24"/>
          <w:lang w:bidi="ar-DZ"/>
        </w:rPr>
        <w:t xml:space="preserve">Les graines de fenugrec présentent une composition chimique riche et diversifiée. Elles sont particulièrement concentrées en protéines (20 à 30 %) et en acides aminés, notamment la 4-hydroxyisoleucine, qui représente environ 0,1 à 0,3 % du poids sec de la plante. Elles renferment également une proportion importante de glucides (20 à 45 %), de lipides (7 à 10 %), ainsi que des composés bioactifs tels que les sapogénines (0,1 à 2,2 %), la trigonelline (méthylbétaïne, à hauteur de 0,37 %), et des minéraux essentiels comme le phosphore et le calcium. Par ailleurs, on y retrouve du β-carotène, une huile essentielle (environ 0,015 %) et plusieurs constituants volatils, notamment des sesquiterpènes et des lactones </w:t>
      </w:r>
      <w:r>
        <w:rPr>
          <w:rFonts w:asciiTheme="majorBidi" w:hAnsiTheme="majorBidi" w:cstheme="majorBidi"/>
          <w:b/>
          <w:bCs/>
          <w:sz w:val="24"/>
          <w:szCs w:val="24"/>
          <w:lang w:bidi="ar-DZ"/>
        </w:rPr>
        <w:t>(Ghédira et Oueslati, 2015)</w:t>
      </w:r>
      <w:r>
        <w:rPr>
          <w:rFonts w:asciiTheme="majorBidi" w:hAnsiTheme="majorBidi" w:cstheme="majorBidi"/>
          <w:sz w:val="24"/>
          <w:szCs w:val="24"/>
          <w:lang w:bidi="ar-DZ"/>
        </w:rPr>
        <w:t>.</w:t>
      </w:r>
    </w:p>
    <w:p w14:paraId="324EECFB" w14:textId="704CFC64" w:rsidR="003E3FB4" w:rsidRDefault="00385ED0">
      <w:pPr>
        <w:tabs>
          <w:tab w:val="left" w:pos="6173"/>
        </w:tabs>
        <w:spacing w:line="360" w:lineRule="auto"/>
        <w:ind w:firstLine="567"/>
        <w:jc w:val="both"/>
        <w:rPr>
          <w:rFonts w:asciiTheme="majorBidi" w:hAnsiTheme="majorBidi" w:cstheme="majorBidi"/>
          <w:sz w:val="24"/>
          <w:szCs w:val="24"/>
          <w:lang w:bidi="ar-DZ"/>
        </w:rPr>
      </w:pPr>
      <w:r>
        <w:rPr>
          <w:rFonts w:asciiTheme="majorBidi" w:hAnsiTheme="majorBidi" w:cstheme="majorBidi"/>
          <w:sz w:val="24"/>
          <w:szCs w:val="24"/>
          <w:lang w:bidi="ar-DZ"/>
        </w:rPr>
        <w:t xml:space="preserve">Les graines de fenugrec </w:t>
      </w:r>
      <w:r w:rsidR="008520CA">
        <w:rPr>
          <w:rFonts w:asciiTheme="majorBidi" w:hAnsiTheme="majorBidi" w:cstheme="majorBidi"/>
          <w:sz w:val="24"/>
          <w:szCs w:val="24"/>
          <w:lang w:bidi="ar-DZ"/>
        </w:rPr>
        <w:t>constituent</w:t>
      </w:r>
      <w:r>
        <w:rPr>
          <w:rFonts w:asciiTheme="majorBidi" w:hAnsiTheme="majorBidi" w:cstheme="majorBidi"/>
          <w:sz w:val="24"/>
          <w:szCs w:val="24"/>
          <w:lang w:bidi="ar-DZ"/>
        </w:rPr>
        <w:t xml:space="preserve"> une source notable d’acides aminés, à la fois essentiels et non essentiels. Parmi ces derniers, on retrouve l’acide aspartique, l’acide glutamique et l’arginine. Quant aux acides aminés essentiels, elles contiennent notamment la lysine, la leucine, la thréonine, l’isoleucine, la valine, l’histidine et la phénylalanine. En revanche, les teneurs en tryptophane ainsi qu’en acides aminés soufrés restent relativement faibles </w:t>
      </w:r>
      <w:r>
        <w:rPr>
          <w:rFonts w:asciiTheme="majorBidi" w:hAnsiTheme="majorBidi" w:cstheme="majorBidi"/>
          <w:b/>
          <w:bCs/>
          <w:sz w:val="24"/>
          <w:szCs w:val="24"/>
          <w:lang w:bidi="ar-DZ"/>
        </w:rPr>
        <w:t>(</w:t>
      </w:r>
      <w:r>
        <w:rPr>
          <w:rFonts w:asciiTheme="majorBidi" w:hAnsiTheme="majorBidi" w:cstheme="majorBidi"/>
          <w:b/>
          <w:bCs/>
          <w:sz w:val="24"/>
          <w:szCs w:val="24"/>
          <w:shd w:val="clear" w:color="auto" w:fill="FFFFFF"/>
        </w:rPr>
        <w:t>Jikah</w:t>
      </w:r>
      <w:r>
        <w:rPr>
          <w:rFonts w:asciiTheme="majorBidi" w:hAnsiTheme="majorBidi" w:cstheme="majorBidi"/>
          <w:b/>
          <w:bCs/>
          <w:sz w:val="24"/>
          <w:szCs w:val="24"/>
          <w:lang w:bidi="ar-DZ"/>
        </w:rPr>
        <w:t xml:space="preserve"> et Christopher, 2024)</w:t>
      </w:r>
      <w:r>
        <w:rPr>
          <w:rFonts w:asciiTheme="majorBidi" w:hAnsiTheme="majorBidi" w:cstheme="majorBidi"/>
          <w:sz w:val="24"/>
          <w:szCs w:val="24"/>
          <w:lang w:bidi="ar-DZ"/>
        </w:rPr>
        <w:t>.</w:t>
      </w:r>
      <w:r>
        <w:rPr>
          <w:rFonts w:asciiTheme="majorBidi" w:hAnsiTheme="majorBidi" w:cstheme="majorBidi"/>
          <w:b/>
          <w:bCs/>
          <w:sz w:val="28"/>
          <w:szCs w:val="28"/>
          <w:lang w:bidi="ar-DZ"/>
        </w:rPr>
        <w:t xml:space="preserve"> </w:t>
      </w:r>
    </w:p>
    <w:p w14:paraId="18E6319A" w14:textId="77777777" w:rsidR="003E3FB4" w:rsidRDefault="00385ED0">
      <w:pPr>
        <w:pStyle w:val="Paragraphedeliste"/>
        <w:numPr>
          <w:ilvl w:val="0"/>
          <w:numId w:val="3"/>
        </w:numPr>
        <w:tabs>
          <w:tab w:val="left" w:pos="6173"/>
        </w:tabs>
        <w:spacing w:line="360" w:lineRule="auto"/>
        <w:jc w:val="both"/>
        <w:rPr>
          <w:rFonts w:asciiTheme="majorBidi" w:hAnsiTheme="majorBidi" w:cstheme="majorBidi"/>
          <w:b/>
          <w:bCs/>
          <w:sz w:val="24"/>
          <w:szCs w:val="24"/>
          <w:lang w:bidi="ar-DZ"/>
        </w:rPr>
      </w:pPr>
      <w:r>
        <w:rPr>
          <w:rFonts w:asciiTheme="majorBidi" w:hAnsiTheme="majorBidi" w:cstheme="majorBidi"/>
          <w:b/>
          <w:bCs/>
          <w:sz w:val="24"/>
          <w:szCs w:val="24"/>
          <w:lang w:bidi="ar-DZ"/>
        </w:rPr>
        <w:t>Glucides</w:t>
      </w:r>
    </w:p>
    <w:p w14:paraId="5209A14F" w14:textId="77777777" w:rsidR="003E3FB4" w:rsidRDefault="00385ED0">
      <w:pPr>
        <w:tabs>
          <w:tab w:val="left" w:pos="6173"/>
        </w:tabs>
        <w:spacing w:line="360" w:lineRule="auto"/>
        <w:ind w:firstLine="567"/>
        <w:jc w:val="both"/>
        <w:rPr>
          <w:rFonts w:asciiTheme="majorBidi" w:hAnsiTheme="majorBidi" w:cstheme="majorBidi"/>
          <w:sz w:val="24"/>
          <w:szCs w:val="24"/>
          <w:lang w:bidi="ar-DZ"/>
        </w:rPr>
      </w:pPr>
      <w:r>
        <w:rPr>
          <w:rFonts w:asciiTheme="majorBidi" w:hAnsiTheme="majorBidi" w:cstheme="majorBidi"/>
          <w:sz w:val="24"/>
          <w:szCs w:val="24"/>
          <w:lang w:bidi="ar-DZ"/>
        </w:rPr>
        <w:t>Les graines de fenugrec contiennent entre 45 et 60 % de glucides, incluant le saccharose, le glucose, le fructose, le myo-inositol, le galactinol et la stachyose, ce qui en fait une source énergétique importante</w:t>
      </w:r>
      <w:r>
        <w:rPr>
          <w:rFonts w:asciiTheme="majorBidi" w:hAnsiTheme="majorBidi" w:cstheme="majorBidi"/>
          <w:b/>
          <w:bCs/>
          <w:sz w:val="24"/>
          <w:szCs w:val="24"/>
          <w:shd w:val="clear" w:color="auto" w:fill="FFFFFF"/>
        </w:rPr>
        <w:t xml:space="preserve"> (Teekanam et </w:t>
      </w:r>
      <w:r>
        <w:rPr>
          <w:rFonts w:asciiTheme="majorBidi" w:hAnsiTheme="majorBidi" w:cstheme="majorBidi"/>
          <w:b/>
          <w:bCs/>
          <w:i/>
          <w:iCs/>
          <w:sz w:val="24"/>
          <w:szCs w:val="24"/>
          <w:shd w:val="clear" w:color="auto" w:fill="FFFFFF"/>
        </w:rPr>
        <w:t>al.,</w:t>
      </w:r>
      <w:r>
        <w:rPr>
          <w:rFonts w:asciiTheme="majorBidi" w:hAnsiTheme="majorBidi" w:cstheme="majorBidi"/>
          <w:b/>
          <w:bCs/>
          <w:sz w:val="24"/>
          <w:szCs w:val="24"/>
          <w:shd w:val="clear" w:color="auto" w:fill="FFFFFF"/>
        </w:rPr>
        <w:t xml:space="preserve"> 2023 ; Ruwali et </w:t>
      </w:r>
      <w:r>
        <w:rPr>
          <w:rFonts w:asciiTheme="majorBidi" w:hAnsiTheme="majorBidi" w:cstheme="majorBidi"/>
          <w:b/>
          <w:bCs/>
          <w:i/>
          <w:iCs/>
          <w:sz w:val="24"/>
          <w:szCs w:val="24"/>
          <w:shd w:val="clear" w:color="auto" w:fill="FFFFFF"/>
        </w:rPr>
        <w:t xml:space="preserve">al., </w:t>
      </w:r>
      <w:r>
        <w:rPr>
          <w:rFonts w:asciiTheme="majorBidi" w:hAnsiTheme="majorBidi" w:cstheme="majorBidi"/>
          <w:b/>
          <w:bCs/>
          <w:sz w:val="24"/>
          <w:szCs w:val="24"/>
          <w:shd w:val="clear" w:color="auto" w:fill="FFFFFF"/>
        </w:rPr>
        <w:t>2022)</w:t>
      </w:r>
      <w:r>
        <w:rPr>
          <w:rFonts w:asciiTheme="majorBidi" w:hAnsiTheme="majorBidi" w:cstheme="majorBidi"/>
          <w:sz w:val="24"/>
          <w:szCs w:val="24"/>
          <w:lang w:bidi="ar-DZ"/>
        </w:rPr>
        <w:t xml:space="preserve"> À titre comparatif, les feuilles de fenugrec ne présentent qu’environ 6 % de glucides. La gomme extraite des graines est principalement constituée de mannose et de galactose. Les graines jeunes contiennent également de faibles quantités de sucres variés, dont la verbascose et le digalactosylmyoinositol. Les galactomannanes, des polysaccharides localisés dans l’endosperme, représentent entre 14-15% du poids sec des graines. Ces derniers jouent un rôle fonctionnel important en contribuant à l’épaississement des parois cellulaires grâce à leur structure moléculaire spécifique (</w:t>
      </w:r>
      <w:r>
        <w:rPr>
          <w:rFonts w:asciiTheme="majorBidi" w:hAnsiTheme="majorBidi" w:cstheme="majorBidi"/>
          <w:b/>
          <w:bCs/>
          <w:sz w:val="24"/>
          <w:szCs w:val="24"/>
          <w:lang w:bidi="ar-DZ"/>
        </w:rPr>
        <w:t xml:space="preserve">Parthasarathy et </w:t>
      </w:r>
      <w:r>
        <w:rPr>
          <w:rFonts w:asciiTheme="majorBidi" w:hAnsiTheme="majorBidi" w:cstheme="majorBidi"/>
          <w:b/>
          <w:bCs/>
          <w:i/>
          <w:iCs/>
          <w:sz w:val="24"/>
          <w:szCs w:val="24"/>
          <w:lang w:bidi="ar-DZ"/>
        </w:rPr>
        <w:t>al</w:t>
      </w:r>
      <w:r>
        <w:rPr>
          <w:rFonts w:asciiTheme="majorBidi" w:hAnsiTheme="majorBidi" w:cstheme="majorBidi"/>
          <w:b/>
          <w:bCs/>
          <w:sz w:val="24"/>
          <w:szCs w:val="24"/>
          <w:lang w:bidi="ar-DZ"/>
        </w:rPr>
        <w:t>., 2008)</w:t>
      </w:r>
      <w:r>
        <w:rPr>
          <w:rFonts w:asciiTheme="majorBidi" w:hAnsiTheme="majorBidi" w:cstheme="majorBidi"/>
          <w:sz w:val="24"/>
          <w:szCs w:val="24"/>
          <w:lang w:bidi="ar-DZ"/>
        </w:rPr>
        <w:t>.</w:t>
      </w:r>
    </w:p>
    <w:p w14:paraId="6BFE14D7" w14:textId="77777777" w:rsidR="004D31A0" w:rsidRDefault="004D31A0" w:rsidP="004D31A0">
      <w:pPr>
        <w:pStyle w:val="Paragraphedeliste"/>
        <w:tabs>
          <w:tab w:val="left" w:pos="6173"/>
        </w:tabs>
        <w:spacing w:line="360" w:lineRule="auto"/>
        <w:jc w:val="both"/>
        <w:rPr>
          <w:rFonts w:asciiTheme="majorBidi" w:hAnsiTheme="majorBidi" w:cstheme="majorBidi"/>
          <w:sz w:val="24"/>
          <w:szCs w:val="24"/>
          <w:lang w:bidi="ar-DZ"/>
        </w:rPr>
      </w:pPr>
    </w:p>
    <w:p w14:paraId="31F87660" w14:textId="77777777" w:rsidR="004D31A0" w:rsidRDefault="004D31A0" w:rsidP="004D31A0">
      <w:pPr>
        <w:pStyle w:val="Paragraphedeliste"/>
        <w:tabs>
          <w:tab w:val="left" w:pos="6173"/>
        </w:tabs>
        <w:spacing w:line="360" w:lineRule="auto"/>
        <w:jc w:val="both"/>
        <w:rPr>
          <w:rFonts w:asciiTheme="majorBidi" w:hAnsiTheme="majorBidi" w:cstheme="majorBidi"/>
          <w:sz w:val="24"/>
          <w:szCs w:val="24"/>
          <w:lang w:bidi="ar-DZ"/>
        </w:rPr>
      </w:pPr>
    </w:p>
    <w:p w14:paraId="34DFA7E0" w14:textId="77777777" w:rsidR="004D31A0" w:rsidRPr="004D31A0" w:rsidRDefault="004D31A0" w:rsidP="004D31A0">
      <w:pPr>
        <w:pStyle w:val="Paragraphedeliste"/>
        <w:tabs>
          <w:tab w:val="left" w:pos="6173"/>
        </w:tabs>
        <w:spacing w:line="360" w:lineRule="auto"/>
        <w:jc w:val="both"/>
        <w:rPr>
          <w:rFonts w:asciiTheme="majorBidi" w:hAnsiTheme="majorBidi" w:cstheme="majorBidi"/>
          <w:sz w:val="24"/>
          <w:szCs w:val="24"/>
          <w:lang w:bidi="ar-DZ"/>
        </w:rPr>
      </w:pPr>
    </w:p>
    <w:p w14:paraId="4C6EA256" w14:textId="15C61AC8" w:rsidR="003E3FB4" w:rsidRDefault="00385ED0">
      <w:pPr>
        <w:pStyle w:val="Paragraphedeliste"/>
        <w:numPr>
          <w:ilvl w:val="0"/>
          <w:numId w:val="3"/>
        </w:numPr>
        <w:tabs>
          <w:tab w:val="left" w:pos="6173"/>
        </w:tabs>
        <w:spacing w:line="360" w:lineRule="auto"/>
        <w:jc w:val="both"/>
        <w:rPr>
          <w:rFonts w:asciiTheme="majorBidi" w:hAnsiTheme="majorBidi" w:cstheme="majorBidi"/>
          <w:sz w:val="24"/>
          <w:szCs w:val="24"/>
          <w:lang w:bidi="ar-DZ"/>
        </w:rPr>
      </w:pPr>
      <w:r>
        <w:rPr>
          <w:rFonts w:asciiTheme="majorBidi" w:hAnsiTheme="majorBidi" w:cstheme="majorBidi"/>
          <w:b/>
          <w:bCs/>
          <w:sz w:val="24"/>
          <w:szCs w:val="24"/>
          <w:lang w:bidi="ar-DZ"/>
        </w:rPr>
        <w:lastRenderedPageBreak/>
        <w:t>Lipides </w:t>
      </w:r>
    </w:p>
    <w:p w14:paraId="4B56A0E5" w14:textId="77777777" w:rsidR="003E3FB4" w:rsidRDefault="00385ED0">
      <w:pPr>
        <w:tabs>
          <w:tab w:val="left" w:pos="6173"/>
        </w:tabs>
        <w:spacing w:line="360" w:lineRule="auto"/>
        <w:ind w:firstLine="567"/>
        <w:jc w:val="both"/>
        <w:rPr>
          <w:rFonts w:asciiTheme="majorBidi" w:hAnsiTheme="majorBidi" w:cstheme="majorBidi"/>
          <w:b/>
          <w:bCs/>
          <w:sz w:val="24"/>
          <w:szCs w:val="24"/>
          <w:lang w:bidi="ar-DZ"/>
        </w:rPr>
      </w:pPr>
      <w:r>
        <w:rPr>
          <w:rFonts w:asciiTheme="majorBidi" w:hAnsiTheme="majorBidi" w:cstheme="majorBidi"/>
          <w:sz w:val="24"/>
          <w:szCs w:val="24"/>
          <w:lang w:bidi="ar-DZ"/>
        </w:rPr>
        <w:t xml:space="preserve">Les graines de fenugrec renferment 85 % de lipides neutres, 10 % de phospholipides et 5 % de glycolipides. Ces lipides sont majoritairement composés d'acides gras insaturés, avec 36 % d'acide linoléique, 18 % d'acide linolénique et 13 % d'acide oléique </w:t>
      </w:r>
      <w:r>
        <w:rPr>
          <w:rFonts w:asciiTheme="majorBidi" w:hAnsiTheme="majorBidi" w:cstheme="majorBidi"/>
          <w:b/>
          <w:bCs/>
          <w:sz w:val="24"/>
          <w:szCs w:val="24"/>
          <w:lang w:bidi="ar-DZ"/>
        </w:rPr>
        <w:t>(Patil et Garima, 2014).</w:t>
      </w:r>
    </w:p>
    <w:p w14:paraId="5567615C" w14:textId="77777777" w:rsidR="003E3FB4" w:rsidRDefault="00385ED0">
      <w:pPr>
        <w:pStyle w:val="Paragraphedeliste"/>
        <w:numPr>
          <w:ilvl w:val="0"/>
          <w:numId w:val="3"/>
        </w:numPr>
        <w:tabs>
          <w:tab w:val="left" w:pos="6173"/>
        </w:tabs>
        <w:spacing w:line="360" w:lineRule="auto"/>
        <w:jc w:val="both"/>
        <w:rPr>
          <w:rFonts w:asciiTheme="majorBidi" w:hAnsiTheme="majorBidi" w:cstheme="majorBidi"/>
          <w:b/>
          <w:bCs/>
          <w:sz w:val="24"/>
          <w:szCs w:val="24"/>
          <w:lang w:bidi="ar-DZ"/>
        </w:rPr>
      </w:pPr>
      <w:r>
        <w:rPr>
          <w:rFonts w:asciiTheme="majorBidi" w:hAnsiTheme="majorBidi" w:cstheme="majorBidi"/>
          <w:b/>
          <w:bCs/>
          <w:sz w:val="24"/>
          <w:szCs w:val="24"/>
          <w:lang w:bidi="ar-DZ"/>
        </w:rPr>
        <w:t>Fibres alimentaires</w:t>
      </w:r>
    </w:p>
    <w:p w14:paraId="7A0EDD09" w14:textId="77777777" w:rsidR="003E3FB4" w:rsidRDefault="00385ED0">
      <w:pPr>
        <w:tabs>
          <w:tab w:val="left" w:pos="6173"/>
        </w:tabs>
        <w:spacing w:line="360" w:lineRule="auto"/>
        <w:ind w:firstLine="567"/>
        <w:jc w:val="both"/>
        <w:rPr>
          <w:rFonts w:asciiTheme="majorBidi" w:hAnsiTheme="majorBidi" w:cstheme="majorBidi"/>
          <w:sz w:val="24"/>
          <w:szCs w:val="24"/>
          <w:lang w:bidi="ar-DZ"/>
        </w:rPr>
      </w:pPr>
      <w:r>
        <w:rPr>
          <w:rFonts w:asciiTheme="majorBidi" w:hAnsiTheme="majorBidi" w:cstheme="majorBidi"/>
          <w:sz w:val="24"/>
          <w:szCs w:val="24"/>
          <w:lang w:bidi="ar-DZ"/>
        </w:rPr>
        <w:t xml:space="preserve">Les graines de fenugrec sont particulièrement riches en fibres alimentaires, notamment en fibres solubles telles que le galactomannane, dont l'action permet de réduire l'absorption des sels biliaires et de ralentir la digestion de l'amidon. L’enveloppe des graines constitue une source importante de fibres et d'antioxydants naturels. La teneur en fibres varie selon l’état de préparation des graines : les graines crues présentent les concentrations les plus élevées, suivies des graines germées, puis bouillies </w:t>
      </w:r>
      <w:r>
        <w:rPr>
          <w:rFonts w:asciiTheme="majorBidi" w:hAnsiTheme="majorBidi" w:cstheme="majorBidi"/>
          <w:b/>
          <w:bCs/>
          <w:sz w:val="24"/>
          <w:szCs w:val="24"/>
          <w:lang w:bidi="ar-DZ"/>
        </w:rPr>
        <w:t xml:space="preserve">(Nikhan et </w:t>
      </w:r>
      <w:r>
        <w:rPr>
          <w:rFonts w:asciiTheme="majorBidi" w:hAnsiTheme="majorBidi" w:cstheme="majorBidi"/>
          <w:b/>
          <w:bCs/>
          <w:i/>
          <w:iCs/>
          <w:sz w:val="24"/>
          <w:szCs w:val="24"/>
          <w:lang w:bidi="ar-DZ"/>
        </w:rPr>
        <w:t>al</w:t>
      </w:r>
      <w:r>
        <w:rPr>
          <w:rFonts w:asciiTheme="majorBidi" w:hAnsiTheme="majorBidi" w:cstheme="majorBidi"/>
          <w:b/>
          <w:bCs/>
          <w:sz w:val="24"/>
          <w:szCs w:val="24"/>
          <w:lang w:bidi="ar-DZ"/>
        </w:rPr>
        <w:t>., 2021)</w:t>
      </w:r>
      <w:r>
        <w:rPr>
          <w:rFonts w:asciiTheme="majorBidi" w:hAnsiTheme="majorBidi" w:cstheme="majorBidi"/>
          <w:sz w:val="24"/>
          <w:szCs w:val="24"/>
          <w:lang w:bidi="ar-DZ"/>
        </w:rPr>
        <w:t>.</w:t>
      </w:r>
    </w:p>
    <w:p w14:paraId="2742A193" w14:textId="77777777" w:rsidR="003E3FB4" w:rsidRDefault="00385ED0">
      <w:pPr>
        <w:pStyle w:val="Paragraphedeliste"/>
        <w:numPr>
          <w:ilvl w:val="0"/>
          <w:numId w:val="3"/>
        </w:numPr>
        <w:tabs>
          <w:tab w:val="left" w:pos="6173"/>
        </w:tabs>
        <w:spacing w:line="360" w:lineRule="auto"/>
        <w:jc w:val="both"/>
        <w:rPr>
          <w:rFonts w:asciiTheme="majorBidi" w:hAnsiTheme="majorBidi" w:cstheme="majorBidi"/>
          <w:b/>
          <w:bCs/>
          <w:sz w:val="24"/>
          <w:szCs w:val="24"/>
          <w:lang w:bidi="ar-DZ"/>
        </w:rPr>
      </w:pPr>
      <w:r>
        <w:rPr>
          <w:rFonts w:asciiTheme="majorBidi" w:hAnsiTheme="majorBidi" w:cstheme="majorBidi"/>
          <w:b/>
          <w:bCs/>
          <w:sz w:val="24"/>
          <w:szCs w:val="24"/>
          <w:lang w:bidi="ar-DZ"/>
        </w:rPr>
        <w:t>Vitamines et minéraux</w:t>
      </w:r>
    </w:p>
    <w:p w14:paraId="423D4F42" w14:textId="77777777" w:rsidR="003E3FB4" w:rsidRDefault="00385ED0">
      <w:pPr>
        <w:tabs>
          <w:tab w:val="left" w:pos="6173"/>
        </w:tabs>
        <w:spacing w:line="360" w:lineRule="auto"/>
        <w:ind w:firstLine="567"/>
        <w:jc w:val="both"/>
        <w:rPr>
          <w:rFonts w:asciiTheme="majorBidi" w:hAnsiTheme="majorBidi" w:cstheme="majorBidi"/>
          <w:sz w:val="24"/>
          <w:szCs w:val="24"/>
          <w:lang w:bidi="ar-DZ"/>
        </w:rPr>
      </w:pPr>
      <w:r>
        <w:rPr>
          <w:rFonts w:asciiTheme="majorBidi" w:hAnsiTheme="majorBidi" w:cstheme="majorBidi"/>
          <w:sz w:val="24"/>
          <w:szCs w:val="24"/>
          <w:lang w:bidi="ar-DZ"/>
        </w:rPr>
        <w:t xml:space="preserve">Les graines de fenugrec constituent une excellente source de vitamines variées, incluant la choline, la vitamine A, les vitamines du complexe B (B1, B2), la vitamine C, l’acide nicotinique et la niacine. Au cours de la germination, leur teneur en certains micronutriments augmente, notamment en biotine, en pantothénate de calcium, en pyridoxine, en vitamine C et en cyanocobalamine. Toutefois, une exposition aux rayonnements de type B et C peut entraîner une réduction significative de leur teneur vitaminique </w:t>
      </w:r>
      <w:r>
        <w:rPr>
          <w:rFonts w:asciiTheme="majorBidi" w:hAnsiTheme="majorBidi" w:cstheme="majorBidi"/>
          <w:b/>
          <w:bCs/>
          <w:sz w:val="24"/>
          <w:szCs w:val="24"/>
          <w:lang w:bidi="ar-DZ"/>
        </w:rPr>
        <w:t xml:space="preserve">(Ahmad et </w:t>
      </w:r>
      <w:r>
        <w:rPr>
          <w:rFonts w:asciiTheme="majorBidi" w:hAnsiTheme="majorBidi" w:cstheme="majorBidi"/>
          <w:b/>
          <w:bCs/>
          <w:i/>
          <w:iCs/>
          <w:sz w:val="24"/>
          <w:szCs w:val="24"/>
          <w:lang w:bidi="ar-DZ"/>
        </w:rPr>
        <w:t>al</w:t>
      </w:r>
      <w:r>
        <w:rPr>
          <w:rFonts w:asciiTheme="majorBidi" w:hAnsiTheme="majorBidi" w:cstheme="majorBidi"/>
          <w:b/>
          <w:bCs/>
          <w:sz w:val="24"/>
          <w:szCs w:val="24"/>
          <w:lang w:bidi="ar-DZ"/>
        </w:rPr>
        <w:t>., 2016)</w:t>
      </w:r>
      <w:r>
        <w:rPr>
          <w:rFonts w:asciiTheme="majorBidi" w:hAnsiTheme="majorBidi" w:cstheme="majorBidi"/>
          <w:sz w:val="24"/>
          <w:szCs w:val="24"/>
          <w:lang w:bidi="ar-DZ"/>
        </w:rPr>
        <w:t xml:space="preserve">. La vitamine E se distingue particulièrement, représentant environ 84 % des tocophérols présents dans les lipides du fenugrec </w:t>
      </w:r>
      <w:r>
        <w:rPr>
          <w:rFonts w:asciiTheme="majorBidi" w:hAnsiTheme="majorBidi" w:cstheme="majorBidi"/>
          <w:b/>
          <w:bCs/>
          <w:sz w:val="24"/>
          <w:szCs w:val="24"/>
          <w:lang w:bidi="ar-DZ"/>
        </w:rPr>
        <w:t>(Ngukuran et Christopher, 2024)</w:t>
      </w:r>
      <w:r>
        <w:rPr>
          <w:rFonts w:asciiTheme="majorBidi" w:hAnsiTheme="majorBidi" w:cstheme="majorBidi"/>
          <w:sz w:val="24"/>
          <w:szCs w:val="24"/>
          <w:lang w:bidi="ar-DZ"/>
        </w:rPr>
        <w:t>.</w:t>
      </w:r>
    </w:p>
    <w:p w14:paraId="45165C0F" w14:textId="77777777" w:rsidR="003E3FB4" w:rsidRDefault="00385ED0">
      <w:pPr>
        <w:tabs>
          <w:tab w:val="left" w:pos="6173"/>
        </w:tabs>
        <w:spacing w:line="360" w:lineRule="auto"/>
        <w:ind w:firstLine="567"/>
        <w:jc w:val="both"/>
        <w:rPr>
          <w:rFonts w:asciiTheme="majorBidi" w:hAnsiTheme="majorBidi" w:cstheme="majorBidi"/>
          <w:sz w:val="24"/>
          <w:szCs w:val="24"/>
          <w:lang w:bidi="ar-DZ"/>
        </w:rPr>
      </w:pPr>
      <w:r>
        <w:rPr>
          <w:rFonts w:asciiTheme="majorBidi" w:hAnsiTheme="majorBidi" w:cstheme="majorBidi"/>
          <w:sz w:val="24"/>
          <w:szCs w:val="24"/>
          <w:lang w:bidi="ar-DZ"/>
        </w:rPr>
        <w:t xml:space="preserve">Les feuilles de fenugrec, pour leur part, contiennent également diverses vitamines, mais jusqu’à 7 à 11 % d’entre elles peuvent être altérées ou perdues lors des processus de cuisson tels que l’ébullition, la cuisson à la vapeur ou la friture </w:t>
      </w:r>
      <w:r>
        <w:rPr>
          <w:rFonts w:asciiTheme="majorBidi" w:hAnsiTheme="majorBidi" w:cstheme="majorBidi"/>
          <w:b/>
          <w:bCs/>
          <w:sz w:val="24"/>
          <w:szCs w:val="24"/>
          <w:lang w:bidi="ar-DZ"/>
        </w:rPr>
        <w:t xml:space="preserve">(Ahmad et </w:t>
      </w:r>
      <w:r>
        <w:rPr>
          <w:rFonts w:asciiTheme="majorBidi" w:hAnsiTheme="majorBidi" w:cstheme="majorBidi"/>
          <w:b/>
          <w:bCs/>
          <w:i/>
          <w:iCs/>
          <w:sz w:val="24"/>
          <w:szCs w:val="24"/>
          <w:lang w:bidi="ar-DZ"/>
        </w:rPr>
        <w:t>al</w:t>
      </w:r>
      <w:r>
        <w:rPr>
          <w:rFonts w:asciiTheme="majorBidi" w:hAnsiTheme="majorBidi" w:cstheme="majorBidi"/>
          <w:b/>
          <w:bCs/>
          <w:sz w:val="24"/>
          <w:szCs w:val="24"/>
          <w:lang w:bidi="ar-DZ"/>
        </w:rPr>
        <w:t>., 2016)</w:t>
      </w:r>
      <w:r>
        <w:rPr>
          <w:rFonts w:asciiTheme="majorBidi" w:hAnsiTheme="majorBidi" w:cstheme="majorBidi"/>
          <w:sz w:val="24"/>
          <w:szCs w:val="24"/>
          <w:lang w:bidi="ar-DZ"/>
        </w:rPr>
        <w:t xml:space="preserve">. Elles présentent notamment une forte teneur en vitamine C, estimée à 276 mg d’acide ascorbique pour 100 g de feuilles fraîches, ainsi qu’en bêta-carotène, en acide folique et en calcium </w:t>
      </w:r>
      <w:r>
        <w:rPr>
          <w:rFonts w:asciiTheme="majorBidi" w:hAnsiTheme="majorBidi" w:cstheme="majorBidi"/>
          <w:b/>
          <w:bCs/>
          <w:sz w:val="24"/>
          <w:szCs w:val="24"/>
          <w:lang w:bidi="ar-DZ"/>
        </w:rPr>
        <w:t xml:space="preserve">(Prajya et </w:t>
      </w:r>
      <w:r>
        <w:rPr>
          <w:rFonts w:asciiTheme="majorBidi" w:hAnsiTheme="majorBidi" w:cstheme="majorBidi"/>
          <w:b/>
          <w:bCs/>
          <w:i/>
          <w:iCs/>
          <w:sz w:val="24"/>
          <w:szCs w:val="24"/>
          <w:lang w:bidi="ar-DZ"/>
        </w:rPr>
        <w:t>al.</w:t>
      </w:r>
      <w:r>
        <w:rPr>
          <w:rFonts w:asciiTheme="majorBidi" w:hAnsiTheme="majorBidi" w:cstheme="majorBidi"/>
          <w:b/>
          <w:bCs/>
          <w:sz w:val="24"/>
          <w:szCs w:val="24"/>
          <w:lang w:bidi="ar-DZ"/>
        </w:rPr>
        <w:t>, 2023)</w:t>
      </w:r>
      <w:r>
        <w:rPr>
          <w:rFonts w:asciiTheme="majorBidi" w:hAnsiTheme="majorBidi" w:cstheme="majorBidi"/>
          <w:sz w:val="24"/>
          <w:szCs w:val="24"/>
          <w:lang w:bidi="ar-DZ"/>
        </w:rPr>
        <w:t>.</w:t>
      </w:r>
    </w:p>
    <w:p w14:paraId="05D6976D" w14:textId="77777777" w:rsidR="003E3FB4" w:rsidRDefault="00385ED0">
      <w:pPr>
        <w:tabs>
          <w:tab w:val="left" w:pos="6173"/>
        </w:tabs>
        <w:spacing w:line="360" w:lineRule="auto"/>
        <w:ind w:firstLine="567"/>
        <w:jc w:val="both"/>
        <w:rPr>
          <w:rFonts w:asciiTheme="majorBidi" w:hAnsiTheme="majorBidi" w:cstheme="majorBidi"/>
          <w:sz w:val="24"/>
          <w:szCs w:val="24"/>
          <w:lang w:bidi="ar-DZ"/>
        </w:rPr>
      </w:pPr>
      <w:r>
        <w:rPr>
          <w:rFonts w:asciiTheme="majorBidi" w:hAnsiTheme="majorBidi" w:cstheme="majorBidi"/>
          <w:sz w:val="24"/>
          <w:szCs w:val="24"/>
          <w:lang w:bidi="ar-DZ"/>
        </w:rPr>
        <w:t xml:space="preserve">Sur le plan minéral, les graines de fenugrec sont particulièrement riches en phosphore, potassium, calcium et magnésium, et contiennent également des oligo-éléments essentiels tels que le zinc, le cuivre, le fer, le sélénium et le manganèse. Des traitements technologiques tels que le trempage, la germination ou l’exposition thermique peuvent accroître la teneur en phosphore, bien qu’ils n’aient pas d’effet significatif sur les niveaux de fer, de zinc ou de calcium </w:t>
      </w:r>
      <w:r>
        <w:rPr>
          <w:rFonts w:asciiTheme="majorBidi" w:hAnsiTheme="majorBidi" w:cstheme="majorBidi"/>
          <w:b/>
          <w:bCs/>
          <w:sz w:val="24"/>
          <w:szCs w:val="24"/>
          <w:lang w:bidi="ar-DZ"/>
        </w:rPr>
        <w:t>(Ngukuran et Christopher, 2024)</w:t>
      </w:r>
      <w:r>
        <w:rPr>
          <w:rFonts w:asciiTheme="majorBidi" w:hAnsiTheme="majorBidi" w:cstheme="majorBidi"/>
          <w:sz w:val="24"/>
          <w:szCs w:val="24"/>
          <w:lang w:bidi="ar-DZ"/>
        </w:rPr>
        <w:t>.</w:t>
      </w:r>
    </w:p>
    <w:p w14:paraId="25754FE4" w14:textId="77777777" w:rsidR="00890B79" w:rsidRDefault="00890B79">
      <w:pPr>
        <w:tabs>
          <w:tab w:val="left" w:pos="6173"/>
        </w:tabs>
        <w:spacing w:after="0" w:line="360" w:lineRule="auto"/>
        <w:jc w:val="both"/>
        <w:rPr>
          <w:rFonts w:asciiTheme="majorBidi" w:hAnsiTheme="majorBidi" w:cstheme="majorBidi"/>
          <w:b/>
          <w:bCs/>
          <w:sz w:val="26"/>
          <w:szCs w:val="26"/>
          <w:lang w:bidi="ar-DZ"/>
        </w:rPr>
      </w:pPr>
    </w:p>
    <w:p w14:paraId="147BDA43" w14:textId="3B50CA7F" w:rsidR="003E3FB4" w:rsidRDefault="00385ED0">
      <w:pPr>
        <w:tabs>
          <w:tab w:val="left" w:pos="6173"/>
        </w:tabs>
        <w:spacing w:after="0" w:line="360" w:lineRule="auto"/>
        <w:jc w:val="both"/>
        <w:rPr>
          <w:rFonts w:asciiTheme="majorBidi" w:hAnsiTheme="majorBidi" w:cstheme="majorBidi"/>
          <w:b/>
          <w:bCs/>
          <w:sz w:val="26"/>
          <w:szCs w:val="26"/>
          <w:lang w:bidi="ar-DZ"/>
        </w:rPr>
      </w:pPr>
      <w:r>
        <w:rPr>
          <w:rFonts w:asciiTheme="majorBidi" w:hAnsiTheme="majorBidi" w:cstheme="majorBidi"/>
          <w:b/>
          <w:bCs/>
          <w:sz w:val="26"/>
          <w:szCs w:val="26"/>
          <w:lang w:bidi="ar-DZ"/>
        </w:rPr>
        <w:t>I.6.2. Les métabolites secondaires de fenugrec</w:t>
      </w:r>
    </w:p>
    <w:p w14:paraId="6E70EF83" w14:textId="77777777" w:rsidR="003E3FB4" w:rsidRDefault="00385ED0">
      <w:pPr>
        <w:tabs>
          <w:tab w:val="left" w:pos="6173"/>
        </w:tabs>
        <w:spacing w:after="0" w:line="360" w:lineRule="auto"/>
        <w:jc w:val="both"/>
        <w:rPr>
          <w:rFonts w:asciiTheme="majorBidi" w:hAnsiTheme="majorBidi" w:cstheme="majorBidi"/>
          <w:b/>
          <w:bCs/>
          <w:sz w:val="26"/>
          <w:szCs w:val="26"/>
          <w:lang w:bidi="ar-DZ"/>
        </w:rPr>
      </w:pPr>
      <w:r>
        <w:rPr>
          <w:rFonts w:asciiTheme="majorBidi" w:hAnsiTheme="majorBidi" w:cstheme="majorBidi"/>
          <w:b/>
          <w:bCs/>
          <w:sz w:val="26"/>
          <w:szCs w:val="26"/>
          <w:lang w:bidi="ar-DZ"/>
        </w:rPr>
        <w:t xml:space="preserve">I.6.2.1. Les polyphénols </w:t>
      </w:r>
    </w:p>
    <w:p w14:paraId="7DA1771D" w14:textId="77777777" w:rsidR="003E3FB4" w:rsidRDefault="00385ED0">
      <w:pPr>
        <w:tabs>
          <w:tab w:val="left" w:pos="6173"/>
        </w:tabs>
        <w:spacing w:line="360" w:lineRule="auto"/>
        <w:ind w:firstLine="567"/>
        <w:jc w:val="both"/>
        <w:rPr>
          <w:rFonts w:asciiTheme="majorBidi" w:hAnsiTheme="majorBidi" w:cstheme="majorBidi"/>
          <w:sz w:val="24"/>
          <w:szCs w:val="24"/>
          <w:lang w:bidi="ar-DZ"/>
        </w:rPr>
      </w:pPr>
      <w:r>
        <w:rPr>
          <w:rFonts w:asciiTheme="majorBidi" w:hAnsiTheme="majorBidi" w:cstheme="majorBidi"/>
          <w:sz w:val="24"/>
          <w:szCs w:val="24"/>
          <w:lang w:bidi="ar-DZ"/>
        </w:rPr>
        <w:t xml:space="preserve">Les polyphénols sont des métabolites secondaires largement reconnue pour leurs propriétés antioxydantes. Parmi eux, les flavonoïdes jouent un rôle essentiel dans la régulation du stress oxydatif, en intervenant selon divers mécanismes biologiques </w:t>
      </w:r>
      <w:r>
        <w:rPr>
          <w:rFonts w:asciiTheme="majorBidi" w:hAnsiTheme="majorBidi" w:cstheme="majorBidi"/>
          <w:b/>
          <w:bCs/>
          <w:sz w:val="24"/>
          <w:szCs w:val="24"/>
          <w:lang w:bidi="ar-DZ"/>
        </w:rPr>
        <w:t>(</w:t>
      </w:r>
      <w:r>
        <w:rPr>
          <w:rFonts w:asciiTheme="majorBidi" w:hAnsiTheme="majorBidi" w:cstheme="majorBidi"/>
          <w:b/>
          <w:bCs/>
          <w:sz w:val="24"/>
          <w:szCs w:val="24"/>
          <w:shd w:val="clear" w:color="auto" w:fill="FFFFFF"/>
        </w:rPr>
        <w:t>Mithum Rudrapa.</w:t>
      </w:r>
      <w:r>
        <w:rPr>
          <w:rFonts w:asciiTheme="majorBidi" w:hAnsiTheme="majorBidi" w:cstheme="majorBidi"/>
          <w:b/>
          <w:bCs/>
          <w:sz w:val="24"/>
          <w:szCs w:val="24"/>
          <w:lang w:bidi="ar-DZ"/>
        </w:rPr>
        <w:t>2024)</w:t>
      </w:r>
      <w:r>
        <w:rPr>
          <w:rFonts w:asciiTheme="majorBidi" w:hAnsiTheme="majorBidi" w:cstheme="majorBidi"/>
          <w:sz w:val="24"/>
          <w:szCs w:val="24"/>
          <w:lang w:bidi="ar-DZ"/>
        </w:rPr>
        <w:t>.</w:t>
      </w:r>
    </w:p>
    <w:p w14:paraId="36637D8F" w14:textId="77777777" w:rsidR="003E3FB4" w:rsidRDefault="00385ED0">
      <w:pPr>
        <w:tabs>
          <w:tab w:val="left" w:pos="6173"/>
        </w:tabs>
        <w:spacing w:line="360" w:lineRule="auto"/>
        <w:ind w:firstLine="567"/>
        <w:jc w:val="both"/>
        <w:rPr>
          <w:rFonts w:asciiTheme="majorBidi" w:hAnsiTheme="majorBidi" w:cstheme="majorBidi"/>
          <w:sz w:val="24"/>
          <w:szCs w:val="24"/>
          <w:lang w:bidi="ar-DZ"/>
        </w:rPr>
      </w:pPr>
      <w:r>
        <w:rPr>
          <w:rFonts w:asciiTheme="majorBidi" w:hAnsiTheme="majorBidi" w:cstheme="majorBidi"/>
          <w:sz w:val="24"/>
          <w:szCs w:val="24"/>
          <w:lang w:bidi="ar-DZ"/>
        </w:rPr>
        <w:t xml:space="preserve">Les composés phénoliques forment une famille étendue de molécules organiques omniprésentes dans le règne végétal, regroupant plus de 8000 structures chimiques distinctes </w:t>
      </w:r>
      <w:r>
        <w:rPr>
          <w:rFonts w:asciiTheme="majorBidi" w:hAnsiTheme="majorBidi" w:cstheme="majorBidi"/>
          <w:b/>
          <w:bCs/>
          <w:sz w:val="24"/>
          <w:szCs w:val="24"/>
          <w:lang w:bidi="ar-DZ"/>
        </w:rPr>
        <w:t xml:space="preserve">(Durazzo et </w:t>
      </w:r>
      <w:r>
        <w:rPr>
          <w:rFonts w:asciiTheme="majorBidi" w:hAnsiTheme="majorBidi" w:cstheme="majorBidi"/>
          <w:b/>
          <w:bCs/>
          <w:i/>
          <w:iCs/>
          <w:sz w:val="24"/>
          <w:szCs w:val="24"/>
          <w:lang w:bidi="ar-DZ"/>
        </w:rPr>
        <w:t>al</w:t>
      </w:r>
      <w:r>
        <w:rPr>
          <w:rFonts w:asciiTheme="majorBidi" w:hAnsiTheme="majorBidi" w:cstheme="majorBidi"/>
          <w:b/>
          <w:bCs/>
          <w:sz w:val="24"/>
          <w:szCs w:val="24"/>
          <w:lang w:bidi="ar-DZ"/>
        </w:rPr>
        <w:t>., 2019)</w:t>
      </w:r>
      <w:r>
        <w:rPr>
          <w:rFonts w:asciiTheme="majorBidi" w:hAnsiTheme="majorBidi" w:cstheme="majorBidi"/>
          <w:sz w:val="24"/>
          <w:szCs w:val="24"/>
          <w:lang w:bidi="ar-DZ"/>
        </w:rPr>
        <w:t xml:space="preserve">. Cette catégorie englobe à la fois des substances de faible masse moléculaire, comme les acides phénoliques, et des polymères complexes tels que les tannins </w:t>
      </w:r>
      <w:r>
        <w:rPr>
          <w:rFonts w:asciiTheme="majorBidi" w:hAnsiTheme="majorBidi" w:cstheme="majorBidi"/>
          <w:b/>
          <w:bCs/>
          <w:sz w:val="24"/>
          <w:szCs w:val="24"/>
          <w:lang w:bidi="ar-DZ"/>
        </w:rPr>
        <w:t>(Souilah et Medjroubi, 2018)</w:t>
      </w:r>
      <w:r>
        <w:rPr>
          <w:rFonts w:asciiTheme="majorBidi" w:hAnsiTheme="majorBidi" w:cstheme="majorBidi"/>
          <w:sz w:val="24"/>
          <w:szCs w:val="24"/>
          <w:lang w:bidi="ar-DZ"/>
        </w:rPr>
        <w:t xml:space="preserve">. Leur structure se caractérise par la présence d’un ou plusieurs cycles aromatiques substitués par un ou plusieurs groupements hydroxyles. Ces derniers peuvent être libres ou impliqués dans des fonctions chimiques diverses telles que les éthers, esters ou hétérosides </w:t>
      </w:r>
      <w:r>
        <w:rPr>
          <w:rFonts w:asciiTheme="majorBidi" w:hAnsiTheme="majorBidi" w:cstheme="majorBidi"/>
          <w:b/>
          <w:bCs/>
          <w:sz w:val="24"/>
          <w:szCs w:val="24"/>
          <w:lang w:bidi="ar-DZ"/>
        </w:rPr>
        <w:t xml:space="preserve">(Fig. I.3) (Durazzo et </w:t>
      </w:r>
      <w:r>
        <w:rPr>
          <w:rFonts w:asciiTheme="majorBidi" w:hAnsiTheme="majorBidi" w:cstheme="majorBidi"/>
          <w:b/>
          <w:bCs/>
          <w:i/>
          <w:iCs/>
          <w:sz w:val="24"/>
          <w:szCs w:val="24"/>
          <w:lang w:bidi="ar-DZ"/>
        </w:rPr>
        <w:t>al</w:t>
      </w:r>
      <w:r>
        <w:rPr>
          <w:rFonts w:asciiTheme="majorBidi" w:hAnsiTheme="majorBidi" w:cstheme="majorBidi"/>
          <w:b/>
          <w:bCs/>
          <w:sz w:val="24"/>
          <w:szCs w:val="24"/>
          <w:lang w:bidi="ar-DZ"/>
        </w:rPr>
        <w:t>., 2019)</w:t>
      </w:r>
      <w:r>
        <w:rPr>
          <w:rFonts w:asciiTheme="majorBidi" w:hAnsiTheme="majorBidi" w:cstheme="majorBidi"/>
          <w:sz w:val="24"/>
          <w:szCs w:val="24"/>
          <w:lang w:bidi="ar-DZ"/>
        </w:rPr>
        <w:t>.</w:t>
      </w:r>
    </w:p>
    <w:p w14:paraId="21D4B1B1" w14:textId="77777777" w:rsidR="003E3FB4" w:rsidRDefault="00385ED0">
      <w:pPr>
        <w:tabs>
          <w:tab w:val="left" w:pos="6173"/>
        </w:tabs>
        <w:spacing w:line="360" w:lineRule="auto"/>
        <w:jc w:val="center"/>
        <w:rPr>
          <w:rFonts w:asciiTheme="majorBidi" w:hAnsiTheme="majorBidi" w:cstheme="majorBidi"/>
          <w:sz w:val="24"/>
          <w:szCs w:val="24"/>
          <w:lang w:bidi="ar-DZ"/>
        </w:rPr>
      </w:pPr>
      <w:r>
        <w:rPr>
          <w:noProof/>
        </w:rPr>
        <w:drawing>
          <wp:inline distT="0" distB="0" distL="0" distR="0" wp14:anchorId="512C6C3B" wp14:editId="3040ECAD">
            <wp:extent cx="5591175" cy="3847465"/>
            <wp:effectExtent l="0" t="0" r="0" b="635"/>
            <wp:docPr id="1916102627"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6102627" name="Image 2"/>
                    <pic:cNvPicPr>
                      <a:picLocks noChangeAspect="1"/>
                    </pic:cNvPicPr>
                  </pic:nvPicPr>
                  <pic:blipFill>
                    <a:blip r:embed="rId19">
                      <a:extLst>
                        <a:ext uri="{28A0092B-C50C-407E-A947-70E740481C1C}">
                          <a14:useLocalDpi xmlns:a14="http://schemas.microsoft.com/office/drawing/2010/main" val="0"/>
                        </a:ext>
                      </a:extLst>
                    </a:blip>
                    <a:srcRect/>
                    <a:stretch>
                      <a:fillRect/>
                    </a:stretch>
                  </pic:blipFill>
                  <pic:spPr>
                    <a:xfrm>
                      <a:off x="0" y="0"/>
                      <a:ext cx="5609929" cy="3860821"/>
                    </a:xfrm>
                    <a:prstGeom prst="rect">
                      <a:avLst/>
                    </a:prstGeom>
                    <a:noFill/>
                  </pic:spPr>
                </pic:pic>
              </a:graphicData>
            </a:graphic>
          </wp:inline>
        </w:drawing>
      </w:r>
    </w:p>
    <w:p w14:paraId="77B18580" w14:textId="77777777" w:rsidR="003E3FB4" w:rsidRDefault="00385ED0">
      <w:pPr>
        <w:tabs>
          <w:tab w:val="left" w:pos="6173"/>
        </w:tabs>
        <w:spacing w:line="360" w:lineRule="auto"/>
        <w:jc w:val="center"/>
        <w:rPr>
          <w:rFonts w:asciiTheme="majorBidi" w:hAnsiTheme="majorBidi" w:cstheme="majorBidi"/>
          <w:sz w:val="24"/>
          <w:szCs w:val="24"/>
          <w:lang w:bidi="ar-DZ"/>
        </w:rPr>
      </w:pPr>
      <w:r>
        <w:rPr>
          <w:rFonts w:asciiTheme="majorBidi" w:hAnsiTheme="majorBidi" w:cstheme="majorBidi"/>
          <w:b/>
          <w:bCs/>
          <w:sz w:val="24"/>
          <w:szCs w:val="24"/>
          <w:lang w:bidi="ar-DZ"/>
        </w:rPr>
        <w:t>Figure I.3.</w:t>
      </w:r>
      <w:r>
        <w:rPr>
          <w:rFonts w:asciiTheme="majorBidi" w:hAnsiTheme="majorBidi" w:cstheme="majorBidi"/>
          <w:sz w:val="24"/>
          <w:szCs w:val="24"/>
          <w:lang w:bidi="ar-DZ"/>
        </w:rPr>
        <w:t xml:space="preserve"> Principales classes des composés phénoliques. </w:t>
      </w:r>
      <w:r>
        <w:rPr>
          <w:rFonts w:asciiTheme="majorBidi" w:hAnsiTheme="majorBidi" w:cstheme="majorBidi"/>
          <w:b/>
          <w:bCs/>
          <w:sz w:val="24"/>
          <w:szCs w:val="24"/>
          <w:lang w:bidi="ar-DZ"/>
        </w:rPr>
        <w:t>(Hamad.2021)</w:t>
      </w:r>
      <w:r>
        <w:rPr>
          <w:rFonts w:asciiTheme="majorBidi" w:hAnsiTheme="majorBidi" w:cstheme="majorBidi"/>
          <w:sz w:val="24"/>
          <w:szCs w:val="24"/>
          <w:lang w:bidi="ar-DZ"/>
        </w:rPr>
        <w:t>.</w:t>
      </w:r>
    </w:p>
    <w:p w14:paraId="57FDF09A" w14:textId="77777777" w:rsidR="00DF241B" w:rsidRDefault="00DF241B">
      <w:pPr>
        <w:tabs>
          <w:tab w:val="left" w:pos="6173"/>
        </w:tabs>
        <w:spacing w:line="360" w:lineRule="auto"/>
        <w:jc w:val="both"/>
        <w:rPr>
          <w:rFonts w:asciiTheme="majorBidi" w:hAnsiTheme="majorBidi" w:cstheme="majorBidi"/>
          <w:b/>
          <w:bCs/>
          <w:sz w:val="26"/>
          <w:szCs w:val="26"/>
          <w:lang w:bidi="ar-DZ"/>
        </w:rPr>
      </w:pPr>
    </w:p>
    <w:p w14:paraId="7F84420D" w14:textId="4C684A79" w:rsidR="003E3FB4" w:rsidRDefault="00385ED0">
      <w:pPr>
        <w:tabs>
          <w:tab w:val="left" w:pos="6173"/>
        </w:tabs>
        <w:spacing w:line="360" w:lineRule="auto"/>
        <w:jc w:val="both"/>
        <w:rPr>
          <w:rFonts w:asciiTheme="majorBidi" w:hAnsiTheme="majorBidi" w:cstheme="majorBidi"/>
          <w:b/>
          <w:bCs/>
          <w:sz w:val="26"/>
          <w:szCs w:val="26"/>
          <w:lang w:bidi="ar-DZ"/>
        </w:rPr>
      </w:pPr>
      <w:r>
        <w:rPr>
          <w:rFonts w:asciiTheme="majorBidi" w:hAnsiTheme="majorBidi" w:cstheme="majorBidi"/>
          <w:b/>
          <w:bCs/>
          <w:sz w:val="26"/>
          <w:szCs w:val="26"/>
          <w:lang w:bidi="ar-DZ"/>
        </w:rPr>
        <w:lastRenderedPageBreak/>
        <w:t xml:space="preserve">I.6.2.1.1.  Acides phénoliques </w:t>
      </w:r>
    </w:p>
    <w:p w14:paraId="0FE6E1FD" w14:textId="77777777" w:rsidR="003E3FB4" w:rsidRDefault="00385ED0">
      <w:pPr>
        <w:tabs>
          <w:tab w:val="left" w:pos="6173"/>
        </w:tabs>
        <w:spacing w:line="360" w:lineRule="auto"/>
        <w:ind w:firstLine="567"/>
        <w:jc w:val="both"/>
        <w:rPr>
          <w:rFonts w:asciiTheme="majorBidi" w:hAnsiTheme="majorBidi" w:cstheme="majorBidi"/>
          <w:sz w:val="24"/>
          <w:szCs w:val="24"/>
          <w:lang w:bidi="ar-DZ"/>
        </w:rPr>
      </w:pPr>
      <w:r>
        <w:rPr>
          <w:rFonts w:asciiTheme="majorBidi" w:hAnsiTheme="majorBidi" w:cstheme="majorBidi"/>
          <w:sz w:val="24"/>
          <w:szCs w:val="24"/>
          <w:lang w:bidi="ar-DZ"/>
        </w:rPr>
        <w:t xml:space="preserve">Les acides phénoliques, bien que relativement rares dans la nature, sont néanmoins présents sous forme libre ou, plus fréquemment, associés à d'autres molécules organiques </w:t>
      </w:r>
      <w:r>
        <w:rPr>
          <w:rFonts w:asciiTheme="majorBidi" w:hAnsiTheme="majorBidi" w:cstheme="majorBidi"/>
          <w:b/>
          <w:bCs/>
          <w:sz w:val="24"/>
          <w:szCs w:val="24"/>
          <w:lang w:bidi="ar-DZ"/>
        </w:rPr>
        <w:t xml:space="preserve">(Pasha, 2015 ; Macheix et </w:t>
      </w:r>
      <w:r>
        <w:rPr>
          <w:rFonts w:asciiTheme="majorBidi" w:hAnsiTheme="majorBidi" w:cstheme="majorBidi"/>
          <w:b/>
          <w:bCs/>
          <w:i/>
          <w:iCs/>
          <w:sz w:val="24"/>
          <w:szCs w:val="24"/>
          <w:lang w:bidi="ar-DZ"/>
        </w:rPr>
        <w:t>al</w:t>
      </w:r>
      <w:r>
        <w:rPr>
          <w:rFonts w:asciiTheme="majorBidi" w:hAnsiTheme="majorBidi" w:cstheme="majorBidi"/>
          <w:b/>
          <w:bCs/>
          <w:sz w:val="24"/>
          <w:szCs w:val="24"/>
          <w:lang w:bidi="ar-DZ"/>
        </w:rPr>
        <w:t>., 2005)</w:t>
      </w:r>
      <w:r>
        <w:rPr>
          <w:rFonts w:asciiTheme="majorBidi" w:hAnsiTheme="majorBidi" w:cstheme="majorBidi"/>
          <w:sz w:val="24"/>
          <w:szCs w:val="24"/>
          <w:lang w:bidi="ar-DZ"/>
        </w:rPr>
        <w:t xml:space="preserve">. Ils représentent l'une des formes les plus simples de composés phénoliques </w:t>
      </w:r>
      <w:r>
        <w:rPr>
          <w:rFonts w:asciiTheme="majorBidi" w:hAnsiTheme="majorBidi" w:cstheme="majorBidi"/>
          <w:b/>
          <w:bCs/>
          <w:sz w:val="24"/>
          <w:szCs w:val="24"/>
          <w:lang w:bidi="ar-DZ"/>
        </w:rPr>
        <w:t>(Djedaia, 2017)</w:t>
      </w:r>
      <w:r>
        <w:rPr>
          <w:rFonts w:asciiTheme="majorBidi" w:hAnsiTheme="majorBidi" w:cstheme="majorBidi"/>
          <w:sz w:val="24"/>
          <w:szCs w:val="24"/>
          <w:lang w:bidi="ar-DZ"/>
        </w:rPr>
        <w:t xml:space="preserve">. On distingue deux grandes catégories d’acides phénoliques : d’une part, ceux dérivés de l’acide benzoïque, et d’autre part, ceux issus de l’acide cinnamique </w:t>
      </w:r>
      <w:r>
        <w:rPr>
          <w:rFonts w:asciiTheme="majorBidi" w:hAnsiTheme="majorBidi" w:cstheme="majorBidi"/>
          <w:b/>
          <w:bCs/>
          <w:sz w:val="24"/>
          <w:szCs w:val="24"/>
          <w:lang w:bidi="ar-DZ"/>
        </w:rPr>
        <w:t>(Fig. I.4) (Pasha, 2015)</w:t>
      </w:r>
      <w:r>
        <w:rPr>
          <w:rFonts w:asciiTheme="majorBidi" w:hAnsiTheme="majorBidi" w:cstheme="majorBidi"/>
          <w:sz w:val="24"/>
          <w:szCs w:val="24"/>
          <w:lang w:bidi="ar-DZ"/>
        </w:rPr>
        <w:t>.</w:t>
      </w:r>
    </w:p>
    <w:p w14:paraId="277864BA" w14:textId="77777777" w:rsidR="003E3FB4" w:rsidRDefault="00385ED0">
      <w:pPr>
        <w:tabs>
          <w:tab w:val="left" w:pos="6173"/>
        </w:tabs>
        <w:spacing w:line="360" w:lineRule="auto"/>
        <w:jc w:val="center"/>
        <w:rPr>
          <w:rFonts w:asciiTheme="majorBidi" w:hAnsiTheme="majorBidi" w:cstheme="majorBidi"/>
          <w:b/>
          <w:bCs/>
          <w:sz w:val="24"/>
          <w:szCs w:val="24"/>
          <w:lang w:bidi="ar-DZ"/>
        </w:rPr>
      </w:pPr>
      <w:r>
        <w:rPr>
          <w:noProof/>
        </w:rPr>
        <w:drawing>
          <wp:inline distT="0" distB="0" distL="0" distR="0" wp14:anchorId="45C48024" wp14:editId="72720954">
            <wp:extent cx="4956765" cy="2266950"/>
            <wp:effectExtent l="0" t="0" r="0" b="0"/>
            <wp:docPr id="8"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1"/>
                    <pic:cNvPicPr>
                      <a:picLocks noChangeAspect="1"/>
                    </pic:cNvPicPr>
                  </pic:nvPicPr>
                  <pic:blipFill>
                    <a:blip r:embed="rId20"/>
                    <a:stretch>
                      <a:fillRect/>
                    </a:stretch>
                  </pic:blipFill>
                  <pic:spPr>
                    <a:xfrm>
                      <a:off x="0" y="0"/>
                      <a:ext cx="4960234" cy="2268537"/>
                    </a:xfrm>
                    <a:prstGeom prst="rect">
                      <a:avLst/>
                    </a:prstGeom>
                  </pic:spPr>
                </pic:pic>
              </a:graphicData>
            </a:graphic>
          </wp:inline>
        </w:drawing>
      </w:r>
    </w:p>
    <w:p w14:paraId="50BD07CA" w14:textId="77777777" w:rsidR="003E3FB4" w:rsidRDefault="00385ED0">
      <w:pPr>
        <w:tabs>
          <w:tab w:val="left" w:pos="6173"/>
        </w:tabs>
        <w:spacing w:line="360" w:lineRule="auto"/>
        <w:rPr>
          <w:rFonts w:asciiTheme="majorBidi" w:hAnsiTheme="majorBidi" w:cstheme="majorBidi"/>
          <w:b/>
          <w:bCs/>
          <w:sz w:val="24"/>
          <w:szCs w:val="24"/>
          <w:lang w:bidi="ar-DZ"/>
        </w:rPr>
      </w:pPr>
      <w:r>
        <w:rPr>
          <w:rFonts w:asciiTheme="majorBidi" w:hAnsiTheme="majorBidi" w:cstheme="majorBidi"/>
          <w:b/>
          <w:bCs/>
          <w:sz w:val="24"/>
          <w:szCs w:val="24"/>
          <w:lang w:bidi="ar-DZ"/>
        </w:rPr>
        <w:t xml:space="preserve">             Figure I.4. </w:t>
      </w:r>
      <w:r>
        <w:rPr>
          <w:rFonts w:asciiTheme="majorBidi" w:hAnsiTheme="majorBidi" w:cstheme="majorBidi"/>
          <w:sz w:val="24"/>
          <w:szCs w:val="24"/>
          <w:lang w:bidi="ar-DZ"/>
        </w:rPr>
        <w:t>Structure chimique de quelques acides phénoliques</w:t>
      </w:r>
      <w:r>
        <w:rPr>
          <w:rFonts w:asciiTheme="majorBidi" w:hAnsiTheme="majorBidi" w:cstheme="majorBidi"/>
          <w:b/>
          <w:bCs/>
          <w:sz w:val="24"/>
          <w:szCs w:val="24"/>
          <w:lang w:bidi="ar-DZ"/>
        </w:rPr>
        <w:t xml:space="preserve"> (Hamad, 2021).            </w:t>
      </w:r>
    </w:p>
    <w:p w14:paraId="7EE0B083" w14:textId="77777777" w:rsidR="003E3FB4" w:rsidRDefault="00385ED0">
      <w:pPr>
        <w:tabs>
          <w:tab w:val="left" w:pos="6173"/>
        </w:tabs>
        <w:spacing w:line="360" w:lineRule="auto"/>
        <w:rPr>
          <w:rFonts w:asciiTheme="majorBidi" w:hAnsiTheme="majorBidi" w:cstheme="majorBidi"/>
          <w:b/>
          <w:bCs/>
          <w:sz w:val="26"/>
          <w:szCs w:val="26"/>
          <w:lang w:bidi="ar-DZ"/>
        </w:rPr>
      </w:pPr>
      <w:r>
        <w:rPr>
          <w:rFonts w:asciiTheme="majorBidi" w:hAnsiTheme="majorBidi" w:cstheme="majorBidi"/>
          <w:b/>
          <w:bCs/>
          <w:sz w:val="26"/>
          <w:szCs w:val="26"/>
          <w:lang w:bidi="ar-DZ"/>
        </w:rPr>
        <w:t xml:space="preserve">I.6.2.1.2.  Les flavonoïdes </w:t>
      </w:r>
    </w:p>
    <w:p w14:paraId="0CE09385" w14:textId="77777777" w:rsidR="003E3FB4" w:rsidRDefault="00385ED0">
      <w:pPr>
        <w:tabs>
          <w:tab w:val="left" w:pos="6173"/>
        </w:tabs>
        <w:spacing w:line="360" w:lineRule="auto"/>
        <w:ind w:firstLine="567"/>
        <w:jc w:val="both"/>
        <w:rPr>
          <w:rFonts w:asciiTheme="majorBidi" w:hAnsiTheme="majorBidi" w:cstheme="majorBidi"/>
          <w:b/>
          <w:bCs/>
          <w:sz w:val="24"/>
          <w:szCs w:val="24"/>
          <w:lang w:bidi="ar-DZ"/>
        </w:rPr>
      </w:pPr>
      <w:r>
        <w:rPr>
          <w:rFonts w:asciiTheme="majorBidi" w:hAnsiTheme="majorBidi" w:cstheme="majorBidi"/>
          <w:sz w:val="24"/>
          <w:szCs w:val="24"/>
          <w:lang w:bidi="ar-DZ"/>
        </w:rPr>
        <w:t>Les flavonoïdes représentent une classe de métabolites secondaires largement répandus dans le règne végétal. À ce jour, plus de 9 000 composés appartenant à cette famille ont été identifiés. Ils se subdivisent en plusieurs sous-classes majeures, parmi lesquelles figurent les flavones, les isoflavandiols, les flavanols, les flavonols, les aurones, les chalcones et les anthocyanines (</w:t>
      </w:r>
      <w:r>
        <w:rPr>
          <w:rFonts w:asciiTheme="majorBidi" w:hAnsiTheme="majorBidi" w:cstheme="majorBidi"/>
          <w:b/>
          <w:bCs/>
          <w:sz w:val="24"/>
          <w:szCs w:val="24"/>
          <w:lang w:bidi="ar-DZ"/>
        </w:rPr>
        <w:t>Figure I.5) (Amraoui, 2022).</w:t>
      </w:r>
    </w:p>
    <w:p w14:paraId="1E880798" w14:textId="77777777" w:rsidR="003E3FB4" w:rsidRDefault="00385ED0">
      <w:pPr>
        <w:tabs>
          <w:tab w:val="left" w:pos="6173"/>
        </w:tabs>
        <w:spacing w:line="360" w:lineRule="auto"/>
        <w:jc w:val="center"/>
        <w:rPr>
          <w:rFonts w:asciiTheme="majorBidi" w:hAnsiTheme="majorBidi" w:cstheme="majorBidi"/>
          <w:sz w:val="24"/>
          <w:szCs w:val="24"/>
          <w:lang w:bidi="ar-DZ"/>
        </w:rPr>
      </w:pPr>
      <w:r>
        <w:rPr>
          <w:rFonts w:asciiTheme="majorBidi" w:hAnsiTheme="majorBidi" w:cstheme="majorBidi"/>
          <w:noProof/>
          <w:sz w:val="24"/>
          <w:szCs w:val="24"/>
          <w:lang w:bidi="ar-DZ"/>
        </w:rPr>
        <w:drawing>
          <wp:inline distT="0" distB="0" distL="0" distR="0" wp14:anchorId="7D9108C6" wp14:editId="548D0F5A">
            <wp:extent cx="4504727" cy="1524000"/>
            <wp:effectExtent l="0" t="0" r="0" b="0"/>
            <wp:docPr id="953270539"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3270539" name="Image 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a:xfrm>
                      <a:off x="0" y="0"/>
                      <a:ext cx="4508763" cy="1525365"/>
                    </a:xfrm>
                    <a:prstGeom prst="rect">
                      <a:avLst/>
                    </a:prstGeom>
                    <a:noFill/>
                  </pic:spPr>
                </pic:pic>
              </a:graphicData>
            </a:graphic>
          </wp:inline>
        </w:drawing>
      </w:r>
    </w:p>
    <w:p w14:paraId="6398277C" w14:textId="77777777" w:rsidR="003E3FB4" w:rsidRDefault="00385ED0">
      <w:pPr>
        <w:tabs>
          <w:tab w:val="left" w:pos="6173"/>
        </w:tabs>
        <w:spacing w:line="360" w:lineRule="auto"/>
        <w:jc w:val="center"/>
        <w:rPr>
          <w:rFonts w:asciiTheme="majorBidi" w:hAnsiTheme="majorBidi" w:cstheme="majorBidi"/>
          <w:b/>
          <w:bCs/>
          <w:sz w:val="24"/>
          <w:szCs w:val="24"/>
          <w:lang w:bidi="ar-DZ"/>
        </w:rPr>
      </w:pPr>
      <w:r>
        <w:rPr>
          <w:rFonts w:asciiTheme="majorBidi" w:hAnsiTheme="majorBidi" w:cstheme="majorBidi"/>
          <w:b/>
          <w:bCs/>
          <w:sz w:val="24"/>
          <w:szCs w:val="24"/>
          <w:lang w:bidi="ar-DZ"/>
        </w:rPr>
        <w:t>Figure I.5.</w:t>
      </w:r>
      <w:r>
        <w:rPr>
          <w:rFonts w:asciiTheme="majorBidi" w:hAnsiTheme="majorBidi" w:cstheme="majorBidi"/>
          <w:sz w:val="24"/>
          <w:szCs w:val="24"/>
          <w:lang w:bidi="ar-DZ"/>
        </w:rPr>
        <w:t xml:space="preserve"> Structure tricyclique commune aux flavonoïdes </w:t>
      </w:r>
      <w:r>
        <w:rPr>
          <w:rFonts w:asciiTheme="majorBidi" w:hAnsiTheme="majorBidi" w:cstheme="majorBidi"/>
          <w:b/>
          <w:bCs/>
          <w:sz w:val="24"/>
          <w:szCs w:val="24"/>
          <w:lang w:bidi="ar-DZ"/>
        </w:rPr>
        <w:t>(Shrutikhare, 2022).</w:t>
      </w:r>
    </w:p>
    <w:p w14:paraId="65BFB386" w14:textId="77777777" w:rsidR="003E3FB4" w:rsidRDefault="00385ED0" w:rsidP="00427A87">
      <w:pPr>
        <w:tabs>
          <w:tab w:val="left" w:pos="567"/>
          <w:tab w:val="left" w:pos="6173"/>
        </w:tabs>
        <w:spacing w:line="360" w:lineRule="auto"/>
        <w:ind w:firstLine="567"/>
        <w:jc w:val="both"/>
        <w:rPr>
          <w:rFonts w:asciiTheme="majorBidi" w:hAnsiTheme="majorBidi" w:cstheme="majorBidi"/>
          <w:sz w:val="24"/>
          <w:szCs w:val="24"/>
          <w:lang w:bidi="ar-DZ"/>
        </w:rPr>
      </w:pPr>
      <w:r>
        <w:rPr>
          <w:rFonts w:asciiTheme="majorBidi" w:hAnsiTheme="majorBidi" w:cstheme="majorBidi"/>
          <w:sz w:val="24"/>
          <w:szCs w:val="24"/>
          <w:lang w:bidi="ar-DZ"/>
        </w:rPr>
        <w:lastRenderedPageBreak/>
        <w:t>Le fenugrec (</w:t>
      </w:r>
      <w:r>
        <w:rPr>
          <w:rFonts w:asciiTheme="majorBidi" w:hAnsiTheme="majorBidi" w:cstheme="majorBidi"/>
          <w:i/>
          <w:iCs/>
          <w:sz w:val="24"/>
          <w:szCs w:val="24"/>
          <w:lang w:bidi="ar-DZ"/>
        </w:rPr>
        <w:t>Trigonella foenum-graecum</w:t>
      </w:r>
      <w:r>
        <w:rPr>
          <w:rFonts w:asciiTheme="majorBidi" w:hAnsiTheme="majorBidi" w:cstheme="majorBidi"/>
          <w:sz w:val="24"/>
          <w:szCs w:val="24"/>
          <w:lang w:bidi="ar-DZ"/>
        </w:rPr>
        <w:t xml:space="preserve">) se distingue par une teneur élevée en flavonoïdes et en composés polyphénoliques, notamment la quercétine, la lutéoline, la vitexine et la naringénine, extraites de différentes parties de la plante. Ces flavonoïdes sont principalement présents sous forme de glycosides complexes. Par ailleurs, des composés tels que la vicénine-1 et la vicénine-2 ont été isolés à partir des graines </w:t>
      </w:r>
      <w:r>
        <w:rPr>
          <w:rFonts w:asciiTheme="majorBidi" w:hAnsiTheme="majorBidi" w:cstheme="majorBidi"/>
          <w:b/>
          <w:bCs/>
          <w:sz w:val="24"/>
          <w:szCs w:val="24"/>
          <w:lang w:bidi="ar-DZ"/>
        </w:rPr>
        <w:t>(Bagchi et Anupam, 2017)</w:t>
      </w:r>
      <w:r>
        <w:rPr>
          <w:rFonts w:asciiTheme="majorBidi" w:hAnsiTheme="majorBidi" w:cstheme="majorBidi"/>
          <w:sz w:val="24"/>
          <w:szCs w:val="24"/>
          <w:lang w:bidi="ar-DZ"/>
        </w:rPr>
        <w:t>.</w:t>
      </w:r>
    </w:p>
    <w:p w14:paraId="0656FE70" w14:textId="77777777" w:rsidR="003E3FB4" w:rsidRDefault="00385ED0">
      <w:pPr>
        <w:tabs>
          <w:tab w:val="left" w:pos="6173"/>
        </w:tabs>
        <w:spacing w:line="360" w:lineRule="auto"/>
        <w:rPr>
          <w:rFonts w:asciiTheme="majorBidi" w:hAnsiTheme="majorBidi" w:cstheme="majorBidi"/>
          <w:b/>
          <w:bCs/>
          <w:sz w:val="26"/>
          <w:szCs w:val="26"/>
          <w:lang w:bidi="ar-DZ"/>
        </w:rPr>
      </w:pPr>
      <w:r>
        <w:rPr>
          <w:rFonts w:asciiTheme="majorBidi" w:hAnsiTheme="majorBidi" w:cstheme="majorBidi"/>
          <w:b/>
          <w:bCs/>
          <w:sz w:val="26"/>
          <w:szCs w:val="26"/>
          <w:lang w:bidi="ar-DZ"/>
        </w:rPr>
        <w:t xml:space="preserve">I.6.2.1.3. Les Tanins </w:t>
      </w:r>
    </w:p>
    <w:p w14:paraId="526BD199" w14:textId="77777777" w:rsidR="003E3FB4" w:rsidRDefault="00385ED0">
      <w:pPr>
        <w:tabs>
          <w:tab w:val="left" w:pos="6173"/>
        </w:tabs>
        <w:spacing w:line="360" w:lineRule="auto"/>
        <w:ind w:firstLine="567"/>
        <w:jc w:val="both"/>
        <w:rPr>
          <w:rFonts w:asciiTheme="majorBidi" w:hAnsiTheme="majorBidi" w:cstheme="majorBidi"/>
          <w:b/>
          <w:bCs/>
          <w:sz w:val="24"/>
          <w:szCs w:val="24"/>
          <w:lang w:bidi="ar-DZ"/>
        </w:rPr>
      </w:pPr>
      <w:r>
        <w:rPr>
          <w:rFonts w:asciiTheme="majorBidi" w:hAnsiTheme="majorBidi" w:cstheme="majorBidi"/>
          <w:sz w:val="24"/>
          <w:szCs w:val="24"/>
          <w:lang w:bidi="ar-DZ"/>
        </w:rPr>
        <w:t xml:space="preserve">Selon </w:t>
      </w:r>
      <w:r>
        <w:rPr>
          <w:rFonts w:asciiTheme="majorBidi" w:hAnsiTheme="majorBidi" w:cstheme="majorBidi"/>
          <w:b/>
          <w:bCs/>
          <w:sz w:val="24"/>
          <w:szCs w:val="24"/>
          <w:lang w:bidi="ar-DZ"/>
        </w:rPr>
        <w:t>Boutlelis, (2014)</w:t>
      </w:r>
      <w:r>
        <w:rPr>
          <w:rFonts w:asciiTheme="majorBidi" w:hAnsiTheme="majorBidi" w:cstheme="majorBidi"/>
          <w:sz w:val="24"/>
          <w:szCs w:val="24"/>
          <w:lang w:bidi="ar-DZ"/>
        </w:rPr>
        <w:t xml:space="preserve">, le terme « tanins » désigne généralement des substances d’origine végétale, dépourvues d’azote, de structure polyphénolique, solubles dans l’eau, l’alcool et l’acétone, mais faiblement solubles dans l’éther. Ces composés se caractérisent par une saveur astringente et la capacité de tanner les peaux, c’est-à-dire de les rendre imputrescibles et imperméables par fixation aux protéines. Leur poids moléculaire est généralement compris entre 500 et 3 000 daltons. On distingue deux grandes classes de tanins, différenciées par leur structure chimique : les tanins hydrolysables et les tanins non hydrolysables, également appelés tanins condensés </w:t>
      </w:r>
      <w:r>
        <w:rPr>
          <w:rFonts w:asciiTheme="majorBidi" w:hAnsiTheme="majorBidi" w:cstheme="majorBidi"/>
          <w:b/>
          <w:bCs/>
          <w:sz w:val="24"/>
          <w:szCs w:val="24"/>
          <w:lang w:bidi="ar-DZ"/>
        </w:rPr>
        <w:t>(figure I.6) (Rahmouni, 2021).</w:t>
      </w:r>
    </w:p>
    <w:p w14:paraId="0D54BC4B" w14:textId="77777777" w:rsidR="003E3FB4" w:rsidRDefault="00385ED0">
      <w:pPr>
        <w:tabs>
          <w:tab w:val="left" w:pos="6173"/>
        </w:tabs>
        <w:spacing w:line="360" w:lineRule="auto"/>
        <w:jc w:val="center"/>
        <w:rPr>
          <w:rFonts w:asciiTheme="majorBidi" w:hAnsiTheme="majorBidi" w:cstheme="majorBidi"/>
          <w:b/>
          <w:bCs/>
          <w:sz w:val="24"/>
          <w:szCs w:val="24"/>
          <w:lang w:bidi="ar-DZ"/>
        </w:rPr>
      </w:pPr>
      <w:r>
        <w:rPr>
          <w:noProof/>
        </w:rPr>
        <w:drawing>
          <wp:inline distT="0" distB="0" distL="0" distR="0" wp14:anchorId="72FB35FD" wp14:editId="1FDA72EB">
            <wp:extent cx="5766318" cy="1962150"/>
            <wp:effectExtent l="0" t="0" r="6350" b="0"/>
            <wp:docPr id="7"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 1"/>
                    <pic:cNvPicPr>
                      <a:picLocks noChangeAspect="1"/>
                    </pic:cNvPicPr>
                  </pic:nvPicPr>
                  <pic:blipFill>
                    <a:blip r:embed="rId22">
                      <a:extLst>
                        <a:ext uri="{28A0092B-C50C-407E-A947-70E740481C1C}">
                          <a14:useLocalDpi xmlns:a14="http://schemas.microsoft.com/office/drawing/2010/main" val="0"/>
                        </a:ext>
                      </a:extLst>
                    </a:blip>
                    <a:stretch>
                      <a:fillRect/>
                    </a:stretch>
                  </pic:blipFill>
                  <pic:spPr>
                    <a:xfrm>
                      <a:off x="0" y="0"/>
                      <a:ext cx="5818489" cy="1979903"/>
                    </a:xfrm>
                    <a:prstGeom prst="rect">
                      <a:avLst/>
                    </a:prstGeom>
                  </pic:spPr>
                </pic:pic>
              </a:graphicData>
            </a:graphic>
          </wp:inline>
        </w:drawing>
      </w:r>
    </w:p>
    <w:p w14:paraId="06C83755" w14:textId="77777777" w:rsidR="003E3FB4" w:rsidRDefault="00385ED0">
      <w:pPr>
        <w:tabs>
          <w:tab w:val="left" w:pos="6173"/>
        </w:tabs>
        <w:spacing w:after="0" w:line="240" w:lineRule="auto"/>
        <w:jc w:val="center"/>
        <w:rPr>
          <w:rFonts w:asciiTheme="majorBidi" w:hAnsiTheme="majorBidi" w:cstheme="majorBidi"/>
          <w:sz w:val="24"/>
          <w:szCs w:val="24"/>
          <w:lang w:bidi="ar-DZ"/>
        </w:rPr>
      </w:pPr>
      <w:r>
        <w:rPr>
          <w:rFonts w:asciiTheme="majorBidi" w:hAnsiTheme="majorBidi" w:cstheme="majorBidi"/>
          <w:b/>
          <w:bCs/>
          <w:sz w:val="24"/>
          <w:szCs w:val="24"/>
          <w:lang w:bidi="ar-DZ"/>
        </w:rPr>
        <w:t>Figure I.6.</w:t>
      </w:r>
      <w:r>
        <w:rPr>
          <w:rFonts w:asciiTheme="majorBidi" w:hAnsiTheme="majorBidi" w:cstheme="majorBidi"/>
          <w:sz w:val="24"/>
          <w:szCs w:val="24"/>
          <w:lang w:bidi="ar-DZ"/>
        </w:rPr>
        <w:t xml:space="preserve"> Structure chimique des tanins</w:t>
      </w:r>
    </w:p>
    <w:p w14:paraId="49FF6031" w14:textId="77777777" w:rsidR="003E3FB4" w:rsidRDefault="00385ED0">
      <w:pPr>
        <w:tabs>
          <w:tab w:val="left" w:pos="6173"/>
        </w:tabs>
        <w:spacing w:after="0" w:line="240" w:lineRule="auto"/>
        <w:jc w:val="center"/>
        <w:rPr>
          <w:rFonts w:asciiTheme="majorBidi" w:hAnsiTheme="majorBidi" w:cstheme="majorBidi"/>
          <w:sz w:val="20"/>
          <w:szCs w:val="20"/>
          <w:lang w:bidi="ar-DZ"/>
        </w:rPr>
      </w:pPr>
      <w:r>
        <w:rPr>
          <w:rFonts w:asciiTheme="majorBidi" w:hAnsiTheme="majorBidi" w:cstheme="majorBidi"/>
          <w:sz w:val="20"/>
          <w:szCs w:val="20"/>
          <w:lang w:bidi="ar-DZ"/>
        </w:rPr>
        <w:t>A : Les tanins hydrolysables   B : Les tanins condensés</w:t>
      </w:r>
    </w:p>
    <w:p w14:paraId="651A0700" w14:textId="77777777" w:rsidR="003E3FB4" w:rsidRDefault="003E3FB4">
      <w:pPr>
        <w:tabs>
          <w:tab w:val="left" w:pos="6173"/>
        </w:tabs>
        <w:spacing w:line="360" w:lineRule="auto"/>
        <w:rPr>
          <w:rFonts w:asciiTheme="majorBidi" w:hAnsiTheme="majorBidi" w:cstheme="majorBidi"/>
          <w:sz w:val="20"/>
          <w:szCs w:val="20"/>
          <w:lang w:bidi="ar-DZ"/>
        </w:rPr>
      </w:pPr>
    </w:p>
    <w:p w14:paraId="328B649E" w14:textId="77777777" w:rsidR="003E3FB4" w:rsidRDefault="00385ED0">
      <w:pPr>
        <w:tabs>
          <w:tab w:val="left" w:pos="6173"/>
        </w:tabs>
        <w:spacing w:line="360" w:lineRule="auto"/>
        <w:jc w:val="both"/>
        <w:rPr>
          <w:rFonts w:asciiTheme="majorBidi" w:hAnsiTheme="majorBidi" w:cstheme="majorBidi"/>
          <w:b/>
          <w:bCs/>
          <w:sz w:val="24"/>
          <w:szCs w:val="24"/>
          <w:lang w:bidi="ar-DZ"/>
        </w:rPr>
      </w:pPr>
      <w:r>
        <w:rPr>
          <w:rFonts w:asciiTheme="majorBidi" w:hAnsiTheme="majorBidi" w:cstheme="majorBidi"/>
          <w:sz w:val="24"/>
          <w:szCs w:val="24"/>
          <w:lang w:bidi="ar-DZ"/>
        </w:rPr>
        <w:t xml:space="preserve">          Les tanins présentent une forte capacité à neutraliser les radicaux libres. Cette propriété antioxydante leur confère des effets antimutagènes et anticancéreux notables </w:t>
      </w:r>
      <w:r>
        <w:rPr>
          <w:rFonts w:asciiTheme="majorBidi" w:hAnsiTheme="majorBidi" w:cstheme="majorBidi"/>
          <w:b/>
          <w:bCs/>
          <w:sz w:val="24"/>
          <w:szCs w:val="24"/>
          <w:lang w:bidi="ar-DZ"/>
        </w:rPr>
        <w:t>(Rahmouni,2021).</w:t>
      </w:r>
    </w:p>
    <w:p w14:paraId="4E656B54" w14:textId="77777777" w:rsidR="003E3FB4" w:rsidRDefault="00385ED0">
      <w:pPr>
        <w:tabs>
          <w:tab w:val="left" w:pos="1134"/>
        </w:tabs>
        <w:spacing w:line="240" w:lineRule="auto"/>
        <w:rPr>
          <w:rFonts w:asciiTheme="majorBidi" w:hAnsiTheme="majorBidi" w:cstheme="majorBidi"/>
          <w:b/>
          <w:bCs/>
          <w:sz w:val="26"/>
          <w:szCs w:val="26"/>
        </w:rPr>
      </w:pPr>
      <w:r>
        <w:rPr>
          <w:rFonts w:asciiTheme="majorBidi" w:hAnsiTheme="majorBidi" w:cstheme="majorBidi"/>
          <w:b/>
          <w:bCs/>
          <w:sz w:val="26"/>
          <w:szCs w:val="26"/>
        </w:rPr>
        <w:t xml:space="preserve">I.6.2.1.4.  Coumarine </w:t>
      </w:r>
    </w:p>
    <w:p w14:paraId="23D350C8" w14:textId="77777777" w:rsidR="003E3FB4" w:rsidRDefault="00385ED0">
      <w:pPr>
        <w:tabs>
          <w:tab w:val="left" w:pos="1134"/>
        </w:tabs>
        <w:spacing w:line="360" w:lineRule="auto"/>
        <w:ind w:firstLine="567"/>
        <w:jc w:val="both"/>
        <w:rPr>
          <w:rFonts w:asciiTheme="majorBidi" w:hAnsiTheme="majorBidi" w:cstheme="majorBidi"/>
          <w:b/>
          <w:bCs/>
          <w:sz w:val="24"/>
          <w:szCs w:val="24"/>
        </w:rPr>
      </w:pPr>
      <w:r>
        <w:rPr>
          <w:rFonts w:asciiTheme="majorBidi" w:hAnsiTheme="majorBidi" w:cstheme="majorBidi"/>
          <w:sz w:val="24"/>
          <w:szCs w:val="24"/>
        </w:rPr>
        <w:t xml:space="preserve">La coumarine constitue l’un des composés bioactifs les plus prometteurs présents dans les graines de fenugrec. Parmi ses constituants majeurs figurent le lactone, l’acide cinnamique orthodihydroxy ainsi que la scopolétine. Ces molécules jouent un rôle significatif dans le </w:t>
      </w:r>
      <w:r>
        <w:rPr>
          <w:rFonts w:asciiTheme="majorBidi" w:hAnsiTheme="majorBidi" w:cstheme="majorBidi"/>
          <w:sz w:val="24"/>
          <w:szCs w:val="24"/>
        </w:rPr>
        <w:lastRenderedPageBreak/>
        <w:t xml:space="preserve">renforcement de l’action des anticoagulants, tels que la warfarine. Elles agissent notamment en réduisant l’agrégation plaquettaire au sein des vaisseaux sanguins, contribuant ainsi à abaisser le risque de formation de caillots, tout en limitant les risques hémorragiques </w:t>
      </w:r>
      <w:r>
        <w:rPr>
          <w:rFonts w:asciiTheme="majorBidi" w:hAnsiTheme="majorBidi" w:cstheme="majorBidi"/>
          <w:b/>
          <w:bCs/>
          <w:sz w:val="24"/>
          <w:szCs w:val="24"/>
        </w:rPr>
        <w:t xml:space="preserve">(Niknam et </w:t>
      </w:r>
      <w:r>
        <w:rPr>
          <w:rFonts w:asciiTheme="majorBidi" w:hAnsiTheme="majorBidi" w:cstheme="majorBidi"/>
          <w:b/>
          <w:bCs/>
          <w:i/>
          <w:iCs/>
          <w:sz w:val="24"/>
          <w:szCs w:val="24"/>
        </w:rPr>
        <w:t>al</w:t>
      </w:r>
      <w:r>
        <w:rPr>
          <w:rFonts w:asciiTheme="majorBidi" w:hAnsiTheme="majorBidi" w:cstheme="majorBidi"/>
          <w:b/>
          <w:bCs/>
          <w:sz w:val="24"/>
          <w:szCs w:val="24"/>
        </w:rPr>
        <w:t>., 2021)</w:t>
      </w:r>
      <w:bookmarkStart w:id="2" w:name="_Hlk197094916"/>
      <w:r>
        <w:rPr>
          <w:rFonts w:asciiTheme="majorBidi" w:hAnsiTheme="majorBidi" w:cstheme="majorBidi"/>
          <w:b/>
          <w:bCs/>
          <w:sz w:val="24"/>
          <w:szCs w:val="24"/>
        </w:rPr>
        <w:t>.</w:t>
      </w:r>
    </w:p>
    <w:p w14:paraId="27FF7F14" w14:textId="77777777" w:rsidR="00320AF4" w:rsidRDefault="00320AF4">
      <w:pPr>
        <w:tabs>
          <w:tab w:val="left" w:pos="1134"/>
        </w:tabs>
        <w:spacing w:line="360" w:lineRule="auto"/>
        <w:ind w:firstLine="567"/>
        <w:jc w:val="both"/>
        <w:rPr>
          <w:rFonts w:asciiTheme="majorBidi" w:hAnsiTheme="majorBidi" w:cstheme="majorBidi"/>
          <w:b/>
          <w:bCs/>
          <w:sz w:val="24"/>
          <w:szCs w:val="24"/>
        </w:rPr>
      </w:pPr>
    </w:p>
    <w:p w14:paraId="7CCEC545" w14:textId="77777777" w:rsidR="003E3FB4" w:rsidRDefault="00385ED0">
      <w:pPr>
        <w:tabs>
          <w:tab w:val="left" w:pos="1134"/>
        </w:tabs>
        <w:spacing w:line="240" w:lineRule="auto"/>
        <w:rPr>
          <w:rFonts w:asciiTheme="majorBidi" w:hAnsiTheme="majorBidi" w:cstheme="majorBidi"/>
          <w:b/>
          <w:bCs/>
          <w:sz w:val="26"/>
          <w:szCs w:val="26"/>
        </w:rPr>
      </w:pPr>
      <w:r>
        <w:rPr>
          <w:rFonts w:asciiTheme="majorBidi" w:hAnsiTheme="majorBidi" w:cstheme="majorBidi"/>
          <w:b/>
          <w:bCs/>
          <w:sz w:val="26"/>
          <w:szCs w:val="26"/>
        </w:rPr>
        <w:t>I.6.2.2. Les Alcaloïdes</w:t>
      </w:r>
    </w:p>
    <w:bookmarkEnd w:id="2"/>
    <w:p w14:paraId="2372E63F" w14:textId="77777777" w:rsidR="003E3FB4" w:rsidRDefault="00385ED0">
      <w:pPr>
        <w:tabs>
          <w:tab w:val="left" w:pos="1134"/>
        </w:tabs>
        <w:spacing w:line="360" w:lineRule="auto"/>
        <w:ind w:firstLine="567"/>
        <w:jc w:val="both"/>
        <w:rPr>
          <w:rFonts w:asciiTheme="majorBidi" w:hAnsiTheme="majorBidi" w:cstheme="majorBidi"/>
          <w:b/>
          <w:bCs/>
          <w:sz w:val="24"/>
          <w:szCs w:val="24"/>
        </w:rPr>
      </w:pPr>
      <w:r>
        <w:rPr>
          <w:rFonts w:asciiTheme="majorBidi" w:hAnsiTheme="majorBidi" w:cstheme="majorBidi"/>
          <w:sz w:val="24"/>
          <w:szCs w:val="24"/>
        </w:rPr>
        <w:t xml:space="preserve">D’après </w:t>
      </w:r>
      <w:r>
        <w:rPr>
          <w:rFonts w:asciiTheme="majorBidi" w:hAnsiTheme="majorBidi" w:cstheme="majorBidi"/>
          <w:b/>
          <w:bCs/>
          <w:sz w:val="24"/>
          <w:szCs w:val="24"/>
        </w:rPr>
        <w:t>Fester, (2021)</w:t>
      </w:r>
      <w:r>
        <w:rPr>
          <w:rFonts w:asciiTheme="majorBidi" w:hAnsiTheme="majorBidi" w:cstheme="majorBidi"/>
          <w:sz w:val="24"/>
          <w:szCs w:val="24"/>
        </w:rPr>
        <w:t xml:space="preserve">, les alcaloïdes sont des composés organiques azotés d’origine végétale, généralement de goût amer et de nature basique, présentant des structures chimiques complexes. Ils sont présents dans de nombreuses familles botaniques et sont souvent nommés en référence à la plante dont ils sont issus, avec une terminaison en « -ine ». Ces substances jouent un rôle essentiel dans les mécanismes de défense des plantes contre les herbivores et les agents pathogènes </w:t>
      </w:r>
      <w:r>
        <w:rPr>
          <w:rFonts w:asciiTheme="majorBidi" w:hAnsiTheme="majorBidi" w:cstheme="majorBidi"/>
          <w:b/>
          <w:bCs/>
          <w:sz w:val="24"/>
          <w:szCs w:val="24"/>
        </w:rPr>
        <w:t>(Jogaiah et Abdelrahman, 2019)</w:t>
      </w:r>
      <w:r>
        <w:rPr>
          <w:rFonts w:asciiTheme="majorBidi" w:hAnsiTheme="majorBidi" w:cstheme="majorBidi"/>
          <w:sz w:val="24"/>
          <w:szCs w:val="24"/>
        </w:rPr>
        <w:t xml:space="preserve">. Trois grandes classes d’alcaloïdes sont communément reconnues </w:t>
      </w:r>
      <w:r>
        <w:rPr>
          <w:rFonts w:asciiTheme="majorBidi" w:hAnsiTheme="majorBidi" w:cstheme="majorBidi"/>
          <w:b/>
          <w:bCs/>
          <w:sz w:val="24"/>
          <w:szCs w:val="24"/>
        </w:rPr>
        <w:t>(</w:t>
      </w:r>
      <w:r>
        <w:rPr>
          <w:rFonts w:asciiTheme="majorBidi" w:hAnsiTheme="majorBidi" w:cstheme="majorBidi"/>
          <w:b/>
          <w:bCs/>
          <w:sz w:val="24"/>
          <w:szCs w:val="24"/>
          <w:lang w:bidi="ar-DZ"/>
        </w:rPr>
        <w:t>Bruno Casciaro et al.,2015</w:t>
      </w:r>
      <w:r>
        <w:rPr>
          <w:rFonts w:asciiTheme="majorBidi" w:hAnsiTheme="majorBidi" w:cstheme="majorBidi"/>
          <w:b/>
          <w:bCs/>
          <w:sz w:val="24"/>
          <w:szCs w:val="24"/>
        </w:rPr>
        <w:t>).</w:t>
      </w:r>
    </w:p>
    <w:p w14:paraId="09F7D43C" w14:textId="77777777" w:rsidR="003E3FB4" w:rsidRDefault="00385ED0">
      <w:pPr>
        <w:tabs>
          <w:tab w:val="left" w:pos="1134"/>
        </w:tabs>
        <w:spacing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Le fenugrec est particulièrement riche </w:t>
      </w:r>
      <w:r>
        <w:rPr>
          <w:rFonts w:asciiTheme="majorBidi" w:hAnsiTheme="majorBidi" w:cstheme="majorBidi"/>
          <w:i/>
          <w:iCs/>
          <w:sz w:val="24"/>
          <w:szCs w:val="24"/>
        </w:rPr>
        <w:t>en</w:t>
      </w:r>
      <w:r>
        <w:rPr>
          <w:rFonts w:asciiTheme="majorBidi" w:hAnsiTheme="majorBidi" w:cstheme="majorBidi"/>
          <w:sz w:val="24"/>
          <w:szCs w:val="24"/>
        </w:rPr>
        <w:t xml:space="preserve"> alcaloïdes, notamment en trigonelline, trigocoumarine, acide nicotinique et coumarine triméthylée, dont les propriétés biologiques et nutritionnelles sont bien documentées </w:t>
      </w:r>
      <w:r>
        <w:rPr>
          <w:rFonts w:asciiTheme="majorBidi" w:hAnsiTheme="majorBidi" w:cstheme="majorBidi"/>
          <w:b/>
          <w:bCs/>
          <w:sz w:val="24"/>
          <w:szCs w:val="24"/>
        </w:rPr>
        <w:t xml:space="preserve">(Syed et </w:t>
      </w:r>
      <w:r>
        <w:rPr>
          <w:rFonts w:asciiTheme="majorBidi" w:hAnsiTheme="majorBidi" w:cstheme="majorBidi"/>
          <w:b/>
          <w:bCs/>
          <w:i/>
          <w:iCs/>
          <w:sz w:val="24"/>
          <w:szCs w:val="24"/>
        </w:rPr>
        <w:t>al.</w:t>
      </w:r>
      <w:r>
        <w:rPr>
          <w:rFonts w:asciiTheme="majorBidi" w:hAnsiTheme="majorBidi" w:cstheme="majorBidi"/>
          <w:b/>
          <w:bCs/>
          <w:sz w:val="24"/>
          <w:szCs w:val="24"/>
        </w:rPr>
        <w:t>, 2020)</w:t>
      </w:r>
      <w:r>
        <w:rPr>
          <w:rFonts w:asciiTheme="majorBidi" w:hAnsiTheme="majorBidi" w:cstheme="majorBidi"/>
          <w:sz w:val="24"/>
          <w:szCs w:val="24"/>
        </w:rPr>
        <w:t xml:space="preserve">. L’endosperme des graines en contient environ 35 %, la trigonelline étant le principal composé actif </w:t>
      </w:r>
      <w:r>
        <w:rPr>
          <w:rFonts w:asciiTheme="majorBidi" w:hAnsiTheme="majorBidi" w:cstheme="majorBidi"/>
          <w:b/>
          <w:bCs/>
          <w:sz w:val="24"/>
          <w:szCs w:val="24"/>
        </w:rPr>
        <w:t xml:space="preserve">(Awais et </w:t>
      </w:r>
      <w:r>
        <w:rPr>
          <w:rFonts w:asciiTheme="majorBidi" w:hAnsiTheme="majorBidi" w:cstheme="majorBidi"/>
          <w:b/>
          <w:bCs/>
          <w:i/>
          <w:iCs/>
          <w:sz w:val="24"/>
          <w:szCs w:val="24"/>
        </w:rPr>
        <w:t>al</w:t>
      </w:r>
      <w:r>
        <w:rPr>
          <w:rFonts w:asciiTheme="majorBidi" w:hAnsiTheme="majorBidi" w:cstheme="majorBidi"/>
          <w:b/>
          <w:bCs/>
          <w:sz w:val="24"/>
          <w:szCs w:val="24"/>
        </w:rPr>
        <w:t>., 2015)</w:t>
      </w:r>
      <w:r>
        <w:rPr>
          <w:rFonts w:asciiTheme="majorBidi" w:hAnsiTheme="majorBidi" w:cstheme="majorBidi"/>
          <w:sz w:val="24"/>
          <w:szCs w:val="24"/>
        </w:rPr>
        <w:t xml:space="preserve">. Cette dernière est associée à divers effets bénéfiques sur la santé, tels que le renforcement du système nerveux et la régulation de la glycémie </w:t>
      </w:r>
      <w:r>
        <w:rPr>
          <w:rFonts w:asciiTheme="majorBidi" w:hAnsiTheme="majorBidi" w:cstheme="majorBidi"/>
          <w:b/>
          <w:bCs/>
          <w:sz w:val="24"/>
          <w:szCs w:val="24"/>
        </w:rPr>
        <w:t>(</w:t>
      </w:r>
      <w:r>
        <w:rPr>
          <w:rFonts w:asciiTheme="majorBidi" w:hAnsiTheme="majorBidi" w:cstheme="majorBidi"/>
          <w:b/>
          <w:bCs/>
          <w:sz w:val="24"/>
          <w:szCs w:val="24"/>
          <w:shd w:val="clear" w:color="auto" w:fill="FFFFFF"/>
        </w:rPr>
        <w:t>Aasim</w:t>
      </w:r>
      <w:r>
        <w:rPr>
          <w:rFonts w:asciiTheme="majorBidi" w:hAnsiTheme="majorBidi" w:cstheme="majorBidi"/>
          <w:b/>
          <w:bCs/>
          <w:sz w:val="24"/>
          <w:szCs w:val="24"/>
        </w:rPr>
        <w:t xml:space="preserve"> et </w:t>
      </w:r>
      <w:r>
        <w:rPr>
          <w:rFonts w:asciiTheme="majorBidi" w:hAnsiTheme="majorBidi" w:cstheme="majorBidi"/>
          <w:b/>
          <w:bCs/>
          <w:i/>
          <w:iCs/>
          <w:sz w:val="24"/>
          <w:szCs w:val="24"/>
        </w:rPr>
        <w:t>al</w:t>
      </w:r>
      <w:r>
        <w:rPr>
          <w:rFonts w:asciiTheme="majorBidi" w:hAnsiTheme="majorBidi" w:cstheme="majorBidi"/>
          <w:b/>
          <w:bCs/>
          <w:sz w:val="24"/>
          <w:szCs w:val="24"/>
        </w:rPr>
        <w:t>., 2018)</w:t>
      </w:r>
      <w:r>
        <w:rPr>
          <w:rFonts w:asciiTheme="majorBidi" w:hAnsiTheme="majorBidi" w:cstheme="majorBidi"/>
          <w:sz w:val="24"/>
          <w:szCs w:val="24"/>
        </w:rPr>
        <w:t xml:space="preserve">. Toutefois, malgré leurs bienfaits, ces alcaloïdes sont aussi responsables de l’amertume et de l’odeur caractéristique du fenugrec, ce qui justifie parfois leur élimination avant certaines applications </w:t>
      </w:r>
      <w:r>
        <w:rPr>
          <w:rFonts w:asciiTheme="majorBidi" w:hAnsiTheme="majorBidi" w:cstheme="majorBidi"/>
          <w:b/>
          <w:bCs/>
          <w:sz w:val="24"/>
          <w:szCs w:val="24"/>
        </w:rPr>
        <w:t xml:space="preserve">(Awais et </w:t>
      </w:r>
      <w:r>
        <w:rPr>
          <w:rFonts w:asciiTheme="majorBidi" w:hAnsiTheme="majorBidi" w:cstheme="majorBidi"/>
          <w:b/>
          <w:bCs/>
          <w:i/>
          <w:iCs/>
          <w:sz w:val="24"/>
          <w:szCs w:val="24"/>
        </w:rPr>
        <w:t>al</w:t>
      </w:r>
      <w:r>
        <w:rPr>
          <w:rFonts w:asciiTheme="majorBidi" w:hAnsiTheme="majorBidi" w:cstheme="majorBidi"/>
          <w:b/>
          <w:bCs/>
          <w:sz w:val="24"/>
          <w:szCs w:val="24"/>
        </w:rPr>
        <w:t>., 2015)</w:t>
      </w:r>
      <w:r>
        <w:rPr>
          <w:rFonts w:asciiTheme="majorBidi" w:hAnsiTheme="majorBidi" w:cstheme="majorBidi"/>
          <w:sz w:val="24"/>
          <w:szCs w:val="24"/>
        </w:rPr>
        <w:t>.</w:t>
      </w:r>
    </w:p>
    <w:p w14:paraId="0395B101" w14:textId="77777777" w:rsidR="003E3FB4" w:rsidRDefault="00385ED0">
      <w:pPr>
        <w:tabs>
          <w:tab w:val="left" w:pos="1134"/>
        </w:tabs>
        <w:spacing w:line="240" w:lineRule="auto"/>
        <w:rPr>
          <w:rFonts w:asciiTheme="majorBidi" w:hAnsiTheme="majorBidi" w:cstheme="majorBidi"/>
          <w:b/>
          <w:bCs/>
          <w:sz w:val="26"/>
          <w:szCs w:val="26"/>
        </w:rPr>
      </w:pPr>
      <w:r>
        <w:rPr>
          <w:rFonts w:asciiTheme="majorBidi" w:hAnsiTheme="majorBidi" w:cstheme="majorBidi"/>
          <w:b/>
          <w:bCs/>
          <w:sz w:val="26"/>
          <w:szCs w:val="26"/>
        </w:rPr>
        <w:t>I.6.2.3. Les Saponines</w:t>
      </w:r>
    </w:p>
    <w:p w14:paraId="20B4377A" w14:textId="77777777" w:rsidR="003E3FB4" w:rsidRDefault="00385ED0">
      <w:pPr>
        <w:tabs>
          <w:tab w:val="left" w:pos="1134"/>
        </w:tabs>
        <w:spacing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 Les saponines, ou saponosides, sont des métabolites secondaires de haut poids moléculaire, appartenant à la classe des hétérosides. Elles sont constituées d’une partie lipophile, appelée aglycone ou génine, et d’une partie hydrophile osidique. Cette structure amphiphile est à l’origine de leurs propriétés tensioactives et moussantes en milieu aqueux </w:t>
      </w:r>
      <w:r>
        <w:rPr>
          <w:rFonts w:asciiTheme="majorBidi" w:hAnsiTheme="majorBidi" w:cstheme="majorBidi"/>
          <w:b/>
          <w:bCs/>
          <w:sz w:val="24"/>
          <w:szCs w:val="24"/>
        </w:rPr>
        <w:t>(Hamad, 2021)</w:t>
      </w:r>
      <w:r>
        <w:rPr>
          <w:rFonts w:asciiTheme="majorBidi" w:hAnsiTheme="majorBidi" w:cstheme="majorBidi"/>
          <w:sz w:val="24"/>
          <w:szCs w:val="24"/>
        </w:rPr>
        <w:t xml:space="preserve">. Selon </w:t>
      </w:r>
      <w:r>
        <w:rPr>
          <w:rFonts w:asciiTheme="majorBidi" w:hAnsiTheme="majorBidi" w:cstheme="majorBidi"/>
          <w:b/>
          <w:bCs/>
          <w:sz w:val="24"/>
          <w:szCs w:val="24"/>
        </w:rPr>
        <w:t xml:space="preserve">Chaachouay et </w:t>
      </w:r>
      <w:r>
        <w:rPr>
          <w:rFonts w:asciiTheme="majorBidi" w:hAnsiTheme="majorBidi" w:cstheme="majorBidi"/>
          <w:b/>
          <w:bCs/>
          <w:i/>
          <w:iCs/>
          <w:sz w:val="24"/>
          <w:szCs w:val="24"/>
        </w:rPr>
        <w:t>al</w:t>
      </w:r>
      <w:r>
        <w:rPr>
          <w:rFonts w:asciiTheme="majorBidi" w:hAnsiTheme="majorBidi" w:cstheme="majorBidi"/>
          <w:b/>
          <w:bCs/>
          <w:sz w:val="24"/>
          <w:szCs w:val="24"/>
        </w:rPr>
        <w:t>., (2020)</w:t>
      </w:r>
      <w:r>
        <w:rPr>
          <w:rFonts w:asciiTheme="majorBidi" w:hAnsiTheme="majorBidi" w:cstheme="majorBidi"/>
          <w:sz w:val="24"/>
          <w:szCs w:val="24"/>
        </w:rPr>
        <w:t xml:space="preserve">, les saponines sont principalement synthétisées par les plantes supérieures, bien qu’on les retrouve également chez certains organismes marins inférieurs et chez quelques bactéries. Elles se divisent en deux grandes catégories : les saponines stéroïdiennes et les saponines triterpénoïdes, selon la nature de l’aglycone </w:t>
      </w:r>
      <w:r>
        <w:rPr>
          <w:rFonts w:asciiTheme="majorBidi" w:hAnsiTheme="majorBidi" w:cstheme="majorBidi"/>
          <w:b/>
          <w:bCs/>
          <w:sz w:val="24"/>
          <w:szCs w:val="24"/>
        </w:rPr>
        <w:t>(figure I.7)</w:t>
      </w:r>
      <w:r>
        <w:rPr>
          <w:rFonts w:asciiTheme="majorBidi" w:hAnsiTheme="majorBidi" w:cstheme="majorBidi"/>
          <w:sz w:val="24"/>
          <w:szCs w:val="24"/>
        </w:rPr>
        <w:t>.</w:t>
      </w:r>
    </w:p>
    <w:p w14:paraId="3CC0FB11" w14:textId="77777777" w:rsidR="003E3FB4" w:rsidRDefault="00385ED0" w:rsidP="00427A87">
      <w:pPr>
        <w:tabs>
          <w:tab w:val="left" w:pos="1134"/>
        </w:tabs>
        <w:spacing w:line="360" w:lineRule="auto"/>
        <w:jc w:val="center"/>
        <w:rPr>
          <w:rFonts w:asciiTheme="majorBidi" w:hAnsiTheme="majorBidi" w:cstheme="majorBidi"/>
          <w:sz w:val="24"/>
          <w:szCs w:val="24"/>
        </w:rPr>
      </w:pPr>
      <w:r>
        <w:rPr>
          <w:rFonts w:asciiTheme="majorBidi" w:hAnsiTheme="majorBidi" w:cstheme="majorBidi"/>
          <w:noProof/>
          <w:sz w:val="24"/>
          <w:szCs w:val="24"/>
        </w:rPr>
        <w:lastRenderedPageBreak/>
        <w:drawing>
          <wp:inline distT="0" distB="0" distL="0" distR="0" wp14:anchorId="4F6E1A1D" wp14:editId="5373AC6E">
            <wp:extent cx="4346369" cy="1229361"/>
            <wp:effectExtent l="0" t="0" r="0" b="8890"/>
            <wp:docPr id="1642140898"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2140898" name="Image 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a:xfrm>
                      <a:off x="0" y="0"/>
                      <a:ext cx="4451454" cy="1259084"/>
                    </a:xfrm>
                    <a:prstGeom prst="rect">
                      <a:avLst/>
                    </a:prstGeom>
                    <a:noFill/>
                  </pic:spPr>
                </pic:pic>
              </a:graphicData>
            </a:graphic>
          </wp:inline>
        </w:drawing>
      </w:r>
    </w:p>
    <w:p w14:paraId="526C9A69" w14:textId="77777777" w:rsidR="003E3FB4" w:rsidRDefault="00385ED0">
      <w:pPr>
        <w:tabs>
          <w:tab w:val="left" w:pos="1134"/>
        </w:tabs>
        <w:spacing w:line="240" w:lineRule="auto"/>
        <w:jc w:val="center"/>
        <w:rPr>
          <w:rFonts w:asciiTheme="majorBidi" w:hAnsiTheme="majorBidi" w:cstheme="majorBidi"/>
          <w:sz w:val="24"/>
          <w:szCs w:val="24"/>
        </w:rPr>
      </w:pPr>
      <w:bookmarkStart w:id="3" w:name="_Hlk196858262"/>
      <w:r>
        <w:rPr>
          <w:rFonts w:asciiTheme="majorBidi" w:hAnsiTheme="majorBidi" w:cstheme="majorBidi"/>
          <w:b/>
          <w:bCs/>
          <w:sz w:val="24"/>
          <w:szCs w:val="24"/>
        </w:rPr>
        <w:t xml:space="preserve">Figure I.7. </w:t>
      </w:r>
      <w:r>
        <w:rPr>
          <w:rFonts w:asciiTheme="majorBidi" w:hAnsiTheme="majorBidi" w:cstheme="majorBidi"/>
          <w:sz w:val="24"/>
          <w:szCs w:val="24"/>
        </w:rPr>
        <w:t xml:space="preserve">Structures des saponines </w:t>
      </w:r>
      <w:r>
        <w:rPr>
          <w:rFonts w:asciiTheme="majorBidi" w:hAnsiTheme="majorBidi" w:cstheme="majorBidi"/>
          <w:b/>
          <w:bCs/>
          <w:sz w:val="24"/>
          <w:szCs w:val="24"/>
        </w:rPr>
        <w:t>(Hamad, 2021)</w:t>
      </w:r>
    </w:p>
    <w:bookmarkEnd w:id="3"/>
    <w:p w14:paraId="2B6C82D1" w14:textId="77777777" w:rsidR="003E3FB4" w:rsidRDefault="00385ED0">
      <w:pPr>
        <w:tabs>
          <w:tab w:val="left" w:pos="6173"/>
        </w:tabs>
        <w:spacing w:line="360" w:lineRule="auto"/>
        <w:ind w:firstLine="567"/>
        <w:jc w:val="both"/>
        <w:rPr>
          <w:rFonts w:asciiTheme="majorBidi" w:hAnsiTheme="majorBidi" w:cstheme="majorBidi"/>
          <w:sz w:val="24"/>
          <w:szCs w:val="24"/>
          <w:lang w:bidi="ar-DZ"/>
        </w:rPr>
      </w:pPr>
      <w:r>
        <w:rPr>
          <w:rFonts w:asciiTheme="majorBidi" w:hAnsiTheme="majorBidi" w:cstheme="majorBidi"/>
          <w:sz w:val="24"/>
          <w:szCs w:val="24"/>
          <w:lang w:bidi="ar-DZ"/>
        </w:rPr>
        <w:t xml:space="preserve">Les graines de fenugrec renferment une quantité significative de saponines, des composés largement reconnus pour leur contribution à l’amertume caractéristique de la plante </w:t>
      </w:r>
      <w:r>
        <w:rPr>
          <w:rFonts w:asciiTheme="majorBidi" w:hAnsiTheme="majorBidi" w:cstheme="majorBidi"/>
          <w:b/>
          <w:bCs/>
          <w:sz w:val="24"/>
          <w:szCs w:val="24"/>
          <w:lang w:bidi="ar-DZ"/>
        </w:rPr>
        <w:t xml:space="preserve">(Shashikumar et </w:t>
      </w:r>
      <w:r>
        <w:rPr>
          <w:rFonts w:asciiTheme="majorBidi" w:hAnsiTheme="majorBidi" w:cstheme="majorBidi"/>
          <w:b/>
          <w:bCs/>
          <w:i/>
          <w:iCs/>
          <w:sz w:val="24"/>
          <w:szCs w:val="24"/>
          <w:lang w:bidi="ar-DZ"/>
        </w:rPr>
        <w:t>al</w:t>
      </w:r>
      <w:r>
        <w:rPr>
          <w:rFonts w:asciiTheme="majorBidi" w:hAnsiTheme="majorBidi" w:cstheme="majorBidi"/>
          <w:b/>
          <w:bCs/>
          <w:sz w:val="24"/>
          <w:szCs w:val="24"/>
          <w:lang w:bidi="ar-DZ"/>
        </w:rPr>
        <w:t>., 2019)</w:t>
      </w:r>
      <w:r>
        <w:rPr>
          <w:rFonts w:asciiTheme="majorBidi" w:hAnsiTheme="majorBidi" w:cstheme="majorBidi"/>
          <w:sz w:val="24"/>
          <w:szCs w:val="24"/>
          <w:lang w:bidi="ar-DZ"/>
        </w:rPr>
        <w:t xml:space="preserve">. Outre leur rôle organoleptique, ces molécules jouent un rôle important dans la stimulation du système digestif ainsi que dans la régulation de l'appétit. Leur concentration dans les graines varie généralement entre 4 % et 8 % </w:t>
      </w:r>
      <w:r>
        <w:rPr>
          <w:rFonts w:asciiTheme="majorBidi" w:hAnsiTheme="majorBidi" w:cstheme="majorBidi"/>
          <w:b/>
          <w:bCs/>
          <w:sz w:val="24"/>
          <w:szCs w:val="24"/>
          <w:lang w:bidi="ar-DZ"/>
        </w:rPr>
        <w:t>(Srinivasan, 2006)</w:t>
      </w:r>
      <w:r>
        <w:rPr>
          <w:rFonts w:asciiTheme="majorBidi" w:hAnsiTheme="majorBidi" w:cstheme="majorBidi"/>
          <w:sz w:val="24"/>
          <w:szCs w:val="24"/>
          <w:lang w:bidi="ar-DZ"/>
        </w:rPr>
        <w:t xml:space="preserve">. Plus précisément, l’endosperme du fenugrec contient environ 4,63 g de saponines pour 100 g, ce qui témoigne de leur abondance relative dans cette partie de la graine </w:t>
      </w:r>
      <w:r>
        <w:rPr>
          <w:rFonts w:asciiTheme="majorBidi" w:hAnsiTheme="majorBidi" w:cstheme="majorBidi"/>
          <w:b/>
          <w:bCs/>
          <w:sz w:val="24"/>
          <w:szCs w:val="24"/>
          <w:lang w:bidi="ar-DZ"/>
        </w:rPr>
        <w:t>(Chaudhary, 2016)</w:t>
      </w:r>
      <w:r>
        <w:rPr>
          <w:rFonts w:asciiTheme="majorBidi" w:hAnsiTheme="majorBidi" w:cstheme="majorBidi"/>
          <w:sz w:val="24"/>
          <w:szCs w:val="24"/>
          <w:lang w:bidi="ar-DZ"/>
        </w:rPr>
        <w:t>.</w:t>
      </w:r>
    </w:p>
    <w:p w14:paraId="7CE34924" w14:textId="77777777" w:rsidR="003E3FB4" w:rsidRPr="00427A87" w:rsidRDefault="00385ED0">
      <w:pPr>
        <w:tabs>
          <w:tab w:val="left" w:pos="6173"/>
        </w:tabs>
        <w:spacing w:line="360" w:lineRule="auto"/>
        <w:rPr>
          <w:rFonts w:asciiTheme="majorBidi" w:hAnsiTheme="majorBidi" w:cstheme="majorBidi"/>
          <w:b/>
          <w:bCs/>
          <w:sz w:val="24"/>
          <w:szCs w:val="24"/>
          <w:lang w:bidi="ar-DZ"/>
        </w:rPr>
      </w:pPr>
      <w:r w:rsidRPr="00427A87">
        <w:rPr>
          <w:rFonts w:asciiTheme="majorBidi" w:hAnsiTheme="majorBidi" w:cstheme="majorBidi"/>
          <w:b/>
          <w:bCs/>
          <w:sz w:val="24"/>
          <w:szCs w:val="24"/>
          <w:lang w:bidi="ar-DZ"/>
        </w:rPr>
        <w:t xml:space="preserve">I.7.  Activités biologiques de </w:t>
      </w:r>
      <w:r w:rsidRPr="00427A87">
        <w:rPr>
          <w:rFonts w:asciiTheme="majorBidi" w:hAnsiTheme="majorBidi" w:cstheme="majorBidi"/>
          <w:b/>
          <w:bCs/>
          <w:i/>
          <w:iCs/>
          <w:sz w:val="24"/>
          <w:szCs w:val="24"/>
          <w:lang w:bidi="ar-DZ"/>
        </w:rPr>
        <w:t>Trigonella foenum-graecum</w:t>
      </w:r>
      <w:r w:rsidRPr="00427A87">
        <w:rPr>
          <w:rFonts w:asciiTheme="majorBidi" w:hAnsiTheme="majorBidi" w:cstheme="majorBidi"/>
          <w:b/>
          <w:bCs/>
          <w:sz w:val="24"/>
          <w:szCs w:val="24"/>
          <w:lang w:bidi="ar-DZ"/>
        </w:rPr>
        <w:t xml:space="preserve"> L.</w:t>
      </w:r>
    </w:p>
    <w:p w14:paraId="3679D347" w14:textId="77777777" w:rsidR="003E3FB4" w:rsidRDefault="00385ED0">
      <w:pPr>
        <w:tabs>
          <w:tab w:val="left" w:pos="6173"/>
        </w:tabs>
        <w:spacing w:line="360" w:lineRule="auto"/>
        <w:ind w:firstLine="567"/>
        <w:jc w:val="both"/>
        <w:rPr>
          <w:rFonts w:asciiTheme="majorBidi" w:hAnsiTheme="majorBidi" w:cstheme="majorBidi"/>
          <w:b/>
          <w:bCs/>
          <w:sz w:val="24"/>
          <w:szCs w:val="24"/>
          <w:lang w:bidi="ar-DZ"/>
        </w:rPr>
      </w:pPr>
      <w:r>
        <w:rPr>
          <w:rFonts w:asciiTheme="majorBidi" w:hAnsiTheme="majorBidi" w:cstheme="majorBidi"/>
          <w:sz w:val="24"/>
          <w:szCs w:val="24"/>
          <w:lang w:bidi="ar-DZ"/>
        </w:rPr>
        <w:t xml:space="preserve">Le fenugrec est largement reconnu pour ses nombreuses propriétés thérapeutiques, attribuées à la richesse de ses composés bioactifs. Il présente des activités antimicrobiennes, antioxydantes et antidiabétiques notables. Par ailleurs, il contribue à la régulation du métabolisme lipidique, à la gestion du poids corporel ainsi qu’à la prévention de certains types de cancers. Ses effets anti-inflammatoires en font un agent potentiel dans le traitement de diverses pathologies inflammatoires. De plus, son action carminative favorise le confort digestif. Le fenugrec est également valorisé pour ses effets aphrodisiaques et ses propriétés adoucissantes sur la peau </w:t>
      </w:r>
      <w:r>
        <w:rPr>
          <w:rFonts w:asciiTheme="majorBidi" w:hAnsiTheme="majorBidi" w:cstheme="majorBidi"/>
          <w:b/>
          <w:bCs/>
          <w:sz w:val="24"/>
          <w:szCs w:val="24"/>
          <w:lang w:bidi="ar-DZ"/>
        </w:rPr>
        <w:t xml:space="preserve">(Tewari et </w:t>
      </w:r>
      <w:r>
        <w:rPr>
          <w:rFonts w:asciiTheme="majorBidi" w:hAnsiTheme="majorBidi" w:cstheme="majorBidi"/>
          <w:b/>
          <w:bCs/>
          <w:i/>
          <w:iCs/>
          <w:sz w:val="24"/>
          <w:szCs w:val="24"/>
          <w:lang w:bidi="ar-DZ"/>
        </w:rPr>
        <w:t>al.</w:t>
      </w:r>
      <w:r>
        <w:rPr>
          <w:rFonts w:asciiTheme="majorBidi" w:hAnsiTheme="majorBidi" w:cstheme="majorBidi"/>
          <w:b/>
          <w:bCs/>
          <w:sz w:val="24"/>
          <w:szCs w:val="24"/>
          <w:lang w:bidi="ar-DZ"/>
        </w:rPr>
        <w:t>, 2024)</w:t>
      </w:r>
      <w:r>
        <w:rPr>
          <w:rFonts w:asciiTheme="majorBidi" w:hAnsiTheme="majorBidi" w:cstheme="majorBidi"/>
          <w:sz w:val="24"/>
          <w:szCs w:val="24"/>
          <w:lang w:bidi="ar-DZ"/>
        </w:rPr>
        <w:t>.</w:t>
      </w:r>
    </w:p>
    <w:p w14:paraId="7AAB2587" w14:textId="77777777" w:rsidR="003E3FB4" w:rsidRDefault="00385ED0">
      <w:pPr>
        <w:tabs>
          <w:tab w:val="left" w:pos="6173"/>
        </w:tabs>
        <w:spacing w:line="360" w:lineRule="auto"/>
        <w:rPr>
          <w:rFonts w:asciiTheme="majorBidi" w:hAnsiTheme="majorBidi" w:cstheme="majorBidi"/>
          <w:b/>
          <w:bCs/>
          <w:sz w:val="26"/>
          <w:szCs w:val="26"/>
          <w:lang w:bidi="ar-DZ"/>
        </w:rPr>
      </w:pPr>
      <w:r w:rsidRPr="008520CA">
        <w:rPr>
          <w:rFonts w:asciiTheme="majorBidi" w:hAnsiTheme="majorBidi" w:cstheme="majorBidi"/>
          <w:b/>
          <w:bCs/>
          <w:sz w:val="24"/>
          <w:szCs w:val="24"/>
          <w:lang w:bidi="ar-DZ"/>
        </w:rPr>
        <w:t>I.7.</w:t>
      </w:r>
      <w:r w:rsidRPr="00427A87">
        <w:rPr>
          <w:rFonts w:asciiTheme="majorBidi" w:hAnsiTheme="majorBidi" w:cstheme="majorBidi"/>
          <w:b/>
          <w:bCs/>
          <w:sz w:val="24"/>
          <w:szCs w:val="24"/>
          <w:lang w:bidi="ar-DZ"/>
        </w:rPr>
        <w:t>1. Activité Antioxydante</w:t>
      </w:r>
    </w:p>
    <w:p w14:paraId="12CBAAF9" w14:textId="77777777" w:rsidR="003E3FB4" w:rsidRDefault="00385ED0">
      <w:pPr>
        <w:tabs>
          <w:tab w:val="left" w:pos="6173"/>
        </w:tabs>
        <w:spacing w:line="360" w:lineRule="auto"/>
        <w:ind w:firstLine="567"/>
        <w:jc w:val="both"/>
        <w:rPr>
          <w:rFonts w:asciiTheme="majorBidi" w:hAnsiTheme="majorBidi" w:cstheme="majorBidi"/>
          <w:b/>
          <w:bCs/>
          <w:sz w:val="24"/>
          <w:szCs w:val="24"/>
          <w:lang w:bidi="ar-DZ"/>
        </w:rPr>
      </w:pPr>
      <w:r>
        <w:rPr>
          <w:rFonts w:asciiTheme="majorBidi" w:hAnsiTheme="majorBidi" w:cstheme="majorBidi"/>
          <w:sz w:val="24"/>
          <w:szCs w:val="24"/>
          <w:lang w:bidi="ar-DZ"/>
        </w:rPr>
        <w:t>Le fenugrec constitue une source particulièrement riche en composés bioactifs dotés de puissantes propriétés antioxydantes, parmi lesquels figurent l’acide gallique, l’acide caféique, l’acide férulique, la myricétine et le kaempférol. Ces molécules jouent un rôle essentiel dans la neutralisation des radicaux libres, contribuant ainsi à atténuer le stress oxydatif, responsable de la dégradation des protéines, de l’ADN et des lipides cellulaires</w:t>
      </w:r>
      <w:r>
        <w:rPr>
          <w:rFonts w:asciiTheme="majorBidi" w:hAnsiTheme="majorBidi" w:cstheme="majorBidi"/>
          <w:b/>
          <w:bCs/>
          <w:sz w:val="24"/>
          <w:szCs w:val="24"/>
          <w:lang w:bidi="ar-DZ"/>
        </w:rPr>
        <w:t xml:space="preserve"> (</w:t>
      </w:r>
      <w:r>
        <w:rPr>
          <w:rFonts w:asciiTheme="majorBidi" w:hAnsiTheme="majorBidi" w:cstheme="majorBidi"/>
          <w:b/>
          <w:bCs/>
          <w:sz w:val="24"/>
          <w:szCs w:val="24"/>
          <w:shd w:val="clear" w:color="auto" w:fill="FFFFFF"/>
        </w:rPr>
        <w:t>Aylanc</w:t>
      </w:r>
      <w:r>
        <w:rPr>
          <w:rFonts w:asciiTheme="majorBidi" w:hAnsiTheme="majorBidi" w:cstheme="majorBidi"/>
          <w:b/>
          <w:bCs/>
          <w:sz w:val="24"/>
          <w:szCs w:val="24"/>
          <w:lang w:bidi="ar-DZ"/>
        </w:rPr>
        <w:t xml:space="preserve"> et </w:t>
      </w:r>
      <w:r>
        <w:rPr>
          <w:rFonts w:asciiTheme="majorBidi" w:hAnsiTheme="majorBidi" w:cstheme="majorBidi"/>
          <w:b/>
          <w:bCs/>
          <w:i/>
          <w:iCs/>
          <w:sz w:val="24"/>
          <w:szCs w:val="24"/>
          <w:lang w:bidi="ar-DZ"/>
        </w:rPr>
        <w:t>al</w:t>
      </w:r>
      <w:r>
        <w:rPr>
          <w:rFonts w:asciiTheme="majorBidi" w:hAnsiTheme="majorBidi" w:cstheme="majorBidi"/>
          <w:b/>
          <w:bCs/>
          <w:sz w:val="24"/>
          <w:szCs w:val="24"/>
          <w:lang w:bidi="ar-DZ"/>
        </w:rPr>
        <w:t>., 2020).</w:t>
      </w:r>
    </w:p>
    <w:p w14:paraId="2A6AE0E9" w14:textId="77777777" w:rsidR="003E3FB4" w:rsidRDefault="00385ED0">
      <w:pPr>
        <w:tabs>
          <w:tab w:val="left" w:pos="6173"/>
        </w:tabs>
        <w:spacing w:line="360" w:lineRule="auto"/>
        <w:ind w:firstLine="567"/>
        <w:jc w:val="both"/>
        <w:rPr>
          <w:rFonts w:asciiTheme="majorBidi" w:hAnsiTheme="majorBidi" w:cstheme="majorBidi"/>
          <w:sz w:val="24"/>
          <w:szCs w:val="24"/>
          <w:lang w:bidi="ar-DZ"/>
        </w:rPr>
      </w:pPr>
      <w:r>
        <w:rPr>
          <w:rFonts w:asciiTheme="majorBidi" w:hAnsiTheme="majorBidi" w:cstheme="majorBidi"/>
          <w:sz w:val="24"/>
          <w:szCs w:val="24"/>
          <w:lang w:bidi="ar-DZ"/>
        </w:rPr>
        <w:t xml:space="preserve">Par ailleurs, les extraits phénoliques issus du fenugrec ont démontré, au cours de diverses études expérimentales, une capacité significative à piéger les radicaux libres, notamment dans le test DPPH, ainsi qu’une efficacité marquée dans la prévention de l’oxydation des protéines </w:t>
      </w:r>
      <w:r>
        <w:rPr>
          <w:rFonts w:asciiTheme="majorBidi" w:hAnsiTheme="majorBidi" w:cstheme="majorBidi"/>
          <w:sz w:val="24"/>
          <w:szCs w:val="24"/>
          <w:lang w:bidi="ar-DZ"/>
        </w:rPr>
        <w:lastRenderedPageBreak/>
        <w:t xml:space="preserve">et des lipides </w:t>
      </w:r>
      <w:r>
        <w:rPr>
          <w:rFonts w:asciiTheme="majorBidi" w:hAnsiTheme="majorBidi" w:cstheme="majorBidi"/>
          <w:b/>
          <w:bCs/>
          <w:sz w:val="24"/>
          <w:szCs w:val="24"/>
          <w:lang w:bidi="ar-DZ"/>
        </w:rPr>
        <w:t>(Kilambi et Shah, 2021)</w:t>
      </w:r>
      <w:r>
        <w:rPr>
          <w:rFonts w:asciiTheme="majorBidi" w:hAnsiTheme="majorBidi" w:cstheme="majorBidi"/>
          <w:sz w:val="24"/>
          <w:szCs w:val="24"/>
          <w:lang w:bidi="ar-DZ"/>
        </w:rPr>
        <w:t>. Cette activité antioxydante est particulièrement marquée dans les extraits obtenus à l’aide de solvants organiques, soulignant l’importance de la méthode d’extraction dans l’optimisation des propriétés thérapeutiques.</w:t>
      </w:r>
    </w:p>
    <w:p w14:paraId="614304F0" w14:textId="77777777" w:rsidR="003E3FB4" w:rsidRDefault="00385ED0">
      <w:pPr>
        <w:tabs>
          <w:tab w:val="left" w:pos="6173"/>
        </w:tabs>
        <w:spacing w:line="360" w:lineRule="auto"/>
        <w:ind w:firstLine="567"/>
        <w:jc w:val="both"/>
        <w:rPr>
          <w:rFonts w:asciiTheme="majorBidi" w:hAnsiTheme="majorBidi" w:cstheme="majorBidi"/>
          <w:sz w:val="24"/>
          <w:szCs w:val="24"/>
          <w:lang w:bidi="ar-DZ"/>
        </w:rPr>
      </w:pPr>
      <w:r>
        <w:rPr>
          <w:rFonts w:asciiTheme="majorBidi" w:hAnsiTheme="majorBidi" w:cstheme="majorBidi"/>
          <w:sz w:val="24"/>
          <w:szCs w:val="24"/>
          <w:lang w:bidi="ar-DZ"/>
        </w:rPr>
        <w:t xml:space="preserve">Les différentes parties de la graine, l’enveloppe, les cotylédons et l’endosperme présentent des profils biochimiques distincts. L’enveloppe, en particulier, est plus concentrée en polyphénols, tandis que l’ensemble de la graine est riche en protéines et en saponines </w:t>
      </w:r>
      <w:r>
        <w:rPr>
          <w:rFonts w:asciiTheme="majorBidi" w:hAnsiTheme="majorBidi" w:cstheme="majorBidi"/>
          <w:b/>
          <w:bCs/>
          <w:sz w:val="24"/>
          <w:szCs w:val="24"/>
          <w:lang w:bidi="ar-DZ"/>
        </w:rPr>
        <w:t xml:space="preserve">(Sarwar et </w:t>
      </w:r>
      <w:r>
        <w:rPr>
          <w:rFonts w:asciiTheme="majorBidi" w:hAnsiTheme="majorBidi" w:cstheme="majorBidi"/>
          <w:b/>
          <w:bCs/>
          <w:i/>
          <w:iCs/>
          <w:sz w:val="24"/>
          <w:szCs w:val="24"/>
          <w:lang w:bidi="ar-DZ"/>
        </w:rPr>
        <w:t>al</w:t>
      </w:r>
      <w:r>
        <w:rPr>
          <w:rFonts w:asciiTheme="majorBidi" w:hAnsiTheme="majorBidi" w:cstheme="majorBidi"/>
          <w:b/>
          <w:bCs/>
          <w:sz w:val="24"/>
          <w:szCs w:val="24"/>
          <w:lang w:bidi="ar-DZ"/>
        </w:rPr>
        <w:t>., 2020)</w:t>
      </w:r>
      <w:r>
        <w:rPr>
          <w:rFonts w:asciiTheme="majorBidi" w:hAnsiTheme="majorBidi" w:cstheme="majorBidi"/>
          <w:sz w:val="24"/>
          <w:szCs w:val="24"/>
          <w:lang w:bidi="ar-DZ"/>
        </w:rPr>
        <w:t xml:space="preserve">. L’activité antioxydante des graines de fenugrec atteint un taux de 72 %, tandis que les extraits d’endosperme et d’enveloppe enregistrent respectivement des taux de 56 % et 64 %. La séparation des différentes fractions de la graine améliore l’extraction des composés bioactifs, renforçant ainsi leur efficacité pharmacologique. En outre, le fenugrec présente un potentiel d’application dans le traitement de la lithiase urinaire calcique </w:t>
      </w:r>
      <w:r>
        <w:rPr>
          <w:rFonts w:asciiTheme="majorBidi" w:hAnsiTheme="majorBidi" w:cstheme="majorBidi"/>
          <w:b/>
          <w:bCs/>
          <w:sz w:val="24"/>
          <w:szCs w:val="24"/>
          <w:lang w:bidi="ar-DZ"/>
        </w:rPr>
        <w:t xml:space="preserve">(Sarwar et </w:t>
      </w:r>
      <w:r>
        <w:rPr>
          <w:rFonts w:asciiTheme="majorBidi" w:hAnsiTheme="majorBidi" w:cstheme="majorBidi"/>
          <w:b/>
          <w:bCs/>
          <w:i/>
          <w:iCs/>
          <w:sz w:val="24"/>
          <w:szCs w:val="24"/>
          <w:lang w:bidi="ar-DZ"/>
        </w:rPr>
        <w:t>al</w:t>
      </w:r>
      <w:r>
        <w:rPr>
          <w:rFonts w:asciiTheme="majorBidi" w:hAnsiTheme="majorBidi" w:cstheme="majorBidi"/>
          <w:b/>
          <w:bCs/>
          <w:sz w:val="24"/>
          <w:szCs w:val="24"/>
          <w:lang w:bidi="ar-DZ"/>
        </w:rPr>
        <w:t>., 2020)</w:t>
      </w:r>
      <w:r>
        <w:rPr>
          <w:rFonts w:asciiTheme="majorBidi" w:hAnsiTheme="majorBidi" w:cstheme="majorBidi"/>
          <w:sz w:val="24"/>
          <w:szCs w:val="24"/>
          <w:lang w:bidi="ar-DZ"/>
        </w:rPr>
        <w:t>.</w:t>
      </w:r>
    </w:p>
    <w:p w14:paraId="6321512A" w14:textId="77777777" w:rsidR="003E3FB4" w:rsidRPr="008520CA" w:rsidRDefault="00385ED0">
      <w:pPr>
        <w:tabs>
          <w:tab w:val="left" w:pos="6173"/>
        </w:tabs>
        <w:spacing w:line="360" w:lineRule="auto"/>
        <w:jc w:val="both"/>
        <w:rPr>
          <w:rFonts w:asciiTheme="majorBidi" w:hAnsiTheme="majorBidi" w:cstheme="majorBidi"/>
          <w:sz w:val="24"/>
          <w:szCs w:val="24"/>
          <w:lang w:bidi="ar-DZ"/>
        </w:rPr>
      </w:pPr>
      <w:bookmarkStart w:id="4" w:name="_Hlk196859046"/>
      <w:r w:rsidRPr="008520CA">
        <w:rPr>
          <w:rFonts w:asciiTheme="majorBidi" w:hAnsiTheme="majorBidi" w:cstheme="majorBidi"/>
          <w:b/>
          <w:bCs/>
          <w:sz w:val="24"/>
          <w:szCs w:val="24"/>
          <w:lang w:bidi="ar-DZ"/>
        </w:rPr>
        <w:t xml:space="preserve">I.7.2. </w:t>
      </w:r>
      <w:bookmarkEnd w:id="4"/>
      <w:r w:rsidRPr="008520CA">
        <w:rPr>
          <w:rFonts w:asciiTheme="majorBidi" w:hAnsiTheme="majorBidi" w:cstheme="majorBidi"/>
          <w:b/>
          <w:bCs/>
          <w:sz w:val="24"/>
          <w:szCs w:val="24"/>
          <w:lang w:bidi="ar-DZ"/>
        </w:rPr>
        <w:t>Activité Antimicrobienne</w:t>
      </w:r>
      <w:r w:rsidRPr="008520CA">
        <w:rPr>
          <w:rFonts w:asciiTheme="majorBidi" w:hAnsiTheme="majorBidi" w:cstheme="majorBidi"/>
          <w:sz w:val="24"/>
          <w:szCs w:val="24"/>
          <w:lang w:bidi="ar-DZ"/>
        </w:rPr>
        <w:t> </w:t>
      </w:r>
    </w:p>
    <w:p w14:paraId="10339A44" w14:textId="77777777" w:rsidR="003E3FB4" w:rsidRDefault="00385ED0">
      <w:pPr>
        <w:tabs>
          <w:tab w:val="left" w:pos="6173"/>
        </w:tabs>
        <w:spacing w:line="360" w:lineRule="auto"/>
        <w:ind w:firstLine="567"/>
        <w:jc w:val="both"/>
        <w:rPr>
          <w:rFonts w:asciiTheme="majorBidi" w:hAnsiTheme="majorBidi" w:cstheme="majorBidi"/>
          <w:sz w:val="24"/>
          <w:szCs w:val="24"/>
          <w:lang w:bidi="ar-DZ"/>
        </w:rPr>
      </w:pPr>
      <w:r>
        <w:rPr>
          <w:rFonts w:asciiTheme="majorBidi" w:hAnsiTheme="majorBidi" w:cstheme="majorBidi"/>
          <w:sz w:val="24"/>
          <w:szCs w:val="24"/>
          <w:lang w:bidi="ar-DZ"/>
        </w:rPr>
        <w:t xml:space="preserve">Parmi les extraits végétaux étudiés pour leurs propriétés antimicrobiennes, le fenugrec se distingue par son efficacité notable. Il a démontré une activité antibactérienne contre plusieurs micro-organismes pathogènes, notamment </w:t>
      </w:r>
      <w:r>
        <w:rPr>
          <w:rFonts w:asciiTheme="majorBidi" w:hAnsiTheme="majorBidi" w:cstheme="majorBidi"/>
          <w:i/>
          <w:iCs/>
          <w:sz w:val="24"/>
          <w:szCs w:val="24"/>
          <w:lang w:bidi="ar-DZ"/>
        </w:rPr>
        <w:t>Aspergillus niger, Escherichia coli, Salmonella typhimurium et Staphylococcus aureus</w:t>
      </w:r>
      <w:r>
        <w:rPr>
          <w:rFonts w:asciiTheme="majorBidi" w:hAnsiTheme="majorBidi" w:cstheme="majorBidi"/>
          <w:sz w:val="24"/>
          <w:szCs w:val="24"/>
          <w:lang w:bidi="ar-DZ"/>
        </w:rPr>
        <w:t xml:space="preserve">. Des études utilisant un extrait éthanolique des graines de fenugrec sur des souches bactériennes : </w:t>
      </w:r>
      <w:r>
        <w:rPr>
          <w:rFonts w:asciiTheme="majorBidi" w:hAnsiTheme="majorBidi" w:cstheme="majorBidi"/>
          <w:i/>
          <w:iCs/>
          <w:sz w:val="24"/>
          <w:szCs w:val="24"/>
          <w:lang w:bidi="ar-DZ"/>
        </w:rPr>
        <w:t>Pseudomonas aeruginosa, Proteus mirabilis et Vibrio parahaemolyticus</w:t>
      </w:r>
      <w:r>
        <w:rPr>
          <w:rFonts w:asciiTheme="majorBidi" w:hAnsiTheme="majorBidi" w:cstheme="majorBidi"/>
          <w:sz w:val="24"/>
          <w:szCs w:val="24"/>
          <w:lang w:bidi="ar-DZ"/>
        </w:rPr>
        <w:t xml:space="preserve">. L’activité antimicrobienne observée variait de faible à modérée selon les souches, à l’exception de </w:t>
      </w:r>
      <w:r>
        <w:rPr>
          <w:rFonts w:asciiTheme="majorBidi" w:hAnsiTheme="majorBidi" w:cstheme="majorBidi"/>
          <w:i/>
          <w:iCs/>
          <w:sz w:val="24"/>
          <w:szCs w:val="24"/>
          <w:lang w:bidi="ar-DZ"/>
        </w:rPr>
        <w:t>S. aureus</w:t>
      </w:r>
      <w:r>
        <w:rPr>
          <w:rFonts w:asciiTheme="majorBidi" w:hAnsiTheme="majorBidi" w:cstheme="majorBidi"/>
          <w:sz w:val="24"/>
          <w:szCs w:val="24"/>
          <w:lang w:bidi="ar-DZ"/>
        </w:rPr>
        <w:t xml:space="preserve"> qui ont présenté une sensibilité marquée à l’extrait </w:t>
      </w:r>
      <w:r>
        <w:rPr>
          <w:rFonts w:asciiTheme="majorBidi" w:hAnsiTheme="majorBidi" w:cstheme="majorBidi"/>
          <w:b/>
          <w:bCs/>
          <w:sz w:val="24"/>
          <w:szCs w:val="24"/>
          <w:lang w:bidi="ar-DZ"/>
        </w:rPr>
        <w:t>(</w:t>
      </w:r>
      <w:r>
        <w:rPr>
          <w:rFonts w:asciiTheme="majorBidi" w:hAnsiTheme="majorBidi" w:cstheme="majorBidi"/>
          <w:b/>
          <w:bCs/>
          <w:sz w:val="24"/>
          <w:szCs w:val="24"/>
          <w:shd w:val="clear" w:color="auto" w:fill="FFFFFF"/>
        </w:rPr>
        <w:t>Shaheen</w:t>
      </w:r>
      <w:r>
        <w:rPr>
          <w:rFonts w:asciiTheme="majorBidi" w:hAnsiTheme="majorBidi" w:cstheme="majorBidi"/>
          <w:b/>
          <w:bCs/>
          <w:sz w:val="24"/>
          <w:szCs w:val="24"/>
          <w:lang w:bidi="ar-DZ"/>
        </w:rPr>
        <w:t xml:space="preserve"> et</w:t>
      </w:r>
      <w:r>
        <w:rPr>
          <w:rFonts w:asciiTheme="majorBidi" w:hAnsiTheme="majorBidi" w:cstheme="majorBidi"/>
          <w:b/>
          <w:bCs/>
          <w:i/>
          <w:iCs/>
          <w:sz w:val="24"/>
          <w:szCs w:val="24"/>
          <w:lang w:bidi="ar-DZ"/>
        </w:rPr>
        <w:t xml:space="preserve"> al</w:t>
      </w:r>
      <w:r>
        <w:rPr>
          <w:rFonts w:asciiTheme="majorBidi" w:hAnsiTheme="majorBidi" w:cstheme="majorBidi"/>
          <w:b/>
          <w:bCs/>
          <w:sz w:val="24"/>
          <w:szCs w:val="24"/>
          <w:lang w:bidi="ar-DZ"/>
        </w:rPr>
        <w:t>., 2024)</w:t>
      </w:r>
      <w:r>
        <w:rPr>
          <w:rFonts w:asciiTheme="majorBidi" w:hAnsiTheme="majorBidi" w:cstheme="majorBidi"/>
          <w:sz w:val="24"/>
          <w:szCs w:val="24"/>
          <w:lang w:bidi="ar-DZ"/>
        </w:rPr>
        <w:t xml:space="preserve">. De plus, son activité antibactérienne a également été démontrée contre </w:t>
      </w:r>
      <w:r>
        <w:rPr>
          <w:rFonts w:asciiTheme="majorBidi" w:hAnsiTheme="majorBidi" w:cstheme="majorBidi"/>
          <w:i/>
          <w:iCs/>
          <w:sz w:val="24"/>
          <w:szCs w:val="24"/>
          <w:lang w:bidi="ar-DZ"/>
        </w:rPr>
        <w:t>Helicobacter pylori</w:t>
      </w:r>
      <w:r>
        <w:rPr>
          <w:rFonts w:asciiTheme="majorBidi" w:hAnsiTheme="majorBidi" w:cstheme="majorBidi"/>
          <w:sz w:val="24"/>
          <w:szCs w:val="24"/>
          <w:lang w:bidi="ar-DZ"/>
        </w:rPr>
        <w:t xml:space="preserve">, une bactérie impliquée dans les affections gastro-intestinales chroniques </w:t>
      </w:r>
      <w:r>
        <w:rPr>
          <w:rFonts w:asciiTheme="majorBidi" w:hAnsiTheme="majorBidi" w:cstheme="majorBidi"/>
          <w:b/>
          <w:bCs/>
          <w:sz w:val="24"/>
          <w:szCs w:val="24"/>
          <w:lang w:bidi="ar-DZ"/>
        </w:rPr>
        <w:t xml:space="preserve">(Shashikumar et </w:t>
      </w:r>
      <w:r>
        <w:rPr>
          <w:rFonts w:asciiTheme="majorBidi" w:hAnsiTheme="majorBidi" w:cstheme="majorBidi"/>
          <w:b/>
          <w:bCs/>
          <w:i/>
          <w:iCs/>
          <w:sz w:val="24"/>
          <w:szCs w:val="24"/>
          <w:lang w:bidi="ar-DZ"/>
        </w:rPr>
        <w:t>al</w:t>
      </w:r>
      <w:r>
        <w:rPr>
          <w:rFonts w:asciiTheme="majorBidi" w:hAnsiTheme="majorBidi" w:cstheme="majorBidi"/>
          <w:b/>
          <w:bCs/>
          <w:sz w:val="24"/>
          <w:szCs w:val="24"/>
          <w:lang w:bidi="ar-DZ"/>
        </w:rPr>
        <w:t>., 2018)</w:t>
      </w:r>
      <w:r>
        <w:rPr>
          <w:rFonts w:asciiTheme="majorBidi" w:hAnsiTheme="majorBidi" w:cstheme="majorBidi"/>
          <w:sz w:val="24"/>
          <w:szCs w:val="24"/>
          <w:lang w:bidi="ar-DZ"/>
        </w:rPr>
        <w:t xml:space="preserve">. Aussi bien les extraits aqueux qu’éthanoliques ont révélé une activité antibactérienne significative </w:t>
      </w:r>
      <w:r>
        <w:rPr>
          <w:rFonts w:asciiTheme="majorBidi" w:hAnsiTheme="majorBidi" w:cstheme="majorBidi"/>
          <w:b/>
          <w:bCs/>
          <w:sz w:val="24"/>
          <w:szCs w:val="24"/>
          <w:lang w:bidi="ar-DZ"/>
        </w:rPr>
        <w:t xml:space="preserve">(Bhatti et </w:t>
      </w:r>
      <w:r>
        <w:rPr>
          <w:rFonts w:asciiTheme="majorBidi" w:hAnsiTheme="majorBidi" w:cstheme="majorBidi"/>
          <w:b/>
          <w:bCs/>
          <w:i/>
          <w:iCs/>
          <w:sz w:val="24"/>
          <w:szCs w:val="24"/>
          <w:lang w:bidi="ar-DZ"/>
        </w:rPr>
        <w:t>al</w:t>
      </w:r>
      <w:r>
        <w:rPr>
          <w:rFonts w:asciiTheme="majorBidi" w:hAnsiTheme="majorBidi" w:cstheme="majorBidi"/>
          <w:b/>
          <w:bCs/>
          <w:sz w:val="24"/>
          <w:szCs w:val="24"/>
          <w:lang w:bidi="ar-DZ"/>
        </w:rPr>
        <w:t>., 1996)</w:t>
      </w:r>
      <w:r>
        <w:rPr>
          <w:rFonts w:asciiTheme="majorBidi" w:hAnsiTheme="majorBidi" w:cstheme="majorBidi"/>
          <w:sz w:val="24"/>
          <w:szCs w:val="24"/>
          <w:lang w:bidi="ar-DZ"/>
        </w:rPr>
        <w:t xml:space="preserve">. Cette activité est notamment attribuée à la richesse du fenugrec en polyphénols, dont la diversité structurale serait à l’origine de leur action antimicrobienne </w:t>
      </w:r>
      <w:r>
        <w:rPr>
          <w:rFonts w:asciiTheme="majorBidi" w:hAnsiTheme="majorBidi" w:cstheme="majorBidi"/>
          <w:b/>
          <w:bCs/>
          <w:sz w:val="24"/>
          <w:szCs w:val="24"/>
          <w:lang w:bidi="ar-DZ"/>
        </w:rPr>
        <w:t>(Cowan, 2009)</w:t>
      </w:r>
      <w:r>
        <w:rPr>
          <w:rFonts w:asciiTheme="majorBidi" w:hAnsiTheme="majorBidi" w:cstheme="majorBidi"/>
          <w:sz w:val="24"/>
          <w:szCs w:val="24"/>
          <w:lang w:bidi="ar-DZ"/>
        </w:rPr>
        <w:t xml:space="preserve">. Par ailleurs, les recherches récentes ont mis en évidence les propriétés antifongiques du fenugrec. Ses extraits ont montré une efficacité contre plusieurs espèces fongiques phytopathogènes, notamment </w:t>
      </w:r>
      <w:r>
        <w:rPr>
          <w:rFonts w:asciiTheme="majorBidi" w:hAnsiTheme="majorBidi" w:cstheme="majorBidi"/>
          <w:i/>
          <w:iCs/>
          <w:sz w:val="24"/>
          <w:szCs w:val="24"/>
          <w:lang w:bidi="ar-DZ"/>
        </w:rPr>
        <w:t>Fusarium graminearum, Botrytis cinerea, Alternaria sp., Rhizoctonia solani et Pythium aphanidermatum</w:t>
      </w:r>
      <w:r>
        <w:rPr>
          <w:rFonts w:asciiTheme="majorBidi" w:hAnsiTheme="majorBidi" w:cstheme="majorBidi"/>
          <w:sz w:val="24"/>
          <w:szCs w:val="24"/>
          <w:lang w:bidi="ar-DZ"/>
        </w:rPr>
        <w:t xml:space="preserve"> </w:t>
      </w:r>
      <w:r>
        <w:rPr>
          <w:rFonts w:asciiTheme="majorBidi" w:hAnsiTheme="majorBidi" w:cstheme="majorBidi"/>
          <w:b/>
          <w:bCs/>
          <w:sz w:val="24"/>
          <w:szCs w:val="24"/>
          <w:lang w:bidi="ar-DZ"/>
        </w:rPr>
        <w:t xml:space="preserve">(Shashikumar et </w:t>
      </w:r>
      <w:r>
        <w:rPr>
          <w:rFonts w:asciiTheme="majorBidi" w:hAnsiTheme="majorBidi" w:cstheme="majorBidi"/>
          <w:b/>
          <w:bCs/>
          <w:i/>
          <w:iCs/>
          <w:sz w:val="24"/>
          <w:szCs w:val="24"/>
          <w:lang w:bidi="ar-DZ"/>
        </w:rPr>
        <w:t>al</w:t>
      </w:r>
      <w:r>
        <w:rPr>
          <w:rFonts w:asciiTheme="majorBidi" w:hAnsiTheme="majorBidi" w:cstheme="majorBidi"/>
          <w:b/>
          <w:bCs/>
          <w:sz w:val="24"/>
          <w:szCs w:val="24"/>
          <w:lang w:bidi="ar-DZ"/>
        </w:rPr>
        <w:t>., 2018).</w:t>
      </w:r>
    </w:p>
    <w:p w14:paraId="6F252099" w14:textId="77777777" w:rsidR="00DF241B" w:rsidRDefault="00DF241B">
      <w:pPr>
        <w:tabs>
          <w:tab w:val="left" w:pos="6173"/>
        </w:tabs>
        <w:spacing w:line="360" w:lineRule="auto"/>
        <w:jc w:val="both"/>
        <w:rPr>
          <w:rFonts w:asciiTheme="majorBidi" w:hAnsiTheme="majorBidi" w:cstheme="majorBidi"/>
          <w:b/>
          <w:bCs/>
          <w:sz w:val="24"/>
          <w:szCs w:val="24"/>
          <w:lang w:bidi="ar-DZ"/>
        </w:rPr>
      </w:pPr>
    </w:p>
    <w:p w14:paraId="5A069FF0" w14:textId="77777777" w:rsidR="00DF241B" w:rsidRDefault="00DF241B">
      <w:pPr>
        <w:tabs>
          <w:tab w:val="left" w:pos="6173"/>
        </w:tabs>
        <w:spacing w:line="360" w:lineRule="auto"/>
        <w:jc w:val="both"/>
        <w:rPr>
          <w:rFonts w:asciiTheme="majorBidi" w:hAnsiTheme="majorBidi" w:cstheme="majorBidi"/>
          <w:b/>
          <w:bCs/>
          <w:sz w:val="24"/>
          <w:szCs w:val="24"/>
          <w:lang w:bidi="ar-DZ"/>
        </w:rPr>
      </w:pPr>
    </w:p>
    <w:p w14:paraId="26B1ECA9" w14:textId="7E60937A" w:rsidR="003E3FB4" w:rsidRPr="008520CA" w:rsidRDefault="00385ED0">
      <w:pPr>
        <w:tabs>
          <w:tab w:val="left" w:pos="6173"/>
        </w:tabs>
        <w:spacing w:line="360" w:lineRule="auto"/>
        <w:jc w:val="both"/>
        <w:rPr>
          <w:rFonts w:asciiTheme="majorBidi" w:hAnsiTheme="majorBidi" w:cstheme="majorBidi"/>
          <w:b/>
          <w:bCs/>
          <w:sz w:val="24"/>
          <w:szCs w:val="24"/>
          <w:lang w:bidi="ar-DZ"/>
        </w:rPr>
      </w:pPr>
      <w:r w:rsidRPr="008520CA">
        <w:rPr>
          <w:rFonts w:asciiTheme="majorBidi" w:hAnsiTheme="majorBidi" w:cstheme="majorBidi"/>
          <w:b/>
          <w:bCs/>
          <w:sz w:val="24"/>
          <w:szCs w:val="24"/>
          <w:lang w:bidi="ar-DZ"/>
        </w:rPr>
        <w:lastRenderedPageBreak/>
        <w:t>I.7.3. Activité Anti-Inflammatoire</w:t>
      </w:r>
      <w:r w:rsidRPr="008520CA">
        <w:rPr>
          <w:rFonts w:asciiTheme="majorBidi" w:hAnsiTheme="majorBidi" w:cstheme="majorBidi"/>
          <w:b/>
          <w:bCs/>
          <w:sz w:val="24"/>
          <w:szCs w:val="24"/>
          <w:lang w:bidi="ar-DZ"/>
        </w:rPr>
        <w:tab/>
      </w:r>
    </w:p>
    <w:p w14:paraId="12D0CD97" w14:textId="77777777" w:rsidR="003E3FB4" w:rsidRDefault="00385ED0">
      <w:pPr>
        <w:spacing w:line="360" w:lineRule="auto"/>
        <w:ind w:firstLine="567"/>
        <w:jc w:val="both"/>
        <w:rPr>
          <w:rFonts w:asciiTheme="majorBidi" w:hAnsiTheme="majorBidi" w:cstheme="majorBidi"/>
          <w:sz w:val="24"/>
          <w:szCs w:val="24"/>
          <w:lang w:bidi="ar-DZ"/>
        </w:rPr>
      </w:pPr>
      <w:r>
        <w:rPr>
          <w:rFonts w:asciiTheme="majorBidi" w:hAnsiTheme="majorBidi" w:cstheme="majorBidi"/>
          <w:sz w:val="24"/>
          <w:szCs w:val="24"/>
          <w:lang w:bidi="ar-DZ"/>
        </w:rPr>
        <w:t>Plusieurs recherches, menées tant in vitro qu’in vivo, ont confirmé le potentiel anti-inflammatoire du fenugrec. Les extraits aqueux, éthanoliques ou méthanolique de la plante ont montré une réduction significative de l’œdème, de l’infiltration cellulaire et des marqueurs biochimiques de l’inflammation chez des modèles animaux</w:t>
      </w:r>
      <w:r>
        <w:rPr>
          <w:rFonts w:asciiTheme="majorBidi" w:hAnsiTheme="majorBidi" w:cstheme="majorBidi"/>
          <w:b/>
          <w:bCs/>
          <w:sz w:val="24"/>
          <w:szCs w:val="24"/>
          <w:lang w:bidi="ar-DZ"/>
        </w:rPr>
        <w:t xml:space="preserve"> (Verma et </w:t>
      </w:r>
      <w:r>
        <w:rPr>
          <w:rFonts w:asciiTheme="majorBidi" w:hAnsiTheme="majorBidi" w:cstheme="majorBidi"/>
          <w:b/>
          <w:bCs/>
          <w:i/>
          <w:iCs/>
          <w:sz w:val="24"/>
          <w:szCs w:val="24"/>
          <w:lang w:bidi="ar-DZ"/>
        </w:rPr>
        <w:t>al</w:t>
      </w:r>
      <w:r>
        <w:rPr>
          <w:rFonts w:asciiTheme="majorBidi" w:hAnsiTheme="majorBidi" w:cstheme="majorBidi"/>
          <w:b/>
          <w:bCs/>
          <w:sz w:val="24"/>
          <w:szCs w:val="24"/>
          <w:lang w:bidi="ar-DZ"/>
        </w:rPr>
        <w:t>., 2021 ; Kilambi et Shah, 2021).</w:t>
      </w:r>
      <w:r>
        <w:rPr>
          <w:rFonts w:asciiTheme="majorBidi" w:hAnsiTheme="majorBidi" w:cstheme="majorBidi"/>
          <w:sz w:val="24"/>
          <w:szCs w:val="24"/>
          <w:lang w:bidi="ar-DZ"/>
        </w:rPr>
        <w:t xml:space="preserve"> </w:t>
      </w:r>
    </w:p>
    <w:p w14:paraId="6F6BC430" w14:textId="77777777" w:rsidR="003E3FB4" w:rsidRDefault="00385ED0">
      <w:pPr>
        <w:tabs>
          <w:tab w:val="left" w:pos="6173"/>
        </w:tabs>
        <w:spacing w:line="360" w:lineRule="auto"/>
        <w:ind w:firstLine="567"/>
        <w:jc w:val="both"/>
        <w:rPr>
          <w:rFonts w:asciiTheme="majorBidi" w:hAnsiTheme="majorBidi" w:cstheme="majorBidi"/>
          <w:sz w:val="24"/>
          <w:szCs w:val="24"/>
          <w:lang w:bidi="ar-DZ"/>
        </w:rPr>
      </w:pPr>
      <w:r>
        <w:rPr>
          <w:rFonts w:asciiTheme="majorBidi" w:hAnsiTheme="majorBidi" w:cstheme="majorBidi"/>
          <w:sz w:val="24"/>
          <w:szCs w:val="24"/>
          <w:lang w:bidi="ar-DZ"/>
        </w:rPr>
        <w:t xml:space="preserve">Les traitements anti-inflammatoires exercent principalement leur action en modulant la production des cytokines impliquées dans les processus inflammatoires. Chez les patients atteints de polyarthrite rhumatoïde, les articulations sont le siège de concentrations élevées de cytokines pro-inflammatoires, telles que l’interleukine-6 (IL-6) et le facteur de nécrose tumorale alpha (TNF-α), contribuant ainsi à la progression de la pathologie. La myéloperoxydase, tout comme les cytokines, joue un rôle central dans les réponses inflammatoires ; son inhibition pourrait donc atténuer les manifestations cliniques de l’inflammation. Des études ont mis en évidence les propriétés anti-inflammatoires des extraits de graines de fenugrec, notamment par leur capacité à inhiber la production de cytokines et à diminuer l’activité de la myéloperoxydase. De plus, le mucilage ainsi que l’extrait éthanolique de fenugrec ont démontré une efficacité notable dans la réduction des niveaux de TNF-α et d’IL-6 dans divers modèles expérimentaux, corroborant l’hypothèse d’un potentiel anti-inflammatoire de cette plante </w:t>
      </w:r>
      <w:r>
        <w:rPr>
          <w:rFonts w:asciiTheme="majorBidi" w:hAnsiTheme="majorBidi" w:cstheme="majorBidi"/>
          <w:b/>
          <w:bCs/>
          <w:sz w:val="24"/>
          <w:szCs w:val="24"/>
          <w:lang w:bidi="ar-DZ"/>
        </w:rPr>
        <w:t xml:space="preserve">(Manish Kumar Verma et </w:t>
      </w:r>
      <w:r>
        <w:rPr>
          <w:rFonts w:asciiTheme="majorBidi" w:hAnsiTheme="majorBidi" w:cstheme="majorBidi"/>
          <w:b/>
          <w:bCs/>
          <w:i/>
          <w:iCs/>
          <w:sz w:val="24"/>
          <w:szCs w:val="24"/>
          <w:lang w:bidi="ar-DZ"/>
        </w:rPr>
        <w:t>al</w:t>
      </w:r>
      <w:r>
        <w:rPr>
          <w:rFonts w:asciiTheme="majorBidi" w:hAnsiTheme="majorBidi" w:cstheme="majorBidi"/>
          <w:b/>
          <w:bCs/>
          <w:sz w:val="24"/>
          <w:szCs w:val="24"/>
          <w:lang w:bidi="ar-DZ"/>
        </w:rPr>
        <w:t>., 2021)</w:t>
      </w:r>
      <w:r>
        <w:rPr>
          <w:rFonts w:asciiTheme="majorBidi" w:hAnsiTheme="majorBidi" w:cstheme="majorBidi"/>
          <w:sz w:val="24"/>
          <w:szCs w:val="24"/>
          <w:lang w:bidi="ar-DZ"/>
        </w:rPr>
        <w:t xml:space="preserve">. Par ailleurs, les flavonoïdes contenus dans le fenugrec contribueraient également à cette action en inhibant les enzymes cyclooxygénases COX-1 et COX-2, renforçant ainsi son effet anti-inflammatoire </w:t>
      </w:r>
      <w:r>
        <w:rPr>
          <w:rFonts w:asciiTheme="majorBidi" w:hAnsiTheme="majorBidi" w:cstheme="majorBidi"/>
          <w:b/>
          <w:bCs/>
          <w:sz w:val="24"/>
          <w:szCs w:val="24"/>
          <w:lang w:bidi="ar-DZ"/>
        </w:rPr>
        <w:t>(Kilambi et Shah, 2021)</w:t>
      </w:r>
      <w:r>
        <w:rPr>
          <w:rFonts w:asciiTheme="majorBidi" w:hAnsiTheme="majorBidi" w:cstheme="majorBidi"/>
          <w:sz w:val="24"/>
          <w:szCs w:val="24"/>
          <w:lang w:bidi="ar-DZ"/>
        </w:rPr>
        <w:t>.</w:t>
      </w:r>
    </w:p>
    <w:p w14:paraId="14525755" w14:textId="77777777" w:rsidR="003E3FB4" w:rsidRPr="008520CA" w:rsidRDefault="00385ED0">
      <w:pPr>
        <w:tabs>
          <w:tab w:val="left" w:pos="6173"/>
        </w:tabs>
        <w:spacing w:line="360" w:lineRule="auto"/>
        <w:jc w:val="both"/>
        <w:rPr>
          <w:rFonts w:asciiTheme="majorBidi" w:hAnsiTheme="majorBidi" w:cstheme="majorBidi"/>
          <w:b/>
          <w:bCs/>
          <w:sz w:val="24"/>
          <w:szCs w:val="24"/>
          <w:lang w:bidi="ar-DZ"/>
        </w:rPr>
      </w:pPr>
      <w:r w:rsidRPr="008520CA">
        <w:rPr>
          <w:rFonts w:asciiTheme="majorBidi" w:hAnsiTheme="majorBidi" w:cstheme="majorBidi"/>
          <w:b/>
          <w:bCs/>
          <w:sz w:val="24"/>
          <w:szCs w:val="24"/>
          <w:lang w:bidi="ar-DZ"/>
        </w:rPr>
        <w:t xml:space="preserve">I.7.4. Activité Antidiabétique </w:t>
      </w:r>
    </w:p>
    <w:p w14:paraId="35ED0EF4" w14:textId="77777777" w:rsidR="003E3FB4" w:rsidRDefault="00385ED0">
      <w:pPr>
        <w:tabs>
          <w:tab w:val="left" w:pos="6173"/>
        </w:tabs>
        <w:spacing w:line="360" w:lineRule="auto"/>
        <w:ind w:firstLine="567"/>
        <w:jc w:val="both"/>
        <w:rPr>
          <w:rFonts w:asciiTheme="majorBidi" w:hAnsiTheme="majorBidi" w:cstheme="majorBidi"/>
          <w:sz w:val="24"/>
          <w:szCs w:val="24"/>
          <w:lang w:bidi="ar-DZ"/>
        </w:rPr>
      </w:pPr>
      <w:r>
        <w:rPr>
          <w:rFonts w:asciiTheme="majorBidi" w:hAnsiTheme="majorBidi" w:cstheme="majorBidi"/>
          <w:i/>
          <w:iCs/>
          <w:sz w:val="24"/>
          <w:szCs w:val="24"/>
          <w:lang w:bidi="ar-DZ"/>
        </w:rPr>
        <w:t>Trigonella foenum-graecum</w:t>
      </w:r>
      <w:r>
        <w:rPr>
          <w:rFonts w:asciiTheme="majorBidi" w:hAnsiTheme="majorBidi" w:cstheme="majorBidi"/>
          <w:sz w:val="24"/>
          <w:szCs w:val="24"/>
          <w:lang w:bidi="ar-DZ"/>
        </w:rPr>
        <w:t xml:space="preserve"> est largement reconnu pour ses propriétés antidiabétiques, principalement attribuées à sa richesse en fibres solubles, notamment le galactomannane. Ce polysaccharide joue un rôle important dans la régulation de la glycémie en ralentissant l’absorption intestinale du glucose et en améliorant la tolérance au glucose. Par son action, il contribue à la modulation de la digestion des glucides et à l’optimisation de la sensibilité à l’insuline </w:t>
      </w:r>
      <w:r>
        <w:rPr>
          <w:rFonts w:asciiTheme="majorBidi" w:hAnsiTheme="majorBidi" w:cstheme="majorBidi"/>
          <w:b/>
          <w:bCs/>
          <w:sz w:val="24"/>
          <w:szCs w:val="24"/>
          <w:lang w:bidi="ar-DZ"/>
        </w:rPr>
        <w:t xml:space="preserve">(Nathiya et </w:t>
      </w:r>
      <w:r>
        <w:rPr>
          <w:rFonts w:asciiTheme="majorBidi" w:hAnsiTheme="majorBidi" w:cstheme="majorBidi"/>
          <w:b/>
          <w:bCs/>
          <w:i/>
          <w:iCs/>
          <w:sz w:val="24"/>
          <w:szCs w:val="24"/>
          <w:lang w:bidi="ar-DZ"/>
        </w:rPr>
        <w:t>al</w:t>
      </w:r>
      <w:r>
        <w:rPr>
          <w:rFonts w:asciiTheme="majorBidi" w:hAnsiTheme="majorBidi" w:cstheme="majorBidi"/>
          <w:b/>
          <w:bCs/>
          <w:sz w:val="24"/>
          <w:szCs w:val="24"/>
          <w:lang w:bidi="ar-DZ"/>
        </w:rPr>
        <w:t>., 2014)</w:t>
      </w:r>
      <w:r>
        <w:rPr>
          <w:rFonts w:asciiTheme="majorBidi" w:hAnsiTheme="majorBidi" w:cstheme="majorBidi"/>
          <w:sz w:val="24"/>
          <w:szCs w:val="24"/>
          <w:lang w:bidi="ar-DZ"/>
        </w:rPr>
        <w:t>.</w:t>
      </w:r>
    </w:p>
    <w:p w14:paraId="62636D85" w14:textId="77777777" w:rsidR="003E3FB4" w:rsidRDefault="00385ED0">
      <w:pPr>
        <w:tabs>
          <w:tab w:val="left" w:pos="6173"/>
        </w:tabs>
        <w:spacing w:line="360" w:lineRule="auto"/>
        <w:ind w:firstLine="567"/>
        <w:jc w:val="both"/>
        <w:rPr>
          <w:rFonts w:asciiTheme="majorBidi" w:hAnsiTheme="majorBidi" w:cstheme="majorBidi"/>
          <w:sz w:val="24"/>
          <w:szCs w:val="24"/>
          <w:lang w:bidi="ar-DZ"/>
        </w:rPr>
      </w:pPr>
      <w:r>
        <w:rPr>
          <w:rFonts w:asciiTheme="majorBidi" w:hAnsiTheme="majorBidi" w:cstheme="majorBidi"/>
          <w:sz w:val="24"/>
          <w:szCs w:val="24"/>
          <w:lang w:bidi="ar-DZ"/>
        </w:rPr>
        <w:t xml:space="preserve">Des études ont montré que l’administration de poudre de graines de fenugrec à hauteur de 5 % dans le régime alimentaire pendant 21 jours induit une réduction significative de la glycémie à jeun, tout en rétablissant les fonctions enzymatiques hépatiques et rénales. Ces effets </w:t>
      </w:r>
      <w:r>
        <w:rPr>
          <w:rFonts w:asciiTheme="majorBidi" w:hAnsiTheme="majorBidi" w:cstheme="majorBidi"/>
          <w:sz w:val="24"/>
          <w:szCs w:val="24"/>
          <w:lang w:bidi="ar-DZ"/>
        </w:rPr>
        <w:lastRenderedPageBreak/>
        <w:t xml:space="preserve">thérapeutiques sont principalement liés à la présence de composés bioactifs tels que les saponines furostanoliques et les sapogénines stéroïdiennes, qui participent à la stimulation du transport du glucose, à l’augmentation de la sensibilité à l’insuline, ainsi qu’à la promotion du stockage du glycogène hépatique. En outre, le galactomannane est également associé à une diminution des concentrations de l’hémoglobine glyquée (HbA1c), du cholestérol total et des triglycérides. Parallèlement, la diosgénine, un autre composé actif du fenugrec, favorise le métabolisme du glucose et atténue l’inflammation dans les tissus adipeux, ce qui renforce son intérêt dans le traitement du diabète de type 2 et de l’obésité </w:t>
      </w:r>
      <w:r>
        <w:rPr>
          <w:rFonts w:asciiTheme="majorBidi" w:hAnsiTheme="majorBidi" w:cstheme="majorBidi"/>
          <w:b/>
          <w:bCs/>
          <w:sz w:val="24"/>
          <w:szCs w:val="24"/>
          <w:lang w:bidi="ar-DZ"/>
        </w:rPr>
        <w:t>(Varshney et Siddique, 2023)</w:t>
      </w:r>
      <w:r>
        <w:rPr>
          <w:rFonts w:asciiTheme="majorBidi" w:hAnsiTheme="majorBidi" w:cstheme="majorBidi"/>
          <w:sz w:val="24"/>
          <w:szCs w:val="24"/>
          <w:lang w:bidi="ar-DZ"/>
        </w:rPr>
        <w:t xml:space="preserve">. Par son action antioxydante et hépato-protectrice, le fenugrec constitue ainsi une alternative naturelle crédible aux traitements synthétiques conventionnels </w:t>
      </w:r>
      <w:r>
        <w:rPr>
          <w:rFonts w:asciiTheme="majorBidi" w:hAnsiTheme="majorBidi" w:cstheme="majorBidi"/>
          <w:b/>
          <w:bCs/>
          <w:sz w:val="24"/>
          <w:szCs w:val="24"/>
          <w:lang w:bidi="ar-DZ"/>
        </w:rPr>
        <w:t xml:space="preserve">(Nathiya et </w:t>
      </w:r>
      <w:r>
        <w:rPr>
          <w:rFonts w:asciiTheme="majorBidi" w:hAnsiTheme="majorBidi" w:cstheme="majorBidi"/>
          <w:b/>
          <w:bCs/>
          <w:i/>
          <w:iCs/>
          <w:sz w:val="24"/>
          <w:szCs w:val="24"/>
          <w:lang w:bidi="ar-DZ"/>
        </w:rPr>
        <w:t>al</w:t>
      </w:r>
      <w:r>
        <w:rPr>
          <w:rFonts w:asciiTheme="majorBidi" w:hAnsiTheme="majorBidi" w:cstheme="majorBidi"/>
          <w:b/>
          <w:bCs/>
          <w:sz w:val="24"/>
          <w:szCs w:val="24"/>
          <w:lang w:bidi="ar-DZ"/>
        </w:rPr>
        <w:t>., 2014)</w:t>
      </w:r>
      <w:r>
        <w:rPr>
          <w:rFonts w:asciiTheme="majorBidi" w:hAnsiTheme="majorBidi" w:cstheme="majorBidi"/>
          <w:sz w:val="24"/>
          <w:szCs w:val="24"/>
          <w:lang w:bidi="ar-DZ"/>
        </w:rPr>
        <w:t>.</w:t>
      </w:r>
    </w:p>
    <w:p w14:paraId="1B6D8114" w14:textId="77777777" w:rsidR="003E3FB4" w:rsidRPr="008520CA" w:rsidRDefault="00385ED0">
      <w:pPr>
        <w:tabs>
          <w:tab w:val="left" w:pos="6173"/>
        </w:tabs>
        <w:spacing w:line="360" w:lineRule="auto"/>
        <w:rPr>
          <w:rFonts w:asciiTheme="majorBidi" w:hAnsiTheme="majorBidi" w:cstheme="majorBidi"/>
          <w:b/>
          <w:bCs/>
          <w:sz w:val="24"/>
          <w:szCs w:val="24"/>
          <w:lang w:bidi="ar-DZ"/>
        </w:rPr>
      </w:pPr>
      <w:r w:rsidRPr="008520CA">
        <w:rPr>
          <w:rFonts w:asciiTheme="majorBidi" w:hAnsiTheme="majorBidi" w:cstheme="majorBidi"/>
          <w:b/>
          <w:bCs/>
          <w:sz w:val="24"/>
          <w:szCs w:val="24"/>
          <w:lang w:bidi="ar-DZ"/>
        </w:rPr>
        <w:t>I.7.5. Activité Antiulcéreuse</w:t>
      </w:r>
    </w:p>
    <w:p w14:paraId="52FD961C" w14:textId="77777777" w:rsidR="003E3FB4" w:rsidRDefault="00385ED0">
      <w:pPr>
        <w:tabs>
          <w:tab w:val="left" w:pos="6173"/>
        </w:tabs>
        <w:spacing w:line="360" w:lineRule="auto"/>
        <w:jc w:val="both"/>
        <w:rPr>
          <w:rFonts w:asciiTheme="majorBidi" w:hAnsiTheme="majorBidi" w:cstheme="majorBidi"/>
          <w:b/>
          <w:bCs/>
          <w:sz w:val="24"/>
          <w:szCs w:val="24"/>
          <w:lang w:bidi="ar-DZ"/>
        </w:rPr>
      </w:pPr>
      <w:r>
        <w:rPr>
          <w:rFonts w:asciiTheme="majorBidi" w:hAnsiTheme="majorBidi" w:cstheme="majorBidi"/>
          <w:sz w:val="24"/>
          <w:szCs w:val="24"/>
          <w:lang w:bidi="ar-DZ"/>
        </w:rPr>
        <w:t xml:space="preserve">          Les lésions de la muqueuse gastro-intestinale causées par l'acide gastrique ou la pepsine sont à l'origine de la maladie ulcéreuse peptique, qui touche principalement l'estomac et la portion initiale du duodénum. L'usage d'anti-inflammatoires non stéroïdiens (AINS) et l'infection par Helicobacter pylori peuvent également altérer la muqueuse gastrique, favorisant ainsi l'apparition d’ulcères. </w:t>
      </w:r>
      <w:r>
        <w:rPr>
          <w:rFonts w:asciiTheme="majorBidi" w:hAnsiTheme="majorBidi" w:cstheme="majorBidi"/>
          <w:b/>
          <w:bCs/>
          <w:sz w:val="24"/>
          <w:szCs w:val="24"/>
          <w:lang w:bidi="ar-DZ"/>
        </w:rPr>
        <w:t>(Roshan Kumar, 2023)</w:t>
      </w:r>
      <w:r>
        <w:rPr>
          <w:rFonts w:asciiTheme="majorBidi" w:hAnsiTheme="majorBidi" w:cstheme="majorBidi"/>
          <w:sz w:val="24"/>
          <w:szCs w:val="24"/>
          <w:lang w:bidi="ar-DZ"/>
        </w:rPr>
        <w:t xml:space="preserve">. Les chercheurs se sont de plus en plus tournés vers les plantes médicinales comme alternatives naturelles et prometteuses. Ces dernières ont démontré une efficacité significative dans la prise en charge des ulcères gastriques et duodénaux, tout en minimisant les effets secondaires, en stimulant les défenses immunitaires de l’organisme et en réduisant les risques de récidive. Parmi ces plantes, le fenugrec se distingue par son potentiel thérapeutique remarquable </w:t>
      </w:r>
      <w:r>
        <w:rPr>
          <w:rFonts w:asciiTheme="majorBidi" w:hAnsiTheme="majorBidi" w:cstheme="majorBidi"/>
          <w:b/>
          <w:bCs/>
          <w:sz w:val="24"/>
          <w:szCs w:val="24"/>
          <w:lang w:bidi="ar-DZ"/>
        </w:rPr>
        <w:t>(</w:t>
      </w:r>
      <w:r>
        <w:rPr>
          <w:rFonts w:asciiTheme="majorBidi" w:hAnsiTheme="majorBidi" w:cstheme="majorBidi"/>
          <w:b/>
          <w:bCs/>
          <w:sz w:val="24"/>
          <w:szCs w:val="24"/>
          <w:shd w:val="clear" w:color="auto" w:fill="FFFFFF"/>
        </w:rPr>
        <w:t>Anand</w:t>
      </w:r>
      <w:r>
        <w:rPr>
          <w:rFonts w:asciiTheme="majorBidi" w:hAnsiTheme="majorBidi" w:cstheme="majorBidi"/>
          <w:b/>
          <w:bCs/>
          <w:sz w:val="24"/>
          <w:szCs w:val="24"/>
          <w:lang w:bidi="ar-DZ"/>
        </w:rPr>
        <w:t xml:space="preserve"> et </w:t>
      </w:r>
      <w:r>
        <w:rPr>
          <w:rFonts w:asciiTheme="majorBidi" w:hAnsiTheme="majorBidi" w:cstheme="majorBidi"/>
          <w:b/>
          <w:bCs/>
          <w:i/>
          <w:iCs/>
          <w:sz w:val="24"/>
          <w:szCs w:val="24"/>
          <w:lang w:bidi="ar-DZ"/>
        </w:rPr>
        <w:t>al</w:t>
      </w:r>
      <w:r>
        <w:rPr>
          <w:rFonts w:asciiTheme="majorBidi" w:hAnsiTheme="majorBidi" w:cstheme="majorBidi"/>
          <w:b/>
          <w:bCs/>
          <w:sz w:val="24"/>
          <w:szCs w:val="24"/>
          <w:lang w:bidi="ar-DZ"/>
        </w:rPr>
        <w:t>.,2012).</w:t>
      </w:r>
    </w:p>
    <w:p w14:paraId="657492B3" w14:textId="3E1EE676" w:rsidR="003E3FB4" w:rsidRDefault="00385ED0">
      <w:pPr>
        <w:tabs>
          <w:tab w:val="left" w:pos="6173"/>
        </w:tabs>
        <w:spacing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          L'activité </w:t>
      </w:r>
      <w:r w:rsidR="008520CA">
        <w:rPr>
          <w:rFonts w:asciiTheme="majorBidi" w:hAnsiTheme="majorBidi" w:cstheme="majorBidi"/>
          <w:sz w:val="24"/>
          <w:szCs w:val="24"/>
          <w:lang w:bidi="ar-DZ"/>
        </w:rPr>
        <w:t>antiulcéreuse</w:t>
      </w:r>
      <w:r>
        <w:rPr>
          <w:rFonts w:asciiTheme="majorBidi" w:hAnsiTheme="majorBidi" w:cstheme="majorBidi"/>
          <w:sz w:val="24"/>
          <w:szCs w:val="24"/>
          <w:lang w:bidi="ar-DZ"/>
        </w:rPr>
        <w:t xml:space="preserve"> des graines de fenugrec est attribuée à la présence de phytochimiques tels que les alcaloïdes et les flavonoïdes, qui aident à protéger la muqueuse gastrique. Les extraits de fenugrec sont employés pour réduire la sécrétion d'acide gastrique ou stimuler la production de mucus. </w:t>
      </w:r>
      <w:r>
        <w:rPr>
          <w:rFonts w:asciiTheme="majorBidi" w:hAnsiTheme="majorBidi" w:cstheme="majorBidi"/>
          <w:b/>
          <w:bCs/>
          <w:sz w:val="24"/>
          <w:szCs w:val="24"/>
          <w:lang w:bidi="ar-DZ"/>
        </w:rPr>
        <w:t>(Patil et Garima, 2014)</w:t>
      </w:r>
    </w:p>
    <w:p w14:paraId="442CD7C3" w14:textId="77777777" w:rsidR="003E3FB4" w:rsidRPr="008520CA" w:rsidRDefault="00385ED0">
      <w:pPr>
        <w:tabs>
          <w:tab w:val="left" w:pos="6173"/>
        </w:tabs>
        <w:spacing w:line="360" w:lineRule="auto"/>
        <w:jc w:val="both"/>
        <w:rPr>
          <w:rFonts w:asciiTheme="majorBidi" w:hAnsiTheme="majorBidi" w:cstheme="majorBidi"/>
          <w:b/>
          <w:bCs/>
          <w:sz w:val="24"/>
          <w:szCs w:val="24"/>
          <w:lang w:bidi="ar-DZ"/>
        </w:rPr>
      </w:pPr>
      <w:r w:rsidRPr="008520CA">
        <w:rPr>
          <w:rFonts w:asciiTheme="majorBidi" w:hAnsiTheme="majorBidi" w:cstheme="majorBidi"/>
          <w:b/>
          <w:bCs/>
          <w:sz w:val="24"/>
          <w:szCs w:val="24"/>
          <w:lang w:bidi="ar-DZ"/>
        </w:rPr>
        <w:t>I.7.6. Effet des activités enzymatiques</w:t>
      </w:r>
    </w:p>
    <w:p w14:paraId="075E1B8D" w14:textId="77777777" w:rsidR="003E3FB4" w:rsidRDefault="00385ED0">
      <w:pPr>
        <w:tabs>
          <w:tab w:val="left" w:pos="6173"/>
        </w:tabs>
        <w:spacing w:line="360" w:lineRule="auto"/>
        <w:jc w:val="both"/>
        <w:rPr>
          <w:rFonts w:asciiTheme="majorBidi" w:hAnsiTheme="majorBidi" w:cstheme="majorBidi"/>
          <w:b/>
          <w:bCs/>
          <w:sz w:val="28"/>
          <w:szCs w:val="28"/>
          <w:lang w:bidi="ar-DZ"/>
        </w:rPr>
      </w:pPr>
      <w:r>
        <w:rPr>
          <w:rFonts w:asciiTheme="majorBidi" w:hAnsiTheme="majorBidi" w:cstheme="majorBidi"/>
          <w:b/>
          <w:bCs/>
          <w:sz w:val="28"/>
          <w:szCs w:val="28"/>
          <w:lang w:bidi="ar-DZ"/>
        </w:rPr>
        <w:t xml:space="preserve">        </w:t>
      </w:r>
      <w:r>
        <w:rPr>
          <w:rFonts w:asciiTheme="majorBidi" w:hAnsiTheme="majorBidi" w:cstheme="majorBidi"/>
          <w:sz w:val="24"/>
          <w:szCs w:val="24"/>
          <w:lang w:bidi="ar-DZ"/>
        </w:rPr>
        <w:t xml:space="preserve">De nombreuses études indiquent que le fenugrec possède des propriétés lui permettant, dans une certaine mesure, de rééquilibrer les activités enzymatiques essentielles impliquées dans le métabolisme des lipides et des glucides, tant chez les modèles animaux qu'humains. Les expériences menées sur des rats ont montré que la consommation de </w:t>
      </w:r>
      <w:r>
        <w:rPr>
          <w:rFonts w:asciiTheme="majorBidi" w:hAnsiTheme="majorBidi" w:cstheme="majorBidi"/>
          <w:i/>
          <w:iCs/>
          <w:sz w:val="24"/>
          <w:szCs w:val="24"/>
          <w:lang w:bidi="ar-DZ"/>
        </w:rPr>
        <w:t>Trigonella</w:t>
      </w:r>
      <w:r>
        <w:rPr>
          <w:rFonts w:asciiTheme="majorBidi" w:hAnsiTheme="majorBidi" w:cstheme="majorBidi"/>
          <w:sz w:val="24"/>
          <w:szCs w:val="24"/>
          <w:lang w:bidi="ar-DZ"/>
        </w:rPr>
        <w:t xml:space="preserve"> a contribué à corriger les déséquilibres enzymatiques et à réduire la glycémie </w:t>
      </w:r>
      <w:r>
        <w:rPr>
          <w:rFonts w:asciiTheme="majorBidi" w:hAnsiTheme="majorBidi" w:cstheme="majorBidi"/>
          <w:b/>
          <w:bCs/>
          <w:sz w:val="24"/>
          <w:szCs w:val="24"/>
          <w:lang w:bidi="ar-DZ"/>
        </w:rPr>
        <w:t>(Jhajhria et Kumar, 2016)</w:t>
      </w:r>
      <w:r>
        <w:rPr>
          <w:rFonts w:asciiTheme="majorBidi" w:hAnsiTheme="majorBidi" w:cstheme="majorBidi"/>
          <w:sz w:val="24"/>
          <w:szCs w:val="24"/>
          <w:lang w:bidi="ar-DZ"/>
        </w:rPr>
        <w:t>.</w:t>
      </w:r>
    </w:p>
    <w:p w14:paraId="40539D2E" w14:textId="77777777" w:rsidR="003E3FB4" w:rsidRDefault="00385ED0">
      <w:pPr>
        <w:tabs>
          <w:tab w:val="left" w:pos="6173"/>
        </w:tabs>
        <w:spacing w:line="360" w:lineRule="auto"/>
        <w:jc w:val="both"/>
        <w:rPr>
          <w:rFonts w:asciiTheme="majorBidi" w:hAnsiTheme="majorBidi" w:cstheme="majorBidi"/>
          <w:b/>
          <w:bCs/>
          <w:sz w:val="24"/>
          <w:szCs w:val="24"/>
          <w:lang w:bidi="ar-DZ"/>
        </w:rPr>
      </w:pPr>
      <w:r>
        <w:rPr>
          <w:rFonts w:asciiTheme="majorBidi" w:hAnsiTheme="majorBidi" w:cstheme="majorBidi"/>
          <w:sz w:val="24"/>
          <w:szCs w:val="24"/>
          <w:lang w:bidi="ar-DZ"/>
        </w:rPr>
        <w:lastRenderedPageBreak/>
        <w:t>Les recherches ont également démontré que les altérations des niveaux de superoxyde dismutase, glutathion peroxydase et catalase, qui sont des enzymes antioxydantes, dans le foie et les reins des rats diabétiques, ont été corrigées grâce à une combinaison d’insuline, de vanadate et de fenugrec</w:t>
      </w:r>
      <w:r>
        <w:rPr>
          <w:rFonts w:asciiTheme="majorBidi" w:hAnsiTheme="majorBidi" w:cstheme="majorBidi"/>
          <w:b/>
          <w:bCs/>
          <w:sz w:val="24"/>
          <w:szCs w:val="24"/>
          <w:lang w:bidi="ar-DZ"/>
        </w:rPr>
        <w:t>. (Jhajhria et Kumar, 2016).</w:t>
      </w:r>
    </w:p>
    <w:p w14:paraId="7A87D81E" w14:textId="77777777" w:rsidR="00B142B7" w:rsidRDefault="00B142B7">
      <w:pPr>
        <w:tabs>
          <w:tab w:val="left" w:pos="6173"/>
        </w:tabs>
        <w:spacing w:line="360" w:lineRule="auto"/>
        <w:jc w:val="both"/>
        <w:rPr>
          <w:rFonts w:asciiTheme="majorBidi" w:hAnsiTheme="majorBidi" w:cstheme="majorBidi"/>
          <w:b/>
          <w:bCs/>
          <w:sz w:val="96"/>
          <w:szCs w:val="96"/>
          <w:lang w:bidi="ar-DZ"/>
        </w:rPr>
      </w:pPr>
    </w:p>
    <w:p w14:paraId="5EC9AE97" w14:textId="77777777" w:rsidR="005F518F" w:rsidRDefault="005F518F">
      <w:pPr>
        <w:tabs>
          <w:tab w:val="left" w:pos="6173"/>
        </w:tabs>
        <w:spacing w:line="360" w:lineRule="auto"/>
        <w:jc w:val="both"/>
        <w:rPr>
          <w:rFonts w:asciiTheme="majorBidi" w:hAnsiTheme="majorBidi" w:cstheme="majorBidi"/>
          <w:b/>
          <w:bCs/>
          <w:sz w:val="96"/>
          <w:szCs w:val="96"/>
          <w:lang w:bidi="ar-DZ"/>
        </w:rPr>
        <w:sectPr w:rsidR="005F518F" w:rsidSect="00325792">
          <w:headerReference w:type="default" r:id="rId24"/>
          <w:footerReference w:type="default" r:id="rId25"/>
          <w:pgSz w:w="11906" w:h="16838"/>
          <w:pgMar w:top="1418" w:right="1416" w:bottom="1418" w:left="1418" w:header="709" w:footer="709" w:gutter="0"/>
          <w:pgNumType w:start="4"/>
          <w:cols w:space="708"/>
          <w:docGrid w:linePitch="360"/>
        </w:sectPr>
      </w:pPr>
    </w:p>
    <w:p w14:paraId="2CE2BABF" w14:textId="25FB8A60" w:rsidR="00B142B7" w:rsidRDefault="00B142B7">
      <w:pPr>
        <w:tabs>
          <w:tab w:val="left" w:pos="6173"/>
        </w:tabs>
        <w:spacing w:line="360" w:lineRule="auto"/>
        <w:jc w:val="both"/>
        <w:rPr>
          <w:rFonts w:asciiTheme="majorBidi" w:hAnsiTheme="majorBidi" w:cstheme="majorBidi"/>
          <w:b/>
          <w:bCs/>
          <w:sz w:val="96"/>
          <w:szCs w:val="96"/>
          <w:lang w:bidi="ar-DZ"/>
        </w:rPr>
      </w:pPr>
    </w:p>
    <w:p w14:paraId="3DF845C3" w14:textId="7096B9A7" w:rsidR="005F518F" w:rsidRDefault="005F518F">
      <w:pPr>
        <w:tabs>
          <w:tab w:val="left" w:pos="6173"/>
        </w:tabs>
        <w:spacing w:line="360" w:lineRule="auto"/>
        <w:jc w:val="both"/>
        <w:rPr>
          <w:rFonts w:asciiTheme="majorBidi" w:hAnsiTheme="majorBidi" w:cstheme="majorBidi"/>
          <w:b/>
          <w:bCs/>
          <w:sz w:val="96"/>
          <w:szCs w:val="96"/>
          <w:lang w:bidi="ar-DZ"/>
        </w:rPr>
      </w:pPr>
    </w:p>
    <w:p w14:paraId="615D1D39" w14:textId="77777777" w:rsidR="005F518F" w:rsidRDefault="005F518F">
      <w:pPr>
        <w:tabs>
          <w:tab w:val="left" w:pos="6173"/>
        </w:tabs>
        <w:spacing w:line="360" w:lineRule="auto"/>
        <w:jc w:val="both"/>
        <w:rPr>
          <w:rFonts w:asciiTheme="majorBidi" w:hAnsiTheme="majorBidi" w:cstheme="majorBidi"/>
          <w:b/>
          <w:bCs/>
          <w:sz w:val="96"/>
          <w:szCs w:val="96"/>
          <w:lang w:bidi="ar-DZ"/>
        </w:rPr>
      </w:pPr>
    </w:p>
    <w:p w14:paraId="08FF134F" w14:textId="1C1AA5AC" w:rsidR="003E3FB4" w:rsidRPr="004A3F2A" w:rsidRDefault="001970EA">
      <w:pPr>
        <w:tabs>
          <w:tab w:val="left" w:pos="6173"/>
        </w:tabs>
        <w:spacing w:line="360" w:lineRule="auto"/>
        <w:jc w:val="both"/>
        <w:rPr>
          <w:rFonts w:asciiTheme="majorBidi" w:hAnsiTheme="majorBidi" w:cstheme="majorBidi"/>
          <w:b/>
          <w:bCs/>
          <w:sz w:val="96"/>
          <w:szCs w:val="96"/>
          <w:lang w:bidi="ar-DZ"/>
        </w:rPr>
      </w:pPr>
      <w:r>
        <w:rPr>
          <w:rFonts w:asciiTheme="majorBidi" w:hAnsiTheme="majorBidi" w:cstheme="majorBidi"/>
          <w:b/>
          <w:bCs/>
          <w:sz w:val="96"/>
          <w:szCs w:val="96"/>
          <w:lang w:bidi="ar-DZ"/>
        </w:rPr>
        <w:t xml:space="preserve"> </w:t>
      </w:r>
      <w:r w:rsidR="00A91CA6">
        <w:rPr>
          <w:rFonts w:asciiTheme="majorBidi" w:hAnsiTheme="majorBidi" w:cstheme="majorBidi"/>
          <w:b/>
          <w:bCs/>
          <w:sz w:val="96"/>
          <w:szCs w:val="96"/>
          <w:lang w:bidi="ar-DZ"/>
        </w:rPr>
        <w:t>Pa</w:t>
      </w:r>
      <w:r w:rsidR="004A3F2A">
        <w:rPr>
          <w:rFonts w:asciiTheme="majorBidi" w:hAnsiTheme="majorBidi" w:cstheme="majorBidi"/>
          <w:b/>
          <w:bCs/>
          <w:sz w:val="96"/>
          <w:szCs w:val="96"/>
          <w:lang w:bidi="ar-DZ"/>
        </w:rPr>
        <w:t xml:space="preserve">rtie expérimentale </w:t>
      </w:r>
    </w:p>
    <w:p w14:paraId="3C94700D" w14:textId="77777777" w:rsidR="003E3FB4" w:rsidRDefault="003E3FB4">
      <w:pPr>
        <w:tabs>
          <w:tab w:val="left" w:pos="6173"/>
        </w:tabs>
        <w:spacing w:line="360" w:lineRule="auto"/>
        <w:jc w:val="both"/>
        <w:rPr>
          <w:rFonts w:asciiTheme="majorBidi" w:hAnsiTheme="majorBidi" w:cstheme="majorBidi"/>
          <w:b/>
          <w:bCs/>
          <w:sz w:val="24"/>
          <w:szCs w:val="24"/>
          <w:lang w:bidi="ar-DZ"/>
        </w:rPr>
      </w:pPr>
    </w:p>
    <w:p w14:paraId="259B7EF6" w14:textId="77777777" w:rsidR="003E3FB4" w:rsidRDefault="003E3FB4">
      <w:pPr>
        <w:tabs>
          <w:tab w:val="left" w:pos="6173"/>
        </w:tabs>
        <w:spacing w:line="360" w:lineRule="auto"/>
        <w:jc w:val="both"/>
        <w:rPr>
          <w:rFonts w:asciiTheme="majorBidi" w:hAnsiTheme="majorBidi" w:cstheme="majorBidi"/>
          <w:b/>
          <w:bCs/>
          <w:sz w:val="24"/>
          <w:szCs w:val="24"/>
          <w:lang w:bidi="ar-DZ"/>
        </w:rPr>
      </w:pPr>
    </w:p>
    <w:p w14:paraId="59626DD8" w14:textId="77777777" w:rsidR="003E3FB4" w:rsidRDefault="003E3FB4">
      <w:pPr>
        <w:tabs>
          <w:tab w:val="left" w:pos="6173"/>
        </w:tabs>
        <w:spacing w:line="360" w:lineRule="auto"/>
        <w:jc w:val="both"/>
        <w:rPr>
          <w:rFonts w:asciiTheme="majorBidi" w:hAnsiTheme="majorBidi" w:cstheme="majorBidi"/>
          <w:b/>
          <w:bCs/>
          <w:sz w:val="24"/>
          <w:szCs w:val="24"/>
          <w:lang w:bidi="ar-DZ"/>
        </w:rPr>
      </w:pPr>
    </w:p>
    <w:p w14:paraId="301CE670" w14:textId="77777777" w:rsidR="003E3FB4" w:rsidRDefault="003E3FB4">
      <w:pPr>
        <w:tabs>
          <w:tab w:val="left" w:pos="6173"/>
        </w:tabs>
        <w:spacing w:line="360" w:lineRule="auto"/>
        <w:jc w:val="both"/>
        <w:rPr>
          <w:rFonts w:asciiTheme="majorBidi" w:hAnsiTheme="majorBidi" w:cstheme="majorBidi"/>
          <w:b/>
          <w:bCs/>
          <w:sz w:val="24"/>
          <w:szCs w:val="24"/>
          <w:lang w:bidi="ar-DZ"/>
        </w:rPr>
      </w:pPr>
    </w:p>
    <w:p w14:paraId="5FC130E6" w14:textId="77777777" w:rsidR="003E3FB4" w:rsidRDefault="003E3FB4">
      <w:pPr>
        <w:tabs>
          <w:tab w:val="left" w:pos="6173"/>
        </w:tabs>
        <w:spacing w:line="360" w:lineRule="auto"/>
        <w:jc w:val="both"/>
        <w:rPr>
          <w:rFonts w:asciiTheme="majorBidi" w:hAnsiTheme="majorBidi" w:cstheme="majorBidi"/>
          <w:b/>
          <w:bCs/>
          <w:sz w:val="24"/>
          <w:szCs w:val="24"/>
          <w:lang w:bidi="ar-DZ"/>
        </w:rPr>
      </w:pPr>
    </w:p>
    <w:p w14:paraId="117DDC12" w14:textId="77777777" w:rsidR="003E3FB4" w:rsidRDefault="003E3FB4">
      <w:pPr>
        <w:tabs>
          <w:tab w:val="left" w:pos="6173"/>
        </w:tabs>
        <w:spacing w:line="360" w:lineRule="auto"/>
        <w:jc w:val="both"/>
        <w:rPr>
          <w:rFonts w:asciiTheme="majorBidi" w:hAnsiTheme="majorBidi" w:cstheme="majorBidi"/>
          <w:b/>
          <w:bCs/>
          <w:sz w:val="24"/>
          <w:szCs w:val="24"/>
          <w:lang w:bidi="ar-DZ"/>
        </w:rPr>
      </w:pPr>
    </w:p>
    <w:p w14:paraId="24706353" w14:textId="77777777" w:rsidR="003E3FB4" w:rsidRDefault="003E3FB4">
      <w:pPr>
        <w:tabs>
          <w:tab w:val="left" w:pos="6173"/>
        </w:tabs>
        <w:spacing w:line="360" w:lineRule="auto"/>
        <w:jc w:val="both"/>
        <w:rPr>
          <w:rFonts w:asciiTheme="majorBidi" w:hAnsiTheme="majorBidi" w:cstheme="majorBidi"/>
          <w:b/>
          <w:bCs/>
          <w:sz w:val="24"/>
          <w:szCs w:val="24"/>
          <w:lang w:bidi="ar-DZ"/>
        </w:rPr>
      </w:pPr>
    </w:p>
    <w:p w14:paraId="069F3741" w14:textId="77777777" w:rsidR="003E3FB4" w:rsidRDefault="003E3FB4">
      <w:pPr>
        <w:tabs>
          <w:tab w:val="left" w:pos="6173"/>
        </w:tabs>
        <w:spacing w:line="360" w:lineRule="auto"/>
        <w:jc w:val="both"/>
        <w:rPr>
          <w:rFonts w:asciiTheme="majorBidi" w:hAnsiTheme="majorBidi" w:cstheme="majorBidi"/>
          <w:b/>
          <w:bCs/>
          <w:sz w:val="24"/>
          <w:szCs w:val="24"/>
          <w:lang w:bidi="ar-DZ"/>
        </w:rPr>
      </w:pPr>
    </w:p>
    <w:p w14:paraId="619B2CF8" w14:textId="77777777" w:rsidR="003E3FB4" w:rsidRDefault="003E3FB4">
      <w:pPr>
        <w:tabs>
          <w:tab w:val="left" w:pos="6173"/>
        </w:tabs>
        <w:spacing w:line="360" w:lineRule="auto"/>
        <w:jc w:val="both"/>
        <w:rPr>
          <w:rFonts w:asciiTheme="majorBidi" w:hAnsiTheme="majorBidi" w:cstheme="majorBidi"/>
          <w:b/>
          <w:bCs/>
          <w:sz w:val="24"/>
          <w:szCs w:val="24"/>
          <w:lang w:bidi="ar-DZ"/>
        </w:rPr>
      </w:pPr>
    </w:p>
    <w:p w14:paraId="2B46EECE" w14:textId="77777777" w:rsidR="00405959" w:rsidRDefault="00405959">
      <w:pPr>
        <w:tabs>
          <w:tab w:val="left" w:pos="6173"/>
        </w:tabs>
        <w:spacing w:line="360" w:lineRule="auto"/>
        <w:jc w:val="center"/>
        <w:rPr>
          <w:rFonts w:asciiTheme="majorBidi" w:hAnsiTheme="majorBidi" w:cstheme="majorBidi"/>
          <w:b/>
          <w:bCs/>
          <w:sz w:val="28"/>
          <w:szCs w:val="28"/>
        </w:rPr>
        <w:sectPr w:rsidR="00405959" w:rsidSect="00325792">
          <w:headerReference w:type="default" r:id="rId26"/>
          <w:footerReference w:type="default" r:id="rId27"/>
          <w:pgSz w:w="11906" w:h="16838"/>
          <w:pgMar w:top="1418" w:right="1416" w:bottom="1418" w:left="1418" w:header="709" w:footer="709" w:gutter="0"/>
          <w:pgNumType w:start="4"/>
          <w:cols w:space="708"/>
          <w:docGrid w:linePitch="360"/>
        </w:sectPr>
      </w:pPr>
    </w:p>
    <w:p w14:paraId="722A4272" w14:textId="6A9D2FFD" w:rsidR="003E3FB4" w:rsidRDefault="00385ED0">
      <w:pPr>
        <w:tabs>
          <w:tab w:val="left" w:pos="6173"/>
        </w:tabs>
        <w:spacing w:line="360" w:lineRule="auto"/>
        <w:jc w:val="center"/>
        <w:rPr>
          <w:rFonts w:asciiTheme="majorBidi" w:hAnsiTheme="majorBidi" w:cstheme="majorBidi"/>
          <w:b/>
          <w:bCs/>
          <w:sz w:val="28"/>
          <w:szCs w:val="28"/>
        </w:rPr>
      </w:pPr>
      <w:r>
        <w:rPr>
          <w:rFonts w:asciiTheme="majorBidi" w:hAnsiTheme="majorBidi" w:cstheme="majorBidi"/>
          <w:b/>
          <w:bCs/>
          <w:sz w:val="28"/>
          <w:szCs w:val="28"/>
        </w:rPr>
        <w:lastRenderedPageBreak/>
        <w:t>Chapitre II : Matériel et méthodes</w:t>
      </w:r>
    </w:p>
    <w:p w14:paraId="0FC175AB" w14:textId="641C45F2" w:rsidR="008520CA" w:rsidRPr="008520CA" w:rsidRDefault="008520CA" w:rsidP="008520CA">
      <w:pPr>
        <w:tabs>
          <w:tab w:val="left" w:pos="6173"/>
        </w:tabs>
        <w:spacing w:line="360" w:lineRule="auto"/>
        <w:ind w:firstLine="567"/>
        <w:jc w:val="both"/>
        <w:rPr>
          <w:rFonts w:asciiTheme="majorBidi" w:hAnsiTheme="majorBidi" w:cstheme="majorBidi"/>
          <w:sz w:val="24"/>
          <w:szCs w:val="24"/>
          <w:lang w:bidi="ar-DZ"/>
        </w:rPr>
      </w:pPr>
      <w:r w:rsidRPr="008520CA">
        <w:rPr>
          <w:rFonts w:asciiTheme="majorBidi" w:hAnsiTheme="majorBidi" w:cstheme="majorBidi"/>
          <w:sz w:val="24"/>
          <w:szCs w:val="24"/>
          <w:lang w:bidi="ar-DZ"/>
        </w:rPr>
        <w:t xml:space="preserve">L’objectif principal de cette recherche expérimentale est d’évaluer de manière comparative les propriétés antioxydantes, anti-inflammatoires et antimicrobiennes des extraits aqueux et éthanoliques des graines de </w:t>
      </w:r>
      <w:r w:rsidRPr="008520CA">
        <w:rPr>
          <w:rFonts w:asciiTheme="majorBidi" w:hAnsiTheme="majorBidi" w:cstheme="majorBidi"/>
          <w:i/>
          <w:iCs/>
          <w:sz w:val="24"/>
          <w:szCs w:val="24"/>
          <w:lang w:bidi="ar-DZ"/>
        </w:rPr>
        <w:t>Trigonella foenum-graecum</w:t>
      </w:r>
      <w:r w:rsidRPr="008520CA">
        <w:rPr>
          <w:rFonts w:asciiTheme="majorBidi" w:hAnsiTheme="majorBidi" w:cstheme="majorBidi"/>
          <w:sz w:val="24"/>
          <w:szCs w:val="24"/>
          <w:lang w:bidi="ar-DZ"/>
        </w:rPr>
        <w:t xml:space="preserve"> L.</w:t>
      </w:r>
    </w:p>
    <w:p w14:paraId="5A440AE5" w14:textId="77777777" w:rsidR="003E3FB4" w:rsidRDefault="00385ED0">
      <w:pPr>
        <w:spacing w:after="180"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Les graines de </w:t>
      </w:r>
      <w:r>
        <w:rPr>
          <w:rFonts w:asciiTheme="majorBidi" w:hAnsiTheme="majorBidi" w:cstheme="majorBidi"/>
          <w:i/>
          <w:iCs/>
          <w:sz w:val="24"/>
          <w:szCs w:val="24"/>
        </w:rPr>
        <w:t>Trigonella foenum-graecum</w:t>
      </w:r>
      <w:r>
        <w:rPr>
          <w:rFonts w:asciiTheme="majorBidi" w:hAnsiTheme="majorBidi" w:cstheme="majorBidi"/>
          <w:sz w:val="24"/>
          <w:szCs w:val="24"/>
        </w:rPr>
        <w:t xml:space="preserve"> L. (fenugrec) sont largement reconnues pour leur richesse en métabolites secondaires bioactifs. Dans le cadre de la présente étude, des extraits aqueux et éthanoliques de ces graines ont été préparés et soumis à diverses évaluations expérimentales en vue de confirmer leur potentiel biologique.</w:t>
      </w:r>
    </w:p>
    <w:p w14:paraId="7F62DA37" w14:textId="77777777" w:rsidR="003E3FB4" w:rsidRDefault="00385ED0">
      <w:pPr>
        <w:spacing w:after="180"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L’étude, réalisée entre février et mai 2025, s’est déroulée en plusieurs phases. La préparation des extraits a été effectuée au laboratoire de physiologie végétale de l’Université Djilali Bounaama de Khemis Miliana. Les tests d’activité antimicrobienne ont été menés au laboratoire d’analyses médicales du Dr Zibouche à Aïn Defla, ainsi qu’au sein de l’unité SAIDAL de Médéa. Parallèlement, les évaluations des activités antioxydante et anti-inflammatoire, aussi bien </w:t>
      </w:r>
      <w:r>
        <w:rPr>
          <w:rFonts w:asciiTheme="majorBidi" w:hAnsiTheme="majorBidi" w:cstheme="majorBidi"/>
          <w:i/>
          <w:iCs/>
          <w:sz w:val="24"/>
          <w:szCs w:val="24"/>
        </w:rPr>
        <w:t>in vitro,</w:t>
      </w:r>
      <w:r>
        <w:rPr>
          <w:rFonts w:asciiTheme="majorBidi" w:hAnsiTheme="majorBidi" w:cstheme="majorBidi"/>
          <w:sz w:val="24"/>
          <w:szCs w:val="24"/>
        </w:rPr>
        <w:t xml:space="preserve"> ont été conduites dans les laboratoires d’analyses de l’Université Djilali Bounaama Khemis Miliana.</w:t>
      </w:r>
    </w:p>
    <w:p w14:paraId="3D273D10" w14:textId="77777777" w:rsidR="003E3FB4" w:rsidRDefault="00385ED0">
      <w:pPr>
        <w:spacing w:after="0" w:line="360" w:lineRule="auto"/>
        <w:rPr>
          <w:rFonts w:asciiTheme="majorBidi" w:hAnsiTheme="majorBidi" w:cstheme="majorBidi"/>
          <w:b/>
          <w:bCs/>
          <w:sz w:val="26"/>
          <w:szCs w:val="26"/>
        </w:rPr>
      </w:pPr>
      <w:r>
        <w:rPr>
          <w:rFonts w:asciiTheme="majorBidi" w:hAnsiTheme="majorBidi" w:cstheme="majorBidi"/>
          <w:b/>
          <w:bCs/>
          <w:sz w:val="26"/>
          <w:szCs w:val="26"/>
        </w:rPr>
        <w:t>II.1 Matériel</w:t>
      </w:r>
    </w:p>
    <w:p w14:paraId="255E6030" w14:textId="77777777" w:rsidR="003E3FB4" w:rsidRDefault="00385ED0">
      <w:pPr>
        <w:spacing w:after="0" w:line="360" w:lineRule="auto"/>
        <w:rPr>
          <w:rFonts w:asciiTheme="majorBidi" w:hAnsiTheme="majorBidi" w:cstheme="majorBidi"/>
          <w:b/>
          <w:bCs/>
          <w:sz w:val="26"/>
          <w:szCs w:val="26"/>
        </w:rPr>
      </w:pPr>
      <w:r>
        <w:rPr>
          <w:rFonts w:asciiTheme="majorBidi" w:hAnsiTheme="majorBidi" w:cstheme="majorBidi"/>
          <w:b/>
          <w:bCs/>
          <w:sz w:val="26"/>
          <w:szCs w:val="26"/>
        </w:rPr>
        <w:t>II.1.1. Matériel non biologique</w:t>
      </w:r>
    </w:p>
    <w:p w14:paraId="309CCEF4" w14:textId="77777777" w:rsidR="003E3FB4" w:rsidRDefault="00385ED0">
      <w:pPr>
        <w:spacing w:after="180"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Le matériel non biologique utilisé dans cette étude comprend l’ensemble des réactifs et produits chimiques, ainsi que les équipements, appareils et verreries nécessaires aux différentes manipulations expérimentales </w:t>
      </w:r>
      <w:r>
        <w:rPr>
          <w:rFonts w:asciiTheme="majorBidi" w:hAnsiTheme="majorBidi" w:cstheme="majorBidi"/>
          <w:b/>
          <w:bCs/>
          <w:sz w:val="24"/>
          <w:szCs w:val="24"/>
        </w:rPr>
        <w:t>(Annexe 01)</w:t>
      </w:r>
      <w:r>
        <w:rPr>
          <w:rFonts w:asciiTheme="majorBidi" w:hAnsiTheme="majorBidi" w:cstheme="majorBidi"/>
          <w:sz w:val="24"/>
          <w:szCs w:val="24"/>
        </w:rPr>
        <w:t>.</w:t>
      </w:r>
    </w:p>
    <w:p w14:paraId="0ABC455B" w14:textId="77777777" w:rsidR="003E3FB4" w:rsidRDefault="00385ED0">
      <w:pPr>
        <w:spacing w:after="0" w:line="360" w:lineRule="auto"/>
        <w:rPr>
          <w:rFonts w:asciiTheme="majorBidi" w:hAnsiTheme="majorBidi" w:cstheme="majorBidi"/>
          <w:b/>
          <w:bCs/>
          <w:sz w:val="26"/>
          <w:szCs w:val="26"/>
        </w:rPr>
      </w:pPr>
      <w:r>
        <w:rPr>
          <w:rFonts w:asciiTheme="majorBidi" w:hAnsiTheme="majorBidi" w:cstheme="majorBidi"/>
          <w:b/>
          <w:bCs/>
          <w:sz w:val="26"/>
          <w:szCs w:val="26"/>
        </w:rPr>
        <w:t>II.1.2 Matériel biologique</w:t>
      </w:r>
    </w:p>
    <w:p w14:paraId="73BD57F2" w14:textId="77777777" w:rsidR="003E3FB4" w:rsidRDefault="00385ED0">
      <w:pPr>
        <w:spacing w:after="0" w:line="360" w:lineRule="auto"/>
        <w:rPr>
          <w:rFonts w:asciiTheme="majorBidi" w:hAnsiTheme="majorBidi" w:cstheme="majorBidi"/>
          <w:b/>
          <w:bCs/>
          <w:sz w:val="26"/>
          <w:szCs w:val="26"/>
        </w:rPr>
      </w:pPr>
      <w:r>
        <w:rPr>
          <w:rFonts w:asciiTheme="majorBidi" w:hAnsiTheme="majorBidi" w:cstheme="majorBidi"/>
          <w:b/>
          <w:bCs/>
          <w:sz w:val="26"/>
          <w:szCs w:val="26"/>
        </w:rPr>
        <w:t>II.1.2.1 Matériel végétal</w:t>
      </w:r>
    </w:p>
    <w:p w14:paraId="41E3DF57" w14:textId="77777777" w:rsidR="003E3FB4" w:rsidRDefault="00385ED0">
      <w:pPr>
        <w:spacing w:after="0"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Le matériel végétal utilisé dans cette étude expérimentale est constitué de </w:t>
      </w:r>
      <w:r>
        <w:rPr>
          <w:rFonts w:asciiTheme="majorBidi" w:hAnsiTheme="majorBidi" w:cstheme="majorBidi"/>
          <w:i/>
          <w:iCs/>
          <w:sz w:val="24"/>
          <w:szCs w:val="24"/>
        </w:rPr>
        <w:t>Trigonella foenum-graecum</w:t>
      </w:r>
      <w:r>
        <w:rPr>
          <w:rFonts w:asciiTheme="majorBidi" w:hAnsiTheme="majorBidi" w:cstheme="majorBidi"/>
          <w:sz w:val="24"/>
          <w:szCs w:val="24"/>
        </w:rPr>
        <w:t xml:space="preserve"> L., une espèce appartenant à la famille des Fabaceae. L’organe sélectionné pour les expérimentations est la graine, en raison de sa richesse en substances actives.  </w:t>
      </w:r>
    </w:p>
    <w:p w14:paraId="5DFBF355" w14:textId="77777777" w:rsidR="003E3FB4" w:rsidRDefault="00385ED0">
      <w:pPr>
        <w:spacing w:after="0"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Les graines de fenugrec utilisées proviennent d’Inde et ont été achetées auprès d’un herboriste local de la ville de Khemis Miliana, au mois du décembre 2024 </w:t>
      </w:r>
      <w:r>
        <w:rPr>
          <w:rFonts w:asciiTheme="majorBidi" w:hAnsiTheme="majorBidi" w:cstheme="majorBidi"/>
          <w:b/>
          <w:bCs/>
          <w:sz w:val="24"/>
          <w:szCs w:val="24"/>
        </w:rPr>
        <w:t>(Figure II.1)</w:t>
      </w:r>
      <w:r>
        <w:rPr>
          <w:rFonts w:asciiTheme="majorBidi" w:hAnsiTheme="majorBidi" w:cstheme="majorBidi"/>
          <w:sz w:val="24"/>
          <w:szCs w:val="24"/>
        </w:rPr>
        <w:t xml:space="preserve">.  </w:t>
      </w:r>
    </w:p>
    <w:p w14:paraId="25B2DED8" w14:textId="77777777" w:rsidR="003E3FB4" w:rsidRDefault="003E3FB4">
      <w:pPr>
        <w:tabs>
          <w:tab w:val="left" w:pos="6173"/>
        </w:tabs>
        <w:spacing w:line="360" w:lineRule="auto"/>
        <w:jc w:val="both"/>
        <w:rPr>
          <w:rFonts w:asciiTheme="majorBidi" w:hAnsiTheme="majorBidi" w:cstheme="majorBidi"/>
          <w:b/>
          <w:bCs/>
          <w:sz w:val="24"/>
          <w:szCs w:val="24"/>
          <w:lang w:bidi="ar-DZ"/>
        </w:rPr>
      </w:pPr>
    </w:p>
    <w:p w14:paraId="5A1BCB93" w14:textId="77777777" w:rsidR="003E3FB4" w:rsidRDefault="003E3FB4">
      <w:pPr>
        <w:tabs>
          <w:tab w:val="left" w:pos="6173"/>
        </w:tabs>
        <w:spacing w:line="360" w:lineRule="auto"/>
        <w:jc w:val="both"/>
        <w:rPr>
          <w:rFonts w:asciiTheme="majorBidi" w:hAnsiTheme="majorBidi" w:cstheme="majorBidi"/>
          <w:b/>
          <w:bCs/>
          <w:sz w:val="24"/>
          <w:szCs w:val="24"/>
          <w:lang w:bidi="ar-DZ"/>
        </w:rPr>
      </w:pPr>
    </w:p>
    <w:p w14:paraId="775DAEB3" w14:textId="77777777" w:rsidR="003E3FB4" w:rsidRDefault="003E3FB4">
      <w:pPr>
        <w:tabs>
          <w:tab w:val="left" w:pos="6173"/>
        </w:tabs>
        <w:spacing w:line="360" w:lineRule="auto"/>
        <w:jc w:val="both"/>
        <w:rPr>
          <w:rFonts w:asciiTheme="majorBidi" w:hAnsiTheme="majorBidi" w:cstheme="majorBidi"/>
          <w:b/>
          <w:bCs/>
          <w:sz w:val="24"/>
          <w:szCs w:val="24"/>
          <w:lang w:bidi="ar-DZ"/>
        </w:rPr>
      </w:pPr>
    </w:p>
    <w:p w14:paraId="6004033C" w14:textId="77777777" w:rsidR="003E3FB4" w:rsidRDefault="00385ED0">
      <w:pPr>
        <w:tabs>
          <w:tab w:val="left" w:pos="6173"/>
        </w:tabs>
        <w:jc w:val="center"/>
        <w:rPr>
          <w:rFonts w:asciiTheme="majorBidi" w:hAnsiTheme="majorBidi" w:cstheme="majorBidi"/>
        </w:rPr>
      </w:pPr>
      <w:r>
        <w:rPr>
          <w:rFonts w:asciiTheme="majorBidi" w:hAnsiTheme="majorBidi" w:cstheme="majorBidi"/>
          <w:noProof/>
        </w:rPr>
        <w:lastRenderedPageBreak/>
        <w:drawing>
          <wp:inline distT="0" distB="0" distL="0" distR="0" wp14:anchorId="396351DD" wp14:editId="639ABFAF">
            <wp:extent cx="5388430" cy="2196935"/>
            <wp:effectExtent l="0" t="0" r="3175" b="0"/>
            <wp:docPr id="64142094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1420942" name="Imag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a:xfrm>
                      <a:off x="0" y="0"/>
                      <a:ext cx="5398569" cy="2201069"/>
                    </a:xfrm>
                    <a:prstGeom prst="rect">
                      <a:avLst/>
                    </a:prstGeom>
                    <a:noFill/>
                    <a:ln>
                      <a:noFill/>
                    </a:ln>
                  </pic:spPr>
                </pic:pic>
              </a:graphicData>
            </a:graphic>
          </wp:inline>
        </w:drawing>
      </w:r>
    </w:p>
    <w:p w14:paraId="14FCF888" w14:textId="77777777" w:rsidR="003E3FB4" w:rsidRDefault="00385ED0">
      <w:pPr>
        <w:spacing w:after="180" w:line="360" w:lineRule="auto"/>
        <w:ind w:firstLine="567"/>
        <w:jc w:val="center"/>
        <w:rPr>
          <w:rFonts w:asciiTheme="majorBidi" w:hAnsiTheme="majorBidi" w:cstheme="majorBidi"/>
          <w:b/>
          <w:bCs/>
          <w:sz w:val="24"/>
          <w:szCs w:val="24"/>
          <w:lang w:bidi="ar-DZ"/>
        </w:rPr>
      </w:pPr>
      <w:r>
        <w:rPr>
          <w:rFonts w:asciiTheme="majorBidi" w:hAnsiTheme="majorBidi" w:cstheme="majorBidi"/>
          <w:b/>
          <w:bCs/>
          <w:sz w:val="24"/>
          <w:szCs w:val="24"/>
        </w:rPr>
        <w:t>Figure II.1.</w:t>
      </w:r>
      <w:r>
        <w:rPr>
          <w:rFonts w:asciiTheme="majorBidi" w:hAnsiTheme="majorBidi" w:cstheme="majorBidi"/>
          <w:sz w:val="24"/>
          <w:szCs w:val="24"/>
        </w:rPr>
        <w:t xml:space="preserve"> </w:t>
      </w:r>
      <w:r>
        <w:rPr>
          <w:rFonts w:asciiTheme="majorBidi" w:hAnsiTheme="majorBidi" w:cstheme="majorBidi"/>
          <w:sz w:val="24"/>
          <w:szCs w:val="24"/>
          <w:lang w:bidi="ar-DZ"/>
        </w:rPr>
        <w:t>Graines de fenugrec d`inde (</w:t>
      </w:r>
      <w:r>
        <w:rPr>
          <w:rFonts w:asciiTheme="majorBidi" w:hAnsiTheme="majorBidi" w:cstheme="majorBidi"/>
          <w:i/>
          <w:iCs/>
          <w:sz w:val="24"/>
          <w:szCs w:val="24"/>
          <w:lang w:bidi="ar-DZ"/>
        </w:rPr>
        <w:t>Trigonella foenum-graecum</w:t>
      </w:r>
      <w:r>
        <w:rPr>
          <w:rFonts w:asciiTheme="majorBidi" w:hAnsiTheme="majorBidi" w:cstheme="majorBidi"/>
          <w:sz w:val="24"/>
          <w:szCs w:val="24"/>
          <w:lang w:bidi="ar-DZ"/>
        </w:rPr>
        <w:t xml:space="preserve"> L.)</w:t>
      </w:r>
    </w:p>
    <w:p w14:paraId="47D723D1" w14:textId="77777777" w:rsidR="003E3FB4" w:rsidRDefault="00385ED0">
      <w:pPr>
        <w:spacing w:after="180"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Les graines de fenugrec ont été soigneusement nettoyées à l’eau, puis séchées à l’ombre, à une température ambiante, dans un environnement sec et bien aéré. Cette méthode a été choisie afin de préserver l’intégrité des composés bioactifs en limitant les processus de fermentation et de dégradation liés à la nature organique de la matière végétale. La phase de séchage a duré 30 jours, permettant un dessèchement complet des graines </w:t>
      </w:r>
      <w:r>
        <w:rPr>
          <w:rFonts w:asciiTheme="majorBidi" w:hAnsiTheme="majorBidi" w:cstheme="majorBidi"/>
          <w:b/>
          <w:bCs/>
          <w:sz w:val="24"/>
          <w:szCs w:val="24"/>
        </w:rPr>
        <w:t>(Figure II.2.A)</w:t>
      </w:r>
      <w:r>
        <w:rPr>
          <w:rFonts w:asciiTheme="majorBidi" w:hAnsiTheme="majorBidi" w:cstheme="majorBidi"/>
          <w:sz w:val="24"/>
          <w:szCs w:val="24"/>
        </w:rPr>
        <w:t>.</w:t>
      </w:r>
    </w:p>
    <w:p w14:paraId="2385DB6D" w14:textId="77777777" w:rsidR="003E3FB4" w:rsidRDefault="00385ED0">
      <w:pPr>
        <w:spacing w:after="180"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Une fois cette dernière séchées, les graines ont été broyées à l’aide d’un moulin électrique </w:t>
      </w:r>
      <w:r>
        <w:rPr>
          <w:rFonts w:asciiTheme="majorBidi" w:hAnsiTheme="majorBidi" w:cstheme="majorBidi"/>
          <w:b/>
          <w:bCs/>
          <w:sz w:val="24"/>
          <w:szCs w:val="24"/>
        </w:rPr>
        <w:t>(Figure II.2.B)</w:t>
      </w:r>
      <w:r>
        <w:rPr>
          <w:rFonts w:asciiTheme="majorBidi" w:hAnsiTheme="majorBidi" w:cstheme="majorBidi"/>
          <w:sz w:val="24"/>
          <w:szCs w:val="24"/>
        </w:rPr>
        <w:t xml:space="preserve">, produisant une poudre fine </w:t>
      </w:r>
      <w:r>
        <w:rPr>
          <w:rFonts w:asciiTheme="majorBidi" w:hAnsiTheme="majorBidi" w:cstheme="majorBidi"/>
          <w:b/>
          <w:bCs/>
          <w:sz w:val="24"/>
          <w:szCs w:val="24"/>
        </w:rPr>
        <w:t>(figure II.2.C.)</w:t>
      </w:r>
      <w:r>
        <w:rPr>
          <w:rFonts w:asciiTheme="majorBidi" w:hAnsiTheme="majorBidi" w:cstheme="majorBidi"/>
          <w:sz w:val="24"/>
          <w:szCs w:val="24"/>
        </w:rPr>
        <w:t xml:space="preserve">. Celle-ci a ensuite été conservée dans un récipient </w:t>
      </w:r>
      <w:bookmarkStart w:id="5" w:name="_Hlk197104632"/>
      <w:r>
        <w:rPr>
          <w:rFonts w:asciiTheme="majorBidi" w:hAnsiTheme="majorBidi" w:cstheme="majorBidi"/>
          <w:sz w:val="24"/>
          <w:szCs w:val="24"/>
        </w:rPr>
        <w:t>en verre hermétiquement fermé</w:t>
      </w:r>
      <w:bookmarkEnd w:id="5"/>
      <w:r>
        <w:rPr>
          <w:rFonts w:asciiTheme="majorBidi" w:hAnsiTheme="majorBidi" w:cstheme="majorBidi"/>
          <w:sz w:val="24"/>
          <w:szCs w:val="24"/>
        </w:rPr>
        <w:t xml:space="preserve">, enveloppé de papier aluminium, afin de la protéger de la lumière </w:t>
      </w:r>
      <w:r>
        <w:rPr>
          <w:rFonts w:asciiTheme="majorBidi" w:hAnsiTheme="majorBidi" w:cstheme="majorBidi"/>
          <w:b/>
          <w:bCs/>
          <w:sz w:val="24"/>
          <w:szCs w:val="24"/>
        </w:rPr>
        <w:t>(Figure II.2.D)</w:t>
      </w:r>
      <w:r>
        <w:rPr>
          <w:rFonts w:asciiTheme="majorBidi" w:hAnsiTheme="majorBidi" w:cstheme="majorBidi"/>
          <w:sz w:val="24"/>
          <w:szCs w:val="24"/>
        </w:rPr>
        <w:t>, garantissant ainsi une conservation optimale des composés phytochimiques de l’échantillon.</w:t>
      </w:r>
    </w:p>
    <w:p w14:paraId="613F978C" w14:textId="77777777" w:rsidR="003E3FB4" w:rsidRDefault="00385ED0" w:rsidP="00320AF4">
      <w:pPr>
        <w:spacing w:after="180" w:line="360" w:lineRule="auto"/>
        <w:jc w:val="center"/>
        <w:rPr>
          <w:rFonts w:asciiTheme="majorBidi" w:hAnsiTheme="majorBidi" w:cstheme="majorBidi"/>
        </w:rPr>
      </w:pPr>
      <w:bookmarkStart w:id="6" w:name="_Hlk196677041"/>
      <w:r>
        <w:rPr>
          <w:rFonts w:asciiTheme="majorBidi" w:hAnsiTheme="majorBidi" w:cstheme="majorBidi"/>
          <w:noProof/>
        </w:rPr>
        <w:drawing>
          <wp:inline distT="0" distB="0" distL="0" distR="0" wp14:anchorId="1CA48216" wp14:editId="03F4378D">
            <wp:extent cx="5332020" cy="1922441"/>
            <wp:effectExtent l="0" t="0" r="2540" b="1905"/>
            <wp:docPr id="1245206964"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5206964" name="Image 1"/>
                    <pic:cNvPicPr>
                      <a:picLocks noChangeAspect="1"/>
                    </pic:cNvPicPr>
                  </pic:nvPicPr>
                  <pic:blipFill>
                    <a:blip r:embed="rId29"/>
                    <a:stretch>
                      <a:fillRect/>
                    </a:stretch>
                  </pic:blipFill>
                  <pic:spPr>
                    <a:xfrm>
                      <a:off x="0" y="0"/>
                      <a:ext cx="5371572" cy="1936701"/>
                    </a:xfrm>
                    <a:prstGeom prst="rect">
                      <a:avLst/>
                    </a:prstGeom>
                  </pic:spPr>
                </pic:pic>
              </a:graphicData>
            </a:graphic>
          </wp:inline>
        </w:drawing>
      </w:r>
    </w:p>
    <w:p w14:paraId="5FA5C37A" w14:textId="77777777" w:rsidR="003E3FB4" w:rsidRDefault="00385ED0">
      <w:pPr>
        <w:tabs>
          <w:tab w:val="left" w:pos="3195"/>
        </w:tabs>
        <w:spacing w:after="0" w:line="360" w:lineRule="auto"/>
        <w:jc w:val="center"/>
        <w:rPr>
          <w:rFonts w:asciiTheme="majorBidi" w:hAnsiTheme="majorBidi" w:cstheme="majorBidi"/>
          <w:b/>
          <w:bCs/>
          <w:sz w:val="24"/>
          <w:szCs w:val="24"/>
        </w:rPr>
      </w:pPr>
      <w:bookmarkStart w:id="7" w:name="_Hlk196770471"/>
      <w:bookmarkEnd w:id="6"/>
      <w:r>
        <w:rPr>
          <w:rFonts w:asciiTheme="majorBidi" w:hAnsiTheme="majorBidi" w:cstheme="majorBidi"/>
          <w:b/>
          <w:bCs/>
          <w:sz w:val="24"/>
          <w:szCs w:val="24"/>
        </w:rPr>
        <w:t>Figure II.2.</w:t>
      </w:r>
      <w:r>
        <w:rPr>
          <w:rFonts w:asciiTheme="majorBidi" w:hAnsiTheme="majorBidi" w:cstheme="majorBidi"/>
          <w:sz w:val="24"/>
          <w:szCs w:val="24"/>
        </w:rPr>
        <w:t xml:space="preserve"> Préparation de poudre des graines de fenugrec </w:t>
      </w:r>
      <w:r>
        <w:rPr>
          <w:rFonts w:asciiTheme="majorBidi" w:hAnsiTheme="majorBidi" w:cstheme="majorBidi"/>
          <w:sz w:val="24"/>
          <w:szCs w:val="24"/>
          <w:lang w:bidi="ar-DZ"/>
        </w:rPr>
        <w:t>(</w:t>
      </w:r>
      <w:r>
        <w:rPr>
          <w:rFonts w:asciiTheme="majorBidi" w:hAnsiTheme="majorBidi" w:cstheme="majorBidi"/>
          <w:i/>
          <w:iCs/>
          <w:sz w:val="24"/>
          <w:szCs w:val="24"/>
          <w:lang w:bidi="ar-DZ"/>
        </w:rPr>
        <w:t>Trigonella foenum-graecum</w:t>
      </w:r>
      <w:r>
        <w:rPr>
          <w:rFonts w:asciiTheme="majorBidi" w:hAnsiTheme="majorBidi" w:cstheme="majorBidi"/>
          <w:sz w:val="24"/>
          <w:szCs w:val="24"/>
          <w:lang w:bidi="ar-DZ"/>
        </w:rPr>
        <w:t xml:space="preserve"> L.)</w:t>
      </w:r>
    </w:p>
    <w:bookmarkEnd w:id="7"/>
    <w:p w14:paraId="7549158E" w14:textId="77777777" w:rsidR="003E3FB4" w:rsidRPr="008520CA" w:rsidRDefault="00385ED0">
      <w:pPr>
        <w:tabs>
          <w:tab w:val="left" w:pos="3195"/>
        </w:tabs>
        <w:spacing w:after="0" w:line="240" w:lineRule="auto"/>
        <w:jc w:val="center"/>
        <w:rPr>
          <w:rFonts w:asciiTheme="majorBidi" w:hAnsiTheme="majorBidi" w:cstheme="majorBidi"/>
          <w:sz w:val="24"/>
          <w:szCs w:val="24"/>
        </w:rPr>
      </w:pPr>
      <w:r w:rsidRPr="008520CA">
        <w:rPr>
          <w:rFonts w:asciiTheme="majorBidi" w:hAnsiTheme="majorBidi" w:cstheme="majorBidi"/>
          <w:sz w:val="24"/>
          <w:szCs w:val="24"/>
        </w:rPr>
        <w:t xml:space="preserve">A. les graines de fenugrec après nettoyage et séchage     B. Broyage des graines de fenugrec à l’aide un broyeur électrique.    C. La poudre des graines de fenugrec après tamisage     D.  Conservation de la poudre dans une boite en verre hermétiquement fermé </w:t>
      </w:r>
    </w:p>
    <w:p w14:paraId="0FCCDA8E" w14:textId="77777777" w:rsidR="003E3FB4" w:rsidRDefault="003E3FB4">
      <w:pPr>
        <w:tabs>
          <w:tab w:val="left" w:pos="142"/>
          <w:tab w:val="left" w:pos="709"/>
          <w:tab w:val="left" w:pos="3195"/>
        </w:tabs>
        <w:spacing w:after="0" w:line="240" w:lineRule="auto"/>
        <w:jc w:val="center"/>
        <w:rPr>
          <w:rFonts w:asciiTheme="majorBidi" w:hAnsiTheme="majorBidi" w:cstheme="majorBidi"/>
        </w:rPr>
      </w:pPr>
    </w:p>
    <w:p w14:paraId="40E937B4" w14:textId="77777777" w:rsidR="003E3FB4" w:rsidRDefault="003E3FB4">
      <w:pPr>
        <w:spacing w:after="180" w:line="360" w:lineRule="auto"/>
        <w:rPr>
          <w:rFonts w:asciiTheme="majorBidi" w:hAnsiTheme="majorBidi" w:cstheme="majorBidi"/>
          <w:b/>
          <w:bCs/>
          <w:sz w:val="24"/>
          <w:szCs w:val="24"/>
        </w:rPr>
      </w:pPr>
    </w:p>
    <w:p w14:paraId="4E0ABE1F" w14:textId="77777777" w:rsidR="003E3FB4" w:rsidRDefault="00385ED0">
      <w:pPr>
        <w:spacing w:after="180" w:line="360" w:lineRule="auto"/>
        <w:rPr>
          <w:rFonts w:asciiTheme="majorBidi" w:hAnsiTheme="majorBidi" w:cstheme="majorBidi"/>
          <w:b/>
          <w:bCs/>
          <w:sz w:val="24"/>
          <w:szCs w:val="24"/>
        </w:rPr>
      </w:pPr>
      <w:r>
        <w:rPr>
          <w:rFonts w:asciiTheme="majorBidi" w:hAnsiTheme="majorBidi" w:cstheme="majorBidi"/>
          <w:b/>
          <w:bCs/>
          <w:sz w:val="24"/>
          <w:szCs w:val="24"/>
        </w:rPr>
        <w:lastRenderedPageBreak/>
        <w:t>II.1.2.3. Matériel microbien</w:t>
      </w:r>
    </w:p>
    <w:p w14:paraId="0D2C7AEA" w14:textId="77777777" w:rsidR="003E3FB4" w:rsidRDefault="00385ED0">
      <w:pPr>
        <w:tabs>
          <w:tab w:val="left" w:pos="6173"/>
        </w:tabs>
        <w:spacing w:line="360" w:lineRule="auto"/>
        <w:ind w:firstLine="567"/>
        <w:jc w:val="both"/>
        <w:rPr>
          <w:rFonts w:asciiTheme="majorBidi" w:hAnsiTheme="majorBidi" w:cstheme="majorBidi"/>
          <w:b/>
          <w:bCs/>
          <w:sz w:val="24"/>
          <w:szCs w:val="24"/>
          <w:lang w:bidi="ar-DZ"/>
        </w:rPr>
      </w:pPr>
      <w:r>
        <w:rPr>
          <w:rFonts w:asciiTheme="majorBidi" w:hAnsiTheme="majorBidi" w:cstheme="majorBidi"/>
          <w:sz w:val="24"/>
          <w:szCs w:val="24"/>
        </w:rPr>
        <w:t xml:space="preserve">L’activité antimicrobienne de l’extrait aqueux et l’extrait éthanolique des graines de </w:t>
      </w:r>
      <w:r>
        <w:rPr>
          <w:rFonts w:asciiTheme="majorBidi" w:hAnsiTheme="majorBidi" w:cstheme="majorBidi"/>
          <w:i/>
          <w:iCs/>
          <w:sz w:val="24"/>
          <w:szCs w:val="24"/>
        </w:rPr>
        <w:t>Trigonella foenum-graecum</w:t>
      </w:r>
      <w:r>
        <w:rPr>
          <w:rFonts w:asciiTheme="majorBidi" w:hAnsiTheme="majorBidi" w:cstheme="majorBidi"/>
          <w:sz w:val="24"/>
          <w:szCs w:val="24"/>
        </w:rPr>
        <w:t xml:space="preserve"> L. a été évaluée sur des souches bactériennes et fongiques de référence (ATCC), fournies par le complexe Antibiotical SAIDAL de Médéa, ainsi que sur des Champignons phytopathogènes obtenus auprès de l’Institut National de la Protection des Végétaux (INPV) de Boufarik.</w:t>
      </w:r>
    </w:p>
    <w:p w14:paraId="7E7419B4" w14:textId="77777777" w:rsidR="003E3FB4" w:rsidRDefault="00385ED0">
      <w:pPr>
        <w:spacing w:after="240" w:line="360" w:lineRule="auto"/>
        <w:ind w:firstLine="567"/>
        <w:jc w:val="both"/>
        <w:rPr>
          <w:rFonts w:asciiTheme="majorBidi" w:hAnsiTheme="majorBidi" w:cstheme="majorBidi"/>
          <w:sz w:val="24"/>
          <w:szCs w:val="24"/>
        </w:rPr>
      </w:pPr>
      <w:r>
        <w:rPr>
          <w:rFonts w:asciiTheme="majorBidi" w:hAnsiTheme="majorBidi" w:cstheme="majorBidi"/>
          <w:sz w:val="24"/>
          <w:szCs w:val="24"/>
        </w:rPr>
        <w:t>Les microorganismes ont été conservés et maintenus en culture par repiquages réguliers sur des milieux de culture appropriés, assurant leur viabilité tout au long des essais expérimentaux.</w:t>
      </w:r>
    </w:p>
    <w:p w14:paraId="470AFF28" w14:textId="77777777" w:rsidR="003E3FB4" w:rsidRDefault="00385ED0">
      <w:pPr>
        <w:spacing w:after="240"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II.1.2.3.1. Souches bactériennes </w:t>
      </w:r>
    </w:p>
    <w:p w14:paraId="0BEB899C" w14:textId="77777777" w:rsidR="003E3FB4" w:rsidRDefault="00385ED0">
      <w:pPr>
        <w:spacing w:after="0"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L’évaluation de l’activité antibactérienne des extraits aqueux et éthanolique des graines de </w:t>
      </w:r>
      <w:r>
        <w:rPr>
          <w:rFonts w:asciiTheme="majorBidi" w:hAnsiTheme="majorBidi" w:cstheme="majorBidi"/>
          <w:i/>
          <w:iCs/>
          <w:sz w:val="24"/>
          <w:szCs w:val="24"/>
        </w:rPr>
        <w:t>Trigonella foenum-graecum</w:t>
      </w:r>
      <w:r>
        <w:rPr>
          <w:rFonts w:asciiTheme="majorBidi" w:hAnsiTheme="majorBidi" w:cstheme="majorBidi"/>
          <w:sz w:val="24"/>
          <w:szCs w:val="24"/>
        </w:rPr>
        <w:t xml:space="preserve"> L. a été réalisée à l’aide de la méthode de diffusion sur disque, également connue sous le nom d’aromatogramme. Les souches bactériennes testées sont répertoriées dans le </w:t>
      </w:r>
      <w:r>
        <w:rPr>
          <w:rFonts w:asciiTheme="majorBidi" w:hAnsiTheme="majorBidi" w:cstheme="majorBidi"/>
          <w:b/>
          <w:bCs/>
          <w:sz w:val="24"/>
          <w:szCs w:val="24"/>
        </w:rPr>
        <w:t>Tableau II.1.</w:t>
      </w:r>
    </w:p>
    <w:p w14:paraId="660AE49C" w14:textId="77777777" w:rsidR="003E3FB4" w:rsidRDefault="00385ED0">
      <w:pPr>
        <w:spacing w:after="0" w:line="360" w:lineRule="auto"/>
        <w:jc w:val="center"/>
        <w:rPr>
          <w:rFonts w:asciiTheme="majorBidi" w:hAnsiTheme="majorBidi" w:cstheme="majorBidi"/>
          <w:sz w:val="24"/>
          <w:szCs w:val="24"/>
        </w:rPr>
      </w:pPr>
      <w:r>
        <w:rPr>
          <w:rFonts w:asciiTheme="majorBidi" w:hAnsiTheme="majorBidi" w:cstheme="majorBidi"/>
          <w:b/>
          <w:bCs/>
          <w:sz w:val="24"/>
          <w:szCs w:val="24"/>
        </w:rPr>
        <w:t>Tableau II.1</w:t>
      </w:r>
      <w:r>
        <w:rPr>
          <w:rFonts w:asciiTheme="majorBidi" w:hAnsiTheme="majorBidi" w:cstheme="majorBidi"/>
          <w:sz w:val="24"/>
          <w:szCs w:val="24"/>
        </w:rPr>
        <w:t>.  Souches bactériennes utilisées pour l’évaluation de l’activité antimicrobienne.</w:t>
      </w:r>
    </w:p>
    <w:tbl>
      <w:tblPr>
        <w:tblStyle w:val="TableauGrille6Couleur-Accentuation31"/>
        <w:tblW w:w="0" w:type="auto"/>
        <w:jc w:val="center"/>
        <w:tblLook w:val="04A0" w:firstRow="1" w:lastRow="0" w:firstColumn="1" w:lastColumn="0" w:noHBand="0" w:noVBand="1"/>
      </w:tblPr>
      <w:tblGrid>
        <w:gridCol w:w="2013"/>
        <w:gridCol w:w="3459"/>
        <w:gridCol w:w="1729"/>
      </w:tblGrid>
      <w:tr w:rsidR="003E3FB4" w14:paraId="0A6E982E" w14:textId="77777777" w:rsidTr="003E3FB4">
        <w:trPr>
          <w:cnfStyle w:val="100000000000" w:firstRow="1" w:lastRow="0" w:firstColumn="0" w:lastColumn="0" w:oddVBand="0" w:evenVBand="0" w:oddHBand="0" w:evenHBand="0" w:firstRowFirstColumn="0" w:firstRowLastColumn="0" w:lastRowFirstColumn="0" w:lastRowLastColumn="0"/>
          <w:trHeight w:val="434"/>
          <w:jc w:val="center"/>
        </w:trPr>
        <w:tc>
          <w:tcPr>
            <w:cnfStyle w:val="001000000000" w:firstRow="0" w:lastRow="0" w:firstColumn="1" w:lastColumn="0" w:oddVBand="0" w:evenVBand="0" w:oddHBand="0" w:evenHBand="0" w:firstRowFirstColumn="0" w:firstRowLastColumn="0" w:lastRowFirstColumn="0" w:lastRowLastColumn="0"/>
            <w:tcW w:w="2013" w:type="dxa"/>
          </w:tcPr>
          <w:p w14:paraId="4AF124B0" w14:textId="77777777" w:rsidR="003E3FB4" w:rsidRDefault="00385ED0">
            <w:pPr>
              <w:spacing w:after="180" w:line="360" w:lineRule="auto"/>
              <w:jc w:val="center"/>
              <w:rPr>
                <w:rFonts w:asciiTheme="majorBidi" w:hAnsiTheme="majorBidi" w:cstheme="majorBidi"/>
                <w:b w:val="0"/>
                <w:bCs w:val="0"/>
                <w:color w:val="000000" w:themeColor="text1"/>
                <w:sz w:val="24"/>
                <w:szCs w:val="24"/>
              </w:rPr>
            </w:pPr>
            <w:r>
              <w:rPr>
                <w:rFonts w:asciiTheme="majorBidi" w:hAnsiTheme="majorBidi" w:cstheme="majorBidi"/>
                <w:color w:val="000000" w:themeColor="text1"/>
                <w:sz w:val="24"/>
                <w:szCs w:val="24"/>
              </w:rPr>
              <w:t>Type de souche</w:t>
            </w:r>
          </w:p>
        </w:tc>
        <w:tc>
          <w:tcPr>
            <w:tcW w:w="3459" w:type="dxa"/>
          </w:tcPr>
          <w:p w14:paraId="201962FC" w14:textId="77777777" w:rsidR="003E3FB4" w:rsidRDefault="00385ED0">
            <w:pPr>
              <w:spacing w:after="18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color w:val="000000" w:themeColor="text1"/>
                <w:sz w:val="24"/>
                <w:szCs w:val="24"/>
              </w:rPr>
            </w:pPr>
            <w:r>
              <w:rPr>
                <w:rFonts w:asciiTheme="majorBidi" w:hAnsiTheme="majorBidi" w:cstheme="majorBidi"/>
                <w:color w:val="000000" w:themeColor="text1"/>
                <w:sz w:val="24"/>
                <w:szCs w:val="24"/>
              </w:rPr>
              <w:t>Bactérie</w:t>
            </w:r>
          </w:p>
        </w:tc>
        <w:tc>
          <w:tcPr>
            <w:tcW w:w="1729" w:type="dxa"/>
          </w:tcPr>
          <w:p w14:paraId="08F7185F" w14:textId="77777777" w:rsidR="003E3FB4" w:rsidRDefault="00385ED0">
            <w:pPr>
              <w:spacing w:after="18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color w:val="000000" w:themeColor="text1"/>
                <w:sz w:val="24"/>
                <w:szCs w:val="24"/>
              </w:rPr>
            </w:pPr>
            <w:r>
              <w:rPr>
                <w:rFonts w:asciiTheme="majorBidi" w:hAnsiTheme="majorBidi" w:cstheme="majorBidi"/>
                <w:color w:val="000000" w:themeColor="text1"/>
                <w:sz w:val="24"/>
                <w:szCs w:val="24"/>
              </w:rPr>
              <w:t>Origine</w:t>
            </w:r>
          </w:p>
        </w:tc>
      </w:tr>
      <w:tr w:rsidR="003E3FB4" w14:paraId="69D0BC63" w14:textId="77777777" w:rsidTr="003E3FB4">
        <w:trPr>
          <w:trHeight w:val="502"/>
          <w:jc w:val="center"/>
        </w:trPr>
        <w:tc>
          <w:tcPr>
            <w:cnfStyle w:val="001000000000" w:firstRow="0" w:lastRow="0" w:firstColumn="1" w:lastColumn="0" w:oddVBand="0" w:evenVBand="0" w:oddHBand="0" w:evenHBand="0" w:firstRowFirstColumn="0" w:firstRowLastColumn="0" w:lastRowFirstColumn="0" w:lastRowLastColumn="0"/>
            <w:tcW w:w="2013" w:type="dxa"/>
            <w:vMerge w:val="restart"/>
            <w:shd w:val="clear" w:color="auto" w:fill="EDEDED" w:themeFill="accent3" w:themeFillTint="33"/>
          </w:tcPr>
          <w:p w14:paraId="4FD0E1DE" w14:textId="77777777" w:rsidR="003E3FB4" w:rsidRDefault="00385ED0">
            <w:pPr>
              <w:spacing w:after="0" w:line="360" w:lineRule="auto"/>
              <w:jc w:val="center"/>
              <w:rPr>
                <w:rFonts w:asciiTheme="majorBidi" w:hAnsiTheme="majorBidi" w:cstheme="majorBidi"/>
                <w:color w:val="000000" w:themeColor="text1"/>
                <w:sz w:val="24"/>
                <w:szCs w:val="24"/>
              </w:rPr>
            </w:pPr>
            <w:bookmarkStart w:id="8" w:name="_Hlk196690560"/>
            <w:r>
              <w:rPr>
                <w:rFonts w:asciiTheme="majorBidi" w:hAnsiTheme="majorBidi" w:cstheme="majorBidi"/>
                <w:color w:val="000000" w:themeColor="text1"/>
                <w:sz w:val="24"/>
                <w:szCs w:val="24"/>
              </w:rPr>
              <w:t>Gram+</w:t>
            </w:r>
          </w:p>
        </w:tc>
        <w:tc>
          <w:tcPr>
            <w:tcW w:w="3459" w:type="dxa"/>
            <w:shd w:val="clear" w:color="auto" w:fill="EDEDED" w:themeFill="accent3" w:themeFillTint="33"/>
          </w:tcPr>
          <w:p w14:paraId="1B75F497" w14:textId="77777777" w:rsidR="003E3FB4" w:rsidRDefault="00385ED0">
            <w:pPr>
              <w:tabs>
                <w:tab w:val="left" w:pos="3656"/>
              </w:tabs>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i/>
                <w:iCs/>
                <w:color w:val="000000" w:themeColor="text1"/>
                <w:sz w:val="24"/>
                <w:szCs w:val="24"/>
              </w:rPr>
            </w:pPr>
            <w:r>
              <w:rPr>
                <w:rFonts w:asciiTheme="majorBidi" w:hAnsiTheme="majorBidi" w:cstheme="majorBidi"/>
                <w:i/>
                <w:iCs/>
                <w:color w:val="000000" w:themeColor="text1"/>
                <w:sz w:val="24"/>
                <w:szCs w:val="24"/>
              </w:rPr>
              <w:t>Bacillus subtilis</w:t>
            </w:r>
          </w:p>
        </w:tc>
        <w:tc>
          <w:tcPr>
            <w:tcW w:w="1729" w:type="dxa"/>
            <w:shd w:val="clear" w:color="auto" w:fill="EDEDED" w:themeFill="accent3" w:themeFillTint="33"/>
          </w:tcPr>
          <w:p w14:paraId="173510C3" w14:textId="77777777" w:rsidR="003E3FB4" w:rsidRDefault="00385ED0">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ATTC 6633</w:t>
            </w:r>
          </w:p>
        </w:tc>
      </w:tr>
      <w:tr w:rsidR="003E3FB4" w14:paraId="50C37B32" w14:textId="77777777" w:rsidTr="003E3FB4">
        <w:trPr>
          <w:trHeight w:val="502"/>
          <w:jc w:val="center"/>
        </w:trPr>
        <w:tc>
          <w:tcPr>
            <w:cnfStyle w:val="001000000000" w:firstRow="0" w:lastRow="0" w:firstColumn="1" w:lastColumn="0" w:oddVBand="0" w:evenVBand="0" w:oddHBand="0" w:evenHBand="0" w:firstRowFirstColumn="0" w:firstRowLastColumn="0" w:lastRowFirstColumn="0" w:lastRowLastColumn="0"/>
            <w:tcW w:w="2013" w:type="dxa"/>
            <w:vMerge/>
          </w:tcPr>
          <w:p w14:paraId="07D820F9" w14:textId="77777777" w:rsidR="003E3FB4" w:rsidRDefault="003E3FB4">
            <w:pPr>
              <w:spacing w:after="0" w:line="360" w:lineRule="auto"/>
              <w:jc w:val="center"/>
              <w:rPr>
                <w:rFonts w:asciiTheme="majorBidi" w:hAnsiTheme="majorBidi" w:cstheme="majorBidi"/>
                <w:color w:val="000000" w:themeColor="text1"/>
                <w:sz w:val="24"/>
                <w:szCs w:val="24"/>
              </w:rPr>
            </w:pPr>
          </w:p>
        </w:tc>
        <w:tc>
          <w:tcPr>
            <w:tcW w:w="3459" w:type="dxa"/>
          </w:tcPr>
          <w:p w14:paraId="09759F5E" w14:textId="77777777" w:rsidR="003E3FB4" w:rsidRDefault="00385ED0">
            <w:pPr>
              <w:tabs>
                <w:tab w:val="left" w:pos="3656"/>
              </w:tabs>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i/>
                <w:iCs/>
                <w:color w:val="000000" w:themeColor="text1"/>
                <w:sz w:val="24"/>
                <w:szCs w:val="24"/>
              </w:rPr>
            </w:pPr>
            <w:r>
              <w:rPr>
                <w:rFonts w:asciiTheme="majorBidi" w:hAnsiTheme="majorBidi" w:cstheme="majorBidi"/>
                <w:i/>
                <w:iCs/>
                <w:color w:val="000000" w:themeColor="text1"/>
                <w:sz w:val="24"/>
                <w:szCs w:val="24"/>
              </w:rPr>
              <w:t>Staphylococcus epidermidis</w:t>
            </w:r>
          </w:p>
        </w:tc>
        <w:tc>
          <w:tcPr>
            <w:tcW w:w="1729" w:type="dxa"/>
          </w:tcPr>
          <w:p w14:paraId="006F8164" w14:textId="77777777" w:rsidR="003E3FB4" w:rsidRDefault="00385ED0">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ATTC 12228</w:t>
            </w:r>
          </w:p>
        </w:tc>
      </w:tr>
      <w:tr w:rsidR="003E3FB4" w14:paraId="60D39A61" w14:textId="77777777" w:rsidTr="003E3FB4">
        <w:trPr>
          <w:trHeight w:val="408"/>
          <w:jc w:val="center"/>
        </w:trPr>
        <w:tc>
          <w:tcPr>
            <w:cnfStyle w:val="001000000000" w:firstRow="0" w:lastRow="0" w:firstColumn="1" w:lastColumn="0" w:oddVBand="0" w:evenVBand="0" w:oddHBand="0" w:evenHBand="0" w:firstRowFirstColumn="0" w:firstRowLastColumn="0" w:lastRowFirstColumn="0" w:lastRowLastColumn="0"/>
            <w:tcW w:w="2013" w:type="dxa"/>
            <w:vMerge/>
            <w:shd w:val="clear" w:color="auto" w:fill="EDEDED" w:themeFill="accent3" w:themeFillTint="33"/>
          </w:tcPr>
          <w:p w14:paraId="765A0AE6" w14:textId="77777777" w:rsidR="003E3FB4" w:rsidRDefault="003E3FB4">
            <w:pPr>
              <w:spacing w:after="0" w:line="360" w:lineRule="auto"/>
              <w:jc w:val="center"/>
              <w:rPr>
                <w:rFonts w:asciiTheme="majorBidi" w:hAnsiTheme="majorBidi" w:cstheme="majorBidi"/>
                <w:color w:val="000000" w:themeColor="text1"/>
                <w:sz w:val="24"/>
                <w:szCs w:val="24"/>
              </w:rPr>
            </w:pPr>
          </w:p>
        </w:tc>
        <w:tc>
          <w:tcPr>
            <w:tcW w:w="3459" w:type="dxa"/>
            <w:shd w:val="clear" w:color="auto" w:fill="EDEDED" w:themeFill="accent3" w:themeFillTint="33"/>
          </w:tcPr>
          <w:p w14:paraId="776107C5" w14:textId="77777777" w:rsidR="003E3FB4" w:rsidRDefault="00385ED0">
            <w:pPr>
              <w:tabs>
                <w:tab w:val="left" w:pos="3656"/>
              </w:tabs>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4"/>
                <w:szCs w:val="24"/>
              </w:rPr>
            </w:pPr>
            <w:r>
              <w:rPr>
                <w:rFonts w:asciiTheme="majorBidi" w:hAnsiTheme="majorBidi" w:cstheme="majorBidi"/>
                <w:i/>
                <w:iCs/>
                <w:color w:val="000000" w:themeColor="text1"/>
                <w:sz w:val="24"/>
                <w:szCs w:val="24"/>
              </w:rPr>
              <w:t>Staphylococcus aureus</w:t>
            </w:r>
          </w:p>
        </w:tc>
        <w:tc>
          <w:tcPr>
            <w:tcW w:w="1729" w:type="dxa"/>
            <w:shd w:val="clear" w:color="auto" w:fill="EDEDED" w:themeFill="accent3" w:themeFillTint="33"/>
          </w:tcPr>
          <w:p w14:paraId="60741843" w14:textId="77777777" w:rsidR="003E3FB4" w:rsidRDefault="00385ED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ATCC 6538</w:t>
            </w:r>
          </w:p>
        </w:tc>
      </w:tr>
      <w:tr w:rsidR="003E3FB4" w14:paraId="1E992166" w14:textId="77777777" w:rsidTr="003E3FB4">
        <w:trPr>
          <w:trHeight w:val="323"/>
          <w:jc w:val="center"/>
        </w:trPr>
        <w:tc>
          <w:tcPr>
            <w:cnfStyle w:val="001000000000" w:firstRow="0" w:lastRow="0" w:firstColumn="1" w:lastColumn="0" w:oddVBand="0" w:evenVBand="0" w:oddHBand="0" w:evenHBand="0" w:firstRowFirstColumn="0" w:firstRowLastColumn="0" w:lastRowFirstColumn="0" w:lastRowLastColumn="0"/>
            <w:tcW w:w="2013" w:type="dxa"/>
            <w:vMerge w:val="restart"/>
          </w:tcPr>
          <w:p w14:paraId="30D6657D" w14:textId="77777777" w:rsidR="003E3FB4" w:rsidRDefault="00385ED0">
            <w:pPr>
              <w:spacing w:after="0" w:line="360" w:lineRule="auto"/>
              <w:jc w:val="cente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Gram-</w:t>
            </w:r>
          </w:p>
        </w:tc>
        <w:tc>
          <w:tcPr>
            <w:tcW w:w="3459" w:type="dxa"/>
          </w:tcPr>
          <w:p w14:paraId="2C00359E" w14:textId="77777777" w:rsidR="003E3FB4" w:rsidRDefault="00385ED0">
            <w:pPr>
              <w:tabs>
                <w:tab w:val="left" w:pos="3656"/>
              </w:tabs>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i/>
                <w:iCs/>
                <w:color w:val="000000" w:themeColor="text1"/>
                <w:sz w:val="24"/>
                <w:szCs w:val="24"/>
              </w:rPr>
            </w:pPr>
            <w:r>
              <w:rPr>
                <w:rFonts w:asciiTheme="majorBidi" w:hAnsiTheme="majorBidi" w:cstheme="majorBidi"/>
                <w:i/>
                <w:iCs/>
                <w:color w:val="000000" w:themeColor="text1"/>
                <w:sz w:val="24"/>
                <w:szCs w:val="24"/>
              </w:rPr>
              <w:t>Escherichia coli</w:t>
            </w:r>
          </w:p>
        </w:tc>
        <w:tc>
          <w:tcPr>
            <w:tcW w:w="1729" w:type="dxa"/>
          </w:tcPr>
          <w:p w14:paraId="1F15B3A2" w14:textId="77777777" w:rsidR="003E3FB4" w:rsidRDefault="00385ED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ATTC 8739</w:t>
            </w:r>
          </w:p>
        </w:tc>
      </w:tr>
      <w:tr w:rsidR="003E3FB4" w14:paraId="74322213" w14:textId="77777777" w:rsidTr="003E3FB4">
        <w:trPr>
          <w:trHeight w:val="502"/>
          <w:jc w:val="center"/>
        </w:trPr>
        <w:tc>
          <w:tcPr>
            <w:cnfStyle w:val="001000000000" w:firstRow="0" w:lastRow="0" w:firstColumn="1" w:lastColumn="0" w:oddVBand="0" w:evenVBand="0" w:oddHBand="0" w:evenHBand="0" w:firstRowFirstColumn="0" w:firstRowLastColumn="0" w:lastRowFirstColumn="0" w:lastRowLastColumn="0"/>
            <w:tcW w:w="2013" w:type="dxa"/>
            <w:vMerge/>
            <w:shd w:val="clear" w:color="auto" w:fill="EDEDED" w:themeFill="accent3" w:themeFillTint="33"/>
          </w:tcPr>
          <w:p w14:paraId="73A30DD5" w14:textId="77777777" w:rsidR="003E3FB4" w:rsidRDefault="003E3FB4">
            <w:pPr>
              <w:spacing w:after="0" w:line="360" w:lineRule="auto"/>
              <w:jc w:val="center"/>
              <w:rPr>
                <w:rFonts w:asciiTheme="majorBidi" w:hAnsiTheme="majorBidi" w:cstheme="majorBidi"/>
                <w:color w:val="000000" w:themeColor="text1"/>
                <w:sz w:val="24"/>
                <w:szCs w:val="24"/>
              </w:rPr>
            </w:pPr>
          </w:p>
        </w:tc>
        <w:tc>
          <w:tcPr>
            <w:tcW w:w="3459" w:type="dxa"/>
            <w:shd w:val="clear" w:color="auto" w:fill="EDEDED" w:themeFill="accent3" w:themeFillTint="33"/>
          </w:tcPr>
          <w:p w14:paraId="5156A508" w14:textId="77777777" w:rsidR="003E3FB4" w:rsidRDefault="00385ED0">
            <w:pPr>
              <w:tabs>
                <w:tab w:val="left" w:pos="3656"/>
              </w:tabs>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i/>
                <w:iCs/>
                <w:color w:val="000000" w:themeColor="text1"/>
                <w:sz w:val="24"/>
                <w:szCs w:val="24"/>
              </w:rPr>
            </w:pPr>
            <w:r>
              <w:rPr>
                <w:rFonts w:asciiTheme="majorBidi" w:hAnsiTheme="majorBidi" w:cstheme="majorBidi"/>
                <w:i/>
                <w:iCs/>
                <w:color w:val="000000" w:themeColor="text1"/>
                <w:sz w:val="24"/>
                <w:szCs w:val="24"/>
              </w:rPr>
              <w:t>Pseudomonas aeruginosa</w:t>
            </w:r>
          </w:p>
        </w:tc>
        <w:tc>
          <w:tcPr>
            <w:tcW w:w="1729" w:type="dxa"/>
            <w:shd w:val="clear" w:color="auto" w:fill="EDEDED" w:themeFill="accent3" w:themeFillTint="33"/>
          </w:tcPr>
          <w:p w14:paraId="0405F91B" w14:textId="77777777" w:rsidR="003E3FB4" w:rsidRDefault="00385ED0">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ATCC 9027</w:t>
            </w:r>
          </w:p>
        </w:tc>
      </w:tr>
      <w:tr w:rsidR="003E3FB4" w14:paraId="59945885" w14:textId="77777777" w:rsidTr="003E3FB4">
        <w:trPr>
          <w:trHeight w:val="502"/>
          <w:jc w:val="center"/>
        </w:trPr>
        <w:tc>
          <w:tcPr>
            <w:cnfStyle w:val="001000000000" w:firstRow="0" w:lastRow="0" w:firstColumn="1" w:lastColumn="0" w:oddVBand="0" w:evenVBand="0" w:oddHBand="0" w:evenHBand="0" w:firstRowFirstColumn="0" w:firstRowLastColumn="0" w:lastRowFirstColumn="0" w:lastRowLastColumn="0"/>
            <w:tcW w:w="2013" w:type="dxa"/>
            <w:vMerge/>
          </w:tcPr>
          <w:p w14:paraId="4252259E" w14:textId="77777777" w:rsidR="003E3FB4" w:rsidRDefault="003E3FB4">
            <w:pPr>
              <w:spacing w:after="0" w:line="360" w:lineRule="auto"/>
              <w:jc w:val="center"/>
              <w:rPr>
                <w:rFonts w:asciiTheme="majorBidi" w:hAnsiTheme="majorBidi" w:cstheme="majorBidi"/>
                <w:color w:val="000000" w:themeColor="text1"/>
                <w:sz w:val="24"/>
                <w:szCs w:val="24"/>
              </w:rPr>
            </w:pPr>
          </w:p>
        </w:tc>
        <w:tc>
          <w:tcPr>
            <w:tcW w:w="3459" w:type="dxa"/>
          </w:tcPr>
          <w:p w14:paraId="6479FBD5" w14:textId="77777777" w:rsidR="003E3FB4" w:rsidRDefault="00385ED0">
            <w:pPr>
              <w:tabs>
                <w:tab w:val="left" w:pos="3656"/>
              </w:tabs>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i/>
                <w:iCs/>
                <w:color w:val="000000" w:themeColor="text1"/>
                <w:sz w:val="24"/>
                <w:szCs w:val="24"/>
              </w:rPr>
            </w:pPr>
            <w:r>
              <w:rPr>
                <w:rFonts w:asciiTheme="majorBidi" w:hAnsiTheme="majorBidi" w:cstheme="majorBidi"/>
                <w:i/>
                <w:iCs/>
                <w:color w:val="000000" w:themeColor="text1"/>
                <w:sz w:val="24"/>
                <w:szCs w:val="24"/>
              </w:rPr>
              <w:t>Salmonella typhimurium</w:t>
            </w:r>
          </w:p>
        </w:tc>
        <w:tc>
          <w:tcPr>
            <w:tcW w:w="1729" w:type="dxa"/>
          </w:tcPr>
          <w:p w14:paraId="36BF07A0" w14:textId="77777777" w:rsidR="003E3FB4" w:rsidRDefault="00385ED0">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ATCC 10428</w:t>
            </w:r>
          </w:p>
        </w:tc>
      </w:tr>
      <w:bookmarkEnd w:id="8"/>
    </w:tbl>
    <w:p w14:paraId="2B14C687" w14:textId="77777777" w:rsidR="003E3FB4" w:rsidRDefault="003E3FB4">
      <w:pPr>
        <w:spacing w:after="180" w:line="360" w:lineRule="auto"/>
        <w:jc w:val="both"/>
        <w:rPr>
          <w:rFonts w:asciiTheme="majorBidi" w:hAnsiTheme="majorBidi" w:cstheme="majorBidi"/>
          <w:b/>
          <w:bCs/>
          <w:sz w:val="24"/>
          <w:szCs w:val="24"/>
        </w:rPr>
      </w:pPr>
    </w:p>
    <w:p w14:paraId="5710E536" w14:textId="77777777" w:rsidR="003E3FB4" w:rsidRDefault="00385ED0">
      <w:pPr>
        <w:spacing w:after="180" w:line="360" w:lineRule="auto"/>
        <w:jc w:val="both"/>
        <w:rPr>
          <w:rFonts w:asciiTheme="majorBidi" w:hAnsiTheme="majorBidi" w:cstheme="majorBidi"/>
          <w:b/>
          <w:bCs/>
          <w:sz w:val="26"/>
          <w:szCs w:val="26"/>
        </w:rPr>
      </w:pPr>
      <w:r>
        <w:rPr>
          <w:rFonts w:asciiTheme="majorBidi" w:hAnsiTheme="majorBidi" w:cstheme="majorBidi"/>
          <w:b/>
          <w:bCs/>
          <w:sz w:val="26"/>
          <w:szCs w:val="26"/>
        </w:rPr>
        <w:t xml:space="preserve">II.1.2.3.2. Souches fongiques testées </w:t>
      </w:r>
    </w:p>
    <w:p w14:paraId="3E361CFD" w14:textId="77777777" w:rsidR="003E3FB4" w:rsidRDefault="00385ED0">
      <w:pPr>
        <w:spacing w:after="180" w:line="360" w:lineRule="auto"/>
        <w:ind w:firstLine="567"/>
        <w:jc w:val="both"/>
        <w:rPr>
          <w:rFonts w:asciiTheme="majorBidi" w:hAnsiTheme="majorBidi" w:cstheme="majorBidi"/>
          <w:b/>
          <w:bCs/>
          <w:sz w:val="24"/>
          <w:szCs w:val="24"/>
        </w:rPr>
      </w:pPr>
      <w:r>
        <w:rPr>
          <w:rFonts w:asciiTheme="majorBidi" w:hAnsiTheme="majorBidi" w:cstheme="majorBidi"/>
          <w:sz w:val="24"/>
          <w:szCs w:val="24"/>
        </w:rPr>
        <w:t xml:space="preserve">L’activité antifongique de l’extrait aqueux et éthanolique des graines de </w:t>
      </w:r>
      <w:r>
        <w:rPr>
          <w:rFonts w:asciiTheme="majorBidi" w:hAnsiTheme="majorBidi" w:cstheme="majorBidi"/>
          <w:i/>
          <w:iCs/>
          <w:sz w:val="24"/>
          <w:szCs w:val="24"/>
        </w:rPr>
        <w:t>Trigonella foenum-graecum</w:t>
      </w:r>
      <w:r>
        <w:rPr>
          <w:rFonts w:asciiTheme="majorBidi" w:hAnsiTheme="majorBidi" w:cstheme="majorBidi"/>
          <w:sz w:val="24"/>
          <w:szCs w:val="24"/>
        </w:rPr>
        <w:t xml:space="preserve"> L. a été évaluée sur un ensemble de cinq souches fongiques, comprenant deux souches pathogènes d’origine humaine et trois souches phytopathogènes. Les caractéristiques et origines des différentes souches testées sont représentées dans</w:t>
      </w:r>
      <w:r>
        <w:rPr>
          <w:rFonts w:asciiTheme="majorBidi" w:hAnsiTheme="majorBidi" w:cstheme="majorBidi"/>
          <w:b/>
          <w:bCs/>
          <w:sz w:val="24"/>
          <w:szCs w:val="24"/>
        </w:rPr>
        <w:t xml:space="preserve"> le Tableau II.2.</w:t>
      </w:r>
    </w:p>
    <w:p w14:paraId="3D02DD9E" w14:textId="77777777" w:rsidR="003E3FB4" w:rsidRDefault="003E3FB4">
      <w:pPr>
        <w:spacing w:after="180" w:line="360" w:lineRule="auto"/>
        <w:jc w:val="both"/>
        <w:rPr>
          <w:rFonts w:asciiTheme="majorBidi" w:hAnsiTheme="majorBidi" w:cstheme="majorBidi"/>
          <w:b/>
          <w:bCs/>
          <w:sz w:val="24"/>
          <w:szCs w:val="24"/>
        </w:rPr>
      </w:pPr>
    </w:p>
    <w:p w14:paraId="31FCC9B8" w14:textId="77777777" w:rsidR="003E3FB4" w:rsidRDefault="00385ED0">
      <w:pPr>
        <w:spacing w:after="180" w:line="360" w:lineRule="auto"/>
        <w:jc w:val="center"/>
        <w:rPr>
          <w:rFonts w:asciiTheme="majorBidi" w:hAnsiTheme="majorBidi" w:cstheme="majorBidi"/>
          <w:b/>
          <w:bCs/>
          <w:sz w:val="24"/>
          <w:szCs w:val="24"/>
        </w:rPr>
      </w:pPr>
      <w:r>
        <w:rPr>
          <w:rFonts w:asciiTheme="majorBidi" w:hAnsiTheme="majorBidi" w:cstheme="majorBidi"/>
          <w:b/>
          <w:bCs/>
          <w:sz w:val="24"/>
          <w:szCs w:val="24"/>
        </w:rPr>
        <w:lastRenderedPageBreak/>
        <w:t>Tableau II.2.</w:t>
      </w:r>
      <w:r>
        <w:rPr>
          <w:rFonts w:asciiTheme="majorBidi" w:hAnsiTheme="majorBidi" w:cstheme="majorBidi"/>
          <w:sz w:val="24"/>
          <w:szCs w:val="24"/>
        </w:rPr>
        <w:t xml:space="preserve"> Caractéristiques et origine des souches fongiques testées.</w:t>
      </w:r>
    </w:p>
    <w:tbl>
      <w:tblPr>
        <w:tblStyle w:val="TableauGrille6Couleur-Accentuation31"/>
        <w:tblW w:w="0" w:type="auto"/>
        <w:jc w:val="center"/>
        <w:tblLook w:val="04A0" w:firstRow="1" w:lastRow="0" w:firstColumn="1" w:lastColumn="0" w:noHBand="0" w:noVBand="1"/>
      </w:tblPr>
      <w:tblGrid>
        <w:gridCol w:w="3069"/>
        <w:gridCol w:w="2337"/>
        <w:gridCol w:w="2578"/>
      </w:tblGrid>
      <w:tr w:rsidR="003E3FB4" w14:paraId="44F9AA65" w14:textId="77777777" w:rsidTr="003E3FB4">
        <w:trPr>
          <w:cnfStyle w:val="100000000000" w:firstRow="1" w:lastRow="0" w:firstColumn="0" w:lastColumn="0" w:oddVBand="0" w:evenVBand="0" w:oddHBand="0" w:evenHBand="0" w:firstRowFirstColumn="0" w:firstRowLastColumn="0" w:lastRowFirstColumn="0" w:lastRowLastColumn="0"/>
          <w:trHeight w:val="344"/>
          <w:jc w:val="center"/>
        </w:trPr>
        <w:tc>
          <w:tcPr>
            <w:cnfStyle w:val="001000000000" w:firstRow="0" w:lastRow="0" w:firstColumn="1" w:lastColumn="0" w:oddVBand="0" w:evenVBand="0" w:oddHBand="0" w:evenHBand="0" w:firstRowFirstColumn="0" w:firstRowLastColumn="0" w:lastRowFirstColumn="0" w:lastRowLastColumn="0"/>
            <w:tcW w:w="3069" w:type="dxa"/>
          </w:tcPr>
          <w:p w14:paraId="49D37115" w14:textId="77777777" w:rsidR="003E3FB4" w:rsidRDefault="00385ED0">
            <w:pPr>
              <w:spacing w:after="0" w:line="240" w:lineRule="auto"/>
              <w:jc w:val="center"/>
              <w:rPr>
                <w:rFonts w:asciiTheme="majorBidi" w:hAnsiTheme="majorBidi" w:cstheme="majorBidi"/>
                <w:b w:val="0"/>
                <w:bCs w:val="0"/>
                <w:color w:val="000000" w:themeColor="text1"/>
                <w:sz w:val="24"/>
                <w:szCs w:val="24"/>
              </w:rPr>
            </w:pPr>
            <w:r>
              <w:rPr>
                <w:rFonts w:asciiTheme="majorBidi" w:hAnsiTheme="majorBidi" w:cstheme="majorBidi"/>
                <w:color w:val="000000" w:themeColor="text1"/>
                <w:sz w:val="24"/>
                <w:szCs w:val="24"/>
              </w:rPr>
              <w:t>Champignons</w:t>
            </w:r>
          </w:p>
        </w:tc>
        <w:tc>
          <w:tcPr>
            <w:tcW w:w="2337" w:type="dxa"/>
          </w:tcPr>
          <w:p w14:paraId="4FA61948" w14:textId="77777777" w:rsidR="003E3FB4" w:rsidRDefault="00385ED0">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color w:val="000000" w:themeColor="text1"/>
                <w:sz w:val="24"/>
                <w:szCs w:val="24"/>
              </w:rPr>
            </w:pPr>
            <w:r>
              <w:rPr>
                <w:rFonts w:asciiTheme="majorBidi" w:hAnsiTheme="majorBidi" w:cstheme="majorBidi"/>
                <w:color w:val="000000" w:themeColor="text1"/>
                <w:sz w:val="24"/>
                <w:szCs w:val="24"/>
              </w:rPr>
              <w:t>Origine</w:t>
            </w:r>
          </w:p>
        </w:tc>
        <w:tc>
          <w:tcPr>
            <w:tcW w:w="2578" w:type="dxa"/>
          </w:tcPr>
          <w:p w14:paraId="3224B327" w14:textId="77777777" w:rsidR="003E3FB4" w:rsidRDefault="00385ED0">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color w:val="000000" w:themeColor="text1"/>
                <w:sz w:val="24"/>
                <w:szCs w:val="24"/>
              </w:rPr>
            </w:pPr>
            <w:r>
              <w:rPr>
                <w:rFonts w:asciiTheme="majorBidi" w:hAnsiTheme="majorBidi" w:cstheme="majorBidi"/>
                <w:color w:val="000000" w:themeColor="text1"/>
                <w:sz w:val="24"/>
                <w:szCs w:val="24"/>
              </w:rPr>
              <w:t>Caractéristiques</w:t>
            </w:r>
          </w:p>
        </w:tc>
      </w:tr>
      <w:tr w:rsidR="003E3FB4" w14:paraId="2E601A74" w14:textId="77777777" w:rsidTr="003E3FB4">
        <w:trPr>
          <w:trHeight w:val="706"/>
          <w:jc w:val="center"/>
        </w:trPr>
        <w:tc>
          <w:tcPr>
            <w:cnfStyle w:val="001000000000" w:firstRow="0" w:lastRow="0" w:firstColumn="1" w:lastColumn="0" w:oddVBand="0" w:evenVBand="0" w:oddHBand="0" w:evenHBand="0" w:firstRowFirstColumn="0" w:firstRowLastColumn="0" w:lastRowFirstColumn="0" w:lastRowLastColumn="0"/>
            <w:tcW w:w="3069" w:type="dxa"/>
            <w:shd w:val="clear" w:color="auto" w:fill="EDEDED" w:themeFill="accent3" w:themeFillTint="33"/>
          </w:tcPr>
          <w:p w14:paraId="390ACC9E" w14:textId="77777777" w:rsidR="003E3FB4" w:rsidRDefault="00385ED0">
            <w:pPr>
              <w:spacing w:after="0" w:line="240" w:lineRule="auto"/>
              <w:jc w:val="center"/>
              <w:rPr>
                <w:rFonts w:asciiTheme="majorBidi" w:hAnsiTheme="majorBidi" w:cstheme="majorBidi"/>
                <w:i/>
                <w:iCs/>
                <w:color w:val="000000" w:themeColor="text1"/>
                <w:sz w:val="24"/>
                <w:szCs w:val="24"/>
              </w:rPr>
            </w:pPr>
            <w:r>
              <w:rPr>
                <w:rFonts w:asciiTheme="majorBidi" w:hAnsiTheme="majorBidi" w:cstheme="majorBidi"/>
                <w:i/>
                <w:iCs/>
                <w:color w:val="000000" w:themeColor="text1"/>
                <w:sz w:val="24"/>
                <w:szCs w:val="24"/>
              </w:rPr>
              <w:t>Aspergillus brasiliensis</w:t>
            </w:r>
          </w:p>
        </w:tc>
        <w:tc>
          <w:tcPr>
            <w:tcW w:w="2337" w:type="dxa"/>
            <w:shd w:val="clear" w:color="auto" w:fill="EDEDED" w:themeFill="accent3" w:themeFillTint="33"/>
          </w:tcPr>
          <w:p w14:paraId="6E58A0C3" w14:textId="77777777" w:rsidR="003E3FB4" w:rsidRDefault="00385ED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SAIDAL</w:t>
            </w:r>
          </w:p>
        </w:tc>
        <w:tc>
          <w:tcPr>
            <w:tcW w:w="2578" w:type="dxa"/>
            <w:shd w:val="clear" w:color="auto" w:fill="EDEDED" w:themeFill="accent3" w:themeFillTint="33"/>
          </w:tcPr>
          <w:p w14:paraId="591C5119" w14:textId="77777777" w:rsidR="003E3FB4" w:rsidRDefault="00385ED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Souche de référence ATCC 16404</w:t>
            </w:r>
          </w:p>
        </w:tc>
      </w:tr>
      <w:tr w:rsidR="003E3FB4" w14:paraId="0AC19B7A" w14:textId="77777777" w:rsidTr="003E3FB4">
        <w:trPr>
          <w:trHeight w:val="688"/>
          <w:jc w:val="center"/>
        </w:trPr>
        <w:tc>
          <w:tcPr>
            <w:cnfStyle w:val="001000000000" w:firstRow="0" w:lastRow="0" w:firstColumn="1" w:lastColumn="0" w:oddVBand="0" w:evenVBand="0" w:oddHBand="0" w:evenHBand="0" w:firstRowFirstColumn="0" w:firstRowLastColumn="0" w:lastRowFirstColumn="0" w:lastRowLastColumn="0"/>
            <w:tcW w:w="3069" w:type="dxa"/>
          </w:tcPr>
          <w:p w14:paraId="37E39CF9" w14:textId="77777777" w:rsidR="003E3FB4" w:rsidRDefault="00385ED0">
            <w:pPr>
              <w:spacing w:after="0" w:line="240" w:lineRule="auto"/>
              <w:jc w:val="center"/>
              <w:rPr>
                <w:rFonts w:asciiTheme="majorBidi" w:hAnsiTheme="majorBidi" w:cstheme="majorBidi"/>
                <w:i/>
                <w:iCs/>
                <w:color w:val="000000" w:themeColor="text1"/>
                <w:sz w:val="24"/>
                <w:szCs w:val="24"/>
              </w:rPr>
            </w:pPr>
            <w:r>
              <w:rPr>
                <w:rFonts w:asciiTheme="majorBidi" w:hAnsiTheme="majorBidi" w:cstheme="majorBidi"/>
                <w:i/>
                <w:iCs/>
                <w:color w:val="000000" w:themeColor="text1"/>
                <w:sz w:val="24"/>
                <w:szCs w:val="24"/>
              </w:rPr>
              <w:t>Candida albicans</w:t>
            </w:r>
          </w:p>
        </w:tc>
        <w:tc>
          <w:tcPr>
            <w:tcW w:w="2337" w:type="dxa"/>
          </w:tcPr>
          <w:p w14:paraId="3209C537" w14:textId="77777777" w:rsidR="003E3FB4" w:rsidRDefault="00385ED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SAIDAL</w:t>
            </w:r>
          </w:p>
        </w:tc>
        <w:tc>
          <w:tcPr>
            <w:tcW w:w="2578" w:type="dxa"/>
          </w:tcPr>
          <w:p w14:paraId="3BDF90C5" w14:textId="77777777" w:rsidR="003E3FB4" w:rsidRDefault="00385ED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Souche de référence ATCC  10231</w:t>
            </w:r>
          </w:p>
        </w:tc>
      </w:tr>
      <w:tr w:rsidR="003E3FB4" w14:paraId="53E79273" w14:textId="77777777" w:rsidTr="003E3FB4">
        <w:trPr>
          <w:trHeight w:val="706"/>
          <w:jc w:val="center"/>
        </w:trPr>
        <w:tc>
          <w:tcPr>
            <w:cnfStyle w:val="001000000000" w:firstRow="0" w:lastRow="0" w:firstColumn="1" w:lastColumn="0" w:oddVBand="0" w:evenVBand="0" w:oddHBand="0" w:evenHBand="0" w:firstRowFirstColumn="0" w:firstRowLastColumn="0" w:lastRowFirstColumn="0" w:lastRowLastColumn="0"/>
            <w:tcW w:w="3069" w:type="dxa"/>
            <w:shd w:val="clear" w:color="auto" w:fill="EDEDED" w:themeFill="accent3" w:themeFillTint="33"/>
          </w:tcPr>
          <w:p w14:paraId="40765CDB" w14:textId="77777777" w:rsidR="003E3FB4" w:rsidRDefault="00385ED0">
            <w:pPr>
              <w:spacing w:after="0" w:line="240" w:lineRule="auto"/>
              <w:jc w:val="center"/>
              <w:rPr>
                <w:rFonts w:asciiTheme="majorBidi" w:hAnsiTheme="majorBidi" w:cstheme="majorBidi"/>
                <w:i/>
                <w:iCs/>
                <w:color w:val="000000" w:themeColor="text1"/>
                <w:sz w:val="24"/>
                <w:szCs w:val="24"/>
              </w:rPr>
            </w:pPr>
            <w:r>
              <w:rPr>
                <w:rFonts w:asciiTheme="majorBidi" w:hAnsiTheme="majorBidi" w:cstheme="majorBidi"/>
                <w:i/>
                <w:iCs/>
                <w:color w:val="000000" w:themeColor="text1"/>
                <w:sz w:val="24"/>
                <w:szCs w:val="24"/>
              </w:rPr>
              <w:t>Monilinia sp.</w:t>
            </w:r>
          </w:p>
        </w:tc>
        <w:tc>
          <w:tcPr>
            <w:tcW w:w="2337" w:type="dxa"/>
            <w:shd w:val="clear" w:color="auto" w:fill="EDEDED" w:themeFill="accent3" w:themeFillTint="33"/>
          </w:tcPr>
          <w:p w14:paraId="17D5069E" w14:textId="77777777" w:rsidR="003E3FB4" w:rsidRDefault="00385ED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INPV de Boufarik</w:t>
            </w:r>
          </w:p>
        </w:tc>
        <w:tc>
          <w:tcPr>
            <w:tcW w:w="2578" w:type="dxa"/>
            <w:shd w:val="clear" w:color="auto" w:fill="EDEDED" w:themeFill="accent3" w:themeFillTint="33"/>
          </w:tcPr>
          <w:p w14:paraId="626B92B2" w14:textId="77777777" w:rsidR="003E3FB4" w:rsidRDefault="00385ED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Isolée à partir d’une infection sur le pécher</w:t>
            </w:r>
          </w:p>
        </w:tc>
      </w:tr>
      <w:tr w:rsidR="003E3FB4" w14:paraId="607DEE7A" w14:textId="77777777" w:rsidTr="003E3FB4">
        <w:trPr>
          <w:trHeight w:val="688"/>
          <w:jc w:val="center"/>
        </w:trPr>
        <w:tc>
          <w:tcPr>
            <w:cnfStyle w:val="001000000000" w:firstRow="0" w:lastRow="0" w:firstColumn="1" w:lastColumn="0" w:oddVBand="0" w:evenVBand="0" w:oddHBand="0" w:evenHBand="0" w:firstRowFirstColumn="0" w:firstRowLastColumn="0" w:lastRowFirstColumn="0" w:lastRowLastColumn="0"/>
            <w:tcW w:w="3069" w:type="dxa"/>
          </w:tcPr>
          <w:p w14:paraId="75EA332B" w14:textId="77777777" w:rsidR="003E3FB4" w:rsidRDefault="00385ED0">
            <w:pPr>
              <w:spacing w:after="0" w:line="240" w:lineRule="auto"/>
              <w:jc w:val="center"/>
              <w:rPr>
                <w:rFonts w:asciiTheme="majorBidi" w:hAnsiTheme="majorBidi" w:cstheme="majorBidi"/>
                <w:i/>
                <w:iCs/>
                <w:color w:val="000000" w:themeColor="text1"/>
                <w:sz w:val="24"/>
                <w:szCs w:val="24"/>
              </w:rPr>
            </w:pPr>
            <w:r>
              <w:rPr>
                <w:rFonts w:asciiTheme="majorBidi" w:hAnsiTheme="majorBidi" w:cstheme="majorBidi"/>
                <w:i/>
                <w:iCs/>
                <w:color w:val="000000" w:themeColor="text1"/>
                <w:sz w:val="24"/>
                <w:szCs w:val="24"/>
              </w:rPr>
              <w:t>Colletotrichum sp.</w:t>
            </w:r>
          </w:p>
        </w:tc>
        <w:tc>
          <w:tcPr>
            <w:tcW w:w="2337" w:type="dxa"/>
          </w:tcPr>
          <w:p w14:paraId="34BA0051" w14:textId="77777777" w:rsidR="003E3FB4" w:rsidRDefault="00385ED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INPV de Boufarik</w:t>
            </w:r>
          </w:p>
        </w:tc>
        <w:tc>
          <w:tcPr>
            <w:tcW w:w="2578" w:type="dxa"/>
          </w:tcPr>
          <w:p w14:paraId="5EAAFB77" w14:textId="77777777" w:rsidR="003E3FB4" w:rsidRDefault="00385ED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Isolée à partir d’une infection sur la fève</w:t>
            </w:r>
          </w:p>
        </w:tc>
      </w:tr>
      <w:tr w:rsidR="003E3FB4" w14:paraId="32481734" w14:textId="77777777" w:rsidTr="003E3FB4">
        <w:trPr>
          <w:trHeight w:val="688"/>
          <w:jc w:val="center"/>
        </w:trPr>
        <w:tc>
          <w:tcPr>
            <w:cnfStyle w:val="001000000000" w:firstRow="0" w:lastRow="0" w:firstColumn="1" w:lastColumn="0" w:oddVBand="0" w:evenVBand="0" w:oddHBand="0" w:evenHBand="0" w:firstRowFirstColumn="0" w:firstRowLastColumn="0" w:lastRowFirstColumn="0" w:lastRowLastColumn="0"/>
            <w:tcW w:w="3069" w:type="dxa"/>
            <w:shd w:val="clear" w:color="auto" w:fill="EDEDED" w:themeFill="accent3" w:themeFillTint="33"/>
          </w:tcPr>
          <w:p w14:paraId="5A32ADE3" w14:textId="77777777" w:rsidR="003E3FB4" w:rsidRDefault="00385ED0">
            <w:pPr>
              <w:spacing w:after="0" w:line="240" w:lineRule="auto"/>
              <w:jc w:val="center"/>
              <w:rPr>
                <w:rFonts w:asciiTheme="majorBidi" w:hAnsiTheme="majorBidi" w:cstheme="majorBidi"/>
                <w:i/>
                <w:iCs/>
                <w:color w:val="000000" w:themeColor="text1"/>
                <w:sz w:val="24"/>
                <w:szCs w:val="24"/>
              </w:rPr>
            </w:pPr>
            <w:r>
              <w:rPr>
                <w:rFonts w:asciiTheme="majorBidi" w:hAnsiTheme="majorBidi" w:cstheme="majorBidi"/>
                <w:i/>
                <w:iCs/>
                <w:color w:val="000000" w:themeColor="text1"/>
                <w:sz w:val="24"/>
                <w:szCs w:val="24"/>
              </w:rPr>
              <w:t>Botrytis cinerea</w:t>
            </w:r>
          </w:p>
        </w:tc>
        <w:tc>
          <w:tcPr>
            <w:tcW w:w="2337" w:type="dxa"/>
            <w:shd w:val="clear" w:color="auto" w:fill="EDEDED" w:themeFill="accent3" w:themeFillTint="33"/>
          </w:tcPr>
          <w:p w14:paraId="6545C90F" w14:textId="77777777" w:rsidR="003E3FB4" w:rsidRDefault="00385ED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INPV de Boufarik</w:t>
            </w:r>
          </w:p>
        </w:tc>
        <w:tc>
          <w:tcPr>
            <w:tcW w:w="2578" w:type="dxa"/>
            <w:shd w:val="clear" w:color="auto" w:fill="EDEDED" w:themeFill="accent3" w:themeFillTint="33"/>
          </w:tcPr>
          <w:p w14:paraId="413F3E5C" w14:textId="77777777" w:rsidR="003E3FB4" w:rsidRDefault="00385ED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Isolée à partir d’une infection sur la tomate</w:t>
            </w:r>
          </w:p>
        </w:tc>
      </w:tr>
    </w:tbl>
    <w:p w14:paraId="12AF002F" w14:textId="77777777" w:rsidR="003E3FB4" w:rsidRDefault="003E3FB4">
      <w:pPr>
        <w:tabs>
          <w:tab w:val="left" w:pos="6173"/>
        </w:tabs>
        <w:spacing w:line="360" w:lineRule="auto"/>
        <w:jc w:val="both"/>
        <w:rPr>
          <w:rFonts w:asciiTheme="majorBidi" w:hAnsiTheme="majorBidi" w:cstheme="majorBidi"/>
          <w:b/>
          <w:bCs/>
          <w:sz w:val="24"/>
          <w:szCs w:val="24"/>
        </w:rPr>
      </w:pPr>
    </w:p>
    <w:p w14:paraId="5EA6B9D4" w14:textId="77777777" w:rsidR="003E3FB4" w:rsidRDefault="00385ED0">
      <w:pPr>
        <w:tabs>
          <w:tab w:val="left" w:pos="6173"/>
        </w:tabs>
        <w:spacing w:after="0" w:line="360" w:lineRule="auto"/>
        <w:jc w:val="both"/>
        <w:rPr>
          <w:rFonts w:asciiTheme="majorBidi" w:hAnsiTheme="majorBidi" w:cstheme="majorBidi"/>
          <w:b/>
          <w:bCs/>
          <w:sz w:val="24"/>
          <w:szCs w:val="24"/>
          <w:lang w:bidi="ar-DZ"/>
        </w:rPr>
      </w:pPr>
      <w:r>
        <w:rPr>
          <w:rFonts w:asciiTheme="majorBidi" w:hAnsiTheme="majorBidi" w:cstheme="majorBidi"/>
          <w:b/>
          <w:bCs/>
          <w:sz w:val="24"/>
          <w:szCs w:val="24"/>
        </w:rPr>
        <w:t>II.2. Méthode d’extraction</w:t>
      </w:r>
      <w:bookmarkStart w:id="9" w:name="_Hlk196682024"/>
      <w:r>
        <w:rPr>
          <w:rFonts w:asciiTheme="majorBidi" w:hAnsiTheme="majorBidi" w:cstheme="majorBidi"/>
          <w:b/>
          <w:bCs/>
          <w:sz w:val="24"/>
          <w:szCs w:val="24"/>
        </w:rPr>
        <w:t xml:space="preserve"> des graines de </w:t>
      </w:r>
      <w:r>
        <w:rPr>
          <w:rFonts w:asciiTheme="majorBidi" w:hAnsiTheme="majorBidi" w:cstheme="majorBidi"/>
          <w:b/>
          <w:bCs/>
          <w:i/>
          <w:iCs/>
          <w:sz w:val="24"/>
          <w:szCs w:val="24"/>
          <w:lang w:bidi="ar-DZ"/>
        </w:rPr>
        <w:t>Trigonella foenum-graecum</w:t>
      </w:r>
      <w:r>
        <w:rPr>
          <w:rFonts w:asciiTheme="majorBidi" w:hAnsiTheme="majorBidi" w:cstheme="majorBidi"/>
          <w:b/>
          <w:bCs/>
          <w:sz w:val="24"/>
          <w:szCs w:val="24"/>
          <w:lang w:bidi="ar-DZ"/>
        </w:rPr>
        <w:t xml:space="preserve"> L.</w:t>
      </w:r>
      <w:bookmarkEnd w:id="9"/>
    </w:p>
    <w:p w14:paraId="3D33E10B" w14:textId="62EFE001" w:rsidR="003E3FB4" w:rsidRDefault="00385ED0">
      <w:pPr>
        <w:tabs>
          <w:tab w:val="left" w:pos="6173"/>
        </w:tabs>
        <w:spacing w:after="0" w:line="360" w:lineRule="auto"/>
        <w:jc w:val="both"/>
        <w:rPr>
          <w:rFonts w:asciiTheme="majorBidi" w:hAnsiTheme="majorBidi" w:cstheme="majorBidi"/>
          <w:b/>
          <w:bCs/>
          <w:sz w:val="24"/>
          <w:szCs w:val="24"/>
          <w:lang w:bidi="ar-DZ"/>
        </w:rPr>
      </w:pPr>
      <w:bookmarkStart w:id="10" w:name="_Hlk196683690"/>
      <w:r>
        <w:rPr>
          <w:rFonts w:asciiTheme="majorBidi" w:hAnsiTheme="majorBidi" w:cstheme="majorBidi"/>
          <w:b/>
          <w:bCs/>
          <w:sz w:val="24"/>
          <w:szCs w:val="24"/>
        </w:rPr>
        <w:t xml:space="preserve">II.2.1. </w:t>
      </w:r>
      <w:r w:rsidR="008520CA">
        <w:rPr>
          <w:rFonts w:asciiTheme="majorBidi" w:hAnsiTheme="majorBidi" w:cstheme="majorBidi"/>
          <w:b/>
          <w:bCs/>
          <w:sz w:val="24"/>
          <w:szCs w:val="24"/>
        </w:rPr>
        <w:t>Extraction aqueuse</w:t>
      </w:r>
      <w:r>
        <w:rPr>
          <w:rFonts w:asciiTheme="majorBidi" w:hAnsiTheme="majorBidi" w:cstheme="majorBidi"/>
          <w:b/>
          <w:bCs/>
          <w:sz w:val="24"/>
          <w:szCs w:val="24"/>
        </w:rPr>
        <w:t xml:space="preserve"> des graines de </w:t>
      </w:r>
      <w:r>
        <w:rPr>
          <w:rFonts w:asciiTheme="majorBidi" w:hAnsiTheme="majorBidi" w:cstheme="majorBidi"/>
          <w:b/>
          <w:bCs/>
          <w:i/>
          <w:iCs/>
          <w:sz w:val="24"/>
          <w:szCs w:val="24"/>
          <w:lang w:bidi="ar-DZ"/>
        </w:rPr>
        <w:t xml:space="preserve">Trigonella foenum-graecum </w:t>
      </w:r>
      <w:r>
        <w:rPr>
          <w:rFonts w:asciiTheme="majorBidi" w:hAnsiTheme="majorBidi" w:cstheme="majorBidi"/>
          <w:b/>
          <w:bCs/>
          <w:sz w:val="24"/>
          <w:szCs w:val="24"/>
          <w:lang w:bidi="ar-DZ"/>
        </w:rPr>
        <w:t>L</w:t>
      </w:r>
      <w:bookmarkEnd w:id="10"/>
    </w:p>
    <w:p w14:paraId="0A4D3379" w14:textId="77777777" w:rsidR="003E3FB4" w:rsidRDefault="00385ED0">
      <w:pPr>
        <w:spacing w:after="0" w:line="360" w:lineRule="auto"/>
        <w:ind w:firstLine="567"/>
        <w:jc w:val="both"/>
        <w:rPr>
          <w:rFonts w:asciiTheme="majorBidi" w:hAnsiTheme="majorBidi" w:cstheme="majorBidi"/>
          <w:sz w:val="24"/>
          <w:szCs w:val="24"/>
          <w:lang w:bidi="ar-DZ"/>
        </w:rPr>
      </w:pPr>
      <w:r>
        <w:rPr>
          <w:rFonts w:asciiTheme="majorBidi" w:hAnsiTheme="majorBidi" w:cstheme="majorBidi"/>
          <w:sz w:val="24"/>
          <w:szCs w:val="24"/>
          <w:lang w:bidi="ar-DZ"/>
        </w:rPr>
        <w:t xml:space="preserve">L’extraction aqueuse a été réalisée conformément aux protocoles décrits par </w:t>
      </w:r>
      <w:r>
        <w:rPr>
          <w:rFonts w:asciiTheme="majorBidi" w:hAnsiTheme="majorBidi" w:cstheme="majorBidi"/>
          <w:b/>
          <w:bCs/>
          <w:sz w:val="24"/>
          <w:szCs w:val="24"/>
          <w:lang w:bidi="ar-DZ"/>
        </w:rPr>
        <w:t xml:space="preserve">Djeridane et </w:t>
      </w:r>
      <w:r>
        <w:rPr>
          <w:rFonts w:asciiTheme="majorBidi" w:hAnsiTheme="majorBidi" w:cstheme="majorBidi"/>
          <w:b/>
          <w:bCs/>
          <w:i/>
          <w:iCs/>
          <w:sz w:val="24"/>
          <w:szCs w:val="24"/>
          <w:lang w:bidi="ar-DZ"/>
        </w:rPr>
        <w:t>al.</w:t>
      </w:r>
      <w:r>
        <w:rPr>
          <w:rFonts w:asciiTheme="majorBidi" w:hAnsiTheme="majorBidi" w:cstheme="majorBidi"/>
          <w:b/>
          <w:bCs/>
          <w:sz w:val="24"/>
          <w:szCs w:val="24"/>
          <w:lang w:bidi="ar-DZ"/>
        </w:rPr>
        <w:t>, (2006)</w:t>
      </w:r>
      <w:r>
        <w:rPr>
          <w:rFonts w:asciiTheme="majorBidi" w:hAnsiTheme="majorBidi" w:cstheme="majorBidi"/>
          <w:sz w:val="24"/>
          <w:szCs w:val="24"/>
          <w:lang w:bidi="ar-DZ"/>
        </w:rPr>
        <w:t xml:space="preserve"> ainsi que </w:t>
      </w:r>
      <w:r>
        <w:rPr>
          <w:rFonts w:asciiTheme="majorBidi" w:hAnsiTheme="majorBidi" w:cstheme="majorBidi"/>
          <w:b/>
          <w:bCs/>
          <w:sz w:val="24"/>
          <w:szCs w:val="24"/>
          <w:lang w:bidi="ar-DZ"/>
        </w:rPr>
        <w:t>Turkmen et al., (2006).</w:t>
      </w:r>
      <w:r>
        <w:rPr>
          <w:rFonts w:asciiTheme="majorBidi" w:hAnsiTheme="majorBidi" w:cstheme="majorBidi"/>
          <w:sz w:val="24"/>
          <w:szCs w:val="24"/>
          <w:lang w:bidi="ar-DZ"/>
        </w:rPr>
        <w:t xml:space="preserve"> Pour ce faire, 30 g de poudre de graines de </w:t>
      </w:r>
      <w:r>
        <w:rPr>
          <w:rFonts w:asciiTheme="majorBidi" w:hAnsiTheme="majorBidi" w:cstheme="majorBidi"/>
          <w:i/>
          <w:iCs/>
          <w:sz w:val="24"/>
          <w:szCs w:val="24"/>
          <w:lang w:bidi="ar-DZ"/>
        </w:rPr>
        <w:t>Trigonella foenum-graecum</w:t>
      </w:r>
      <w:r>
        <w:rPr>
          <w:rFonts w:asciiTheme="majorBidi" w:hAnsiTheme="majorBidi" w:cstheme="majorBidi"/>
          <w:sz w:val="24"/>
          <w:szCs w:val="24"/>
          <w:lang w:bidi="ar-DZ"/>
        </w:rPr>
        <w:t xml:space="preserve"> L. ont été mises à macérer dans 200 ml d’eau distillée. Le mélange a été placé sur un agitateur magnétique et maintenu en agitation continue pendant cinq jours. À l’issue de cette période, la solution a été filtrée à l’aide de papier filtre Whatman n°1. Le filtrat obtenu a ensuite été concentré par évaporation dans une étuve à 45 °C.</w:t>
      </w:r>
    </w:p>
    <w:p w14:paraId="4EBC5F94" w14:textId="77777777" w:rsidR="003E3FB4" w:rsidRDefault="00385ED0">
      <w:pPr>
        <w:spacing w:after="0" w:line="360" w:lineRule="auto"/>
        <w:ind w:firstLine="567"/>
        <w:jc w:val="both"/>
        <w:rPr>
          <w:rFonts w:asciiTheme="majorBidi" w:hAnsiTheme="majorBidi" w:cstheme="majorBidi"/>
          <w:sz w:val="24"/>
          <w:szCs w:val="24"/>
          <w:lang w:bidi="ar-DZ"/>
        </w:rPr>
      </w:pPr>
      <w:r>
        <w:rPr>
          <w:rFonts w:asciiTheme="majorBidi" w:hAnsiTheme="majorBidi" w:cstheme="majorBidi"/>
          <w:sz w:val="24"/>
          <w:szCs w:val="24"/>
          <w:lang w:bidi="ar-DZ"/>
        </w:rPr>
        <w:t>Les résidus secs ont été redissous selon le type d’analyse à effectuer : dans de l’eau distillée pour les tests d’activité antioxydante (DPPH et FRAP) ainsi que pour les essais anti-inflammatoires (</w:t>
      </w:r>
      <w:r>
        <w:rPr>
          <w:rFonts w:asciiTheme="majorBidi" w:hAnsiTheme="majorBidi" w:cstheme="majorBidi"/>
          <w:i/>
          <w:iCs/>
          <w:sz w:val="24"/>
          <w:szCs w:val="24"/>
          <w:lang w:bidi="ar-DZ"/>
        </w:rPr>
        <w:t>in vitro</w:t>
      </w:r>
      <w:r>
        <w:rPr>
          <w:rFonts w:asciiTheme="majorBidi" w:hAnsiTheme="majorBidi" w:cstheme="majorBidi"/>
          <w:sz w:val="24"/>
          <w:szCs w:val="24"/>
          <w:lang w:bidi="ar-DZ"/>
        </w:rPr>
        <w:t>), et dans du DMSO pour l’évaluation de l’activité antimicrobienne.</w:t>
      </w:r>
    </w:p>
    <w:p w14:paraId="2BAB9A91" w14:textId="77777777" w:rsidR="003E3FB4" w:rsidRDefault="00385ED0">
      <w:pPr>
        <w:spacing w:after="0"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Les extraits obtenus ont été conservés à une température de 4 °C jusqu’à leur utilisation (Figure II.3.A).</w:t>
      </w:r>
    </w:p>
    <w:p w14:paraId="7155726E" w14:textId="27BF7AE3" w:rsidR="003E3FB4" w:rsidRDefault="00385ED0">
      <w:pPr>
        <w:spacing w:after="180" w:line="360" w:lineRule="auto"/>
        <w:jc w:val="both"/>
        <w:rPr>
          <w:rFonts w:asciiTheme="majorBidi" w:hAnsiTheme="majorBidi" w:cstheme="majorBidi"/>
          <w:b/>
          <w:bCs/>
          <w:sz w:val="24"/>
          <w:szCs w:val="24"/>
          <w:lang w:bidi="ar-DZ"/>
        </w:rPr>
      </w:pPr>
      <w:r>
        <w:rPr>
          <w:rFonts w:asciiTheme="majorBidi" w:hAnsiTheme="majorBidi" w:cstheme="majorBidi"/>
          <w:b/>
          <w:bCs/>
          <w:sz w:val="24"/>
          <w:szCs w:val="24"/>
        </w:rPr>
        <w:t xml:space="preserve">II.2.2. </w:t>
      </w:r>
      <w:r w:rsidR="008520CA">
        <w:rPr>
          <w:rFonts w:asciiTheme="majorBidi" w:hAnsiTheme="majorBidi" w:cstheme="majorBidi"/>
          <w:b/>
          <w:bCs/>
          <w:sz w:val="24"/>
          <w:szCs w:val="24"/>
        </w:rPr>
        <w:t>Extraction</w:t>
      </w:r>
      <w:r>
        <w:rPr>
          <w:rFonts w:asciiTheme="majorBidi" w:hAnsiTheme="majorBidi" w:cstheme="majorBidi"/>
          <w:b/>
          <w:bCs/>
          <w:sz w:val="24"/>
          <w:szCs w:val="24"/>
        </w:rPr>
        <w:t xml:space="preserve"> éthanolique des graines de </w:t>
      </w:r>
      <w:r>
        <w:rPr>
          <w:rFonts w:asciiTheme="majorBidi" w:hAnsiTheme="majorBidi" w:cstheme="majorBidi"/>
          <w:b/>
          <w:bCs/>
          <w:i/>
          <w:iCs/>
          <w:sz w:val="24"/>
          <w:szCs w:val="24"/>
          <w:lang w:bidi="ar-DZ"/>
        </w:rPr>
        <w:t>Trigonella foenum-graecum</w:t>
      </w:r>
      <w:r>
        <w:rPr>
          <w:rFonts w:asciiTheme="majorBidi" w:hAnsiTheme="majorBidi" w:cstheme="majorBidi"/>
          <w:b/>
          <w:bCs/>
          <w:sz w:val="24"/>
          <w:szCs w:val="24"/>
          <w:lang w:bidi="ar-DZ"/>
        </w:rPr>
        <w:t xml:space="preserve"> L.</w:t>
      </w:r>
    </w:p>
    <w:p w14:paraId="7613EA48" w14:textId="77777777" w:rsidR="003E3FB4" w:rsidRDefault="00385ED0">
      <w:pPr>
        <w:spacing w:after="180" w:line="360" w:lineRule="auto"/>
        <w:ind w:firstLine="708"/>
        <w:jc w:val="both"/>
        <w:rPr>
          <w:rFonts w:asciiTheme="majorBidi" w:hAnsiTheme="majorBidi" w:cstheme="majorBidi"/>
          <w:sz w:val="24"/>
          <w:szCs w:val="24"/>
          <w:lang w:bidi="ar-DZ"/>
        </w:rPr>
      </w:pPr>
      <w:r>
        <w:rPr>
          <w:rFonts w:asciiTheme="majorBidi" w:hAnsiTheme="majorBidi" w:cstheme="majorBidi"/>
          <w:sz w:val="24"/>
          <w:szCs w:val="24"/>
          <w:lang w:bidi="ar-DZ"/>
        </w:rPr>
        <w:t xml:space="preserve">L’extrait éthanolique a été préparé en suivant la méthode décrite par </w:t>
      </w:r>
      <w:r>
        <w:rPr>
          <w:rFonts w:asciiTheme="majorBidi" w:hAnsiTheme="majorBidi" w:cstheme="majorBidi"/>
          <w:b/>
          <w:bCs/>
          <w:sz w:val="24"/>
          <w:szCs w:val="24"/>
          <w:lang w:bidi="ar-DZ"/>
        </w:rPr>
        <w:t xml:space="preserve">Djeridane et </w:t>
      </w:r>
      <w:r>
        <w:rPr>
          <w:rFonts w:asciiTheme="majorBidi" w:hAnsiTheme="majorBidi" w:cstheme="majorBidi"/>
          <w:b/>
          <w:bCs/>
          <w:i/>
          <w:iCs/>
          <w:sz w:val="24"/>
          <w:szCs w:val="24"/>
          <w:lang w:bidi="ar-DZ"/>
        </w:rPr>
        <w:t xml:space="preserve">al., </w:t>
      </w:r>
      <w:r>
        <w:rPr>
          <w:rFonts w:asciiTheme="majorBidi" w:hAnsiTheme="majorBidi" w:cstheme="majorBidi"/>
          <w:b/>
          <w:bCs/>
          <w:sz w:val="24"/>
          <w:szCs w:val="24"/>
          <w:lang w:bidi="ar-DZ"/>
        </w:rPr>
        <w:t xml:space="preserve">(2006) </w:t>
      </w:r>
      <w:r>
        <w:rPr>
          <w:rFonts w:asciiTheme="majorBidi" w:hAnsiTheme="majorBidi" w:cstheme="majorBidi"/>
          <w:sz w:val="24"/>
          <w:szCs w:val="24"/>
          <w:lang w:bidi="ar-DZ"/>
        </w:rPr>
        <w:t xml:space="preserve">et </w:t>
      </w:r>
      <w:r>
        <w:rPr>
          <w:rFonts w:asciiTheme="majorBidi" w:hAnsiTheme="majorBidi" w:cstheme="majorBidi"/>
          <w:b/>
          <w:bCs/>
          <w:sz w:val="24"/>
          <w:szCs w:val="24"/>
          <w:lang w:bidi="ar-DZ"/>
        </w:rPr>
        <w:t xml:space="preserve">Turkmen et </w:t>
      </w:r>
      <w:r>
        <w:rPr>
          <w:rFonts w:asciiTheme="majorBidi" w:hAnsiTheme="majorBidi" w:cstheme="majorBidi"/>
          <w:b/>
          <w:bCs/>
          <w:i/>
          <w:iCs/>
          <w:sz w:val="24"/>
          <w:szCs w:val="24"/>
          <w:lang w:bidi="ar-DZ"/>
        </w:rPr>
        <w:t>al</w:t>
      </w:r>
      <w:r>
        <w:rPr>
          <w:rFonts w:asciiTheme="majorBidi" w:hAnsiTheme="majorBidi" w:cstheme="majorBidi"/>
          <w:b/>
          <w:bCs/>
          <w:sz w:val="24"/>
          <w:szCs w:val="24"/>
          <w:lang w:bidi="ar-DZ"/>
        </w:rPr>
        <w:t>., (2006)</w:t>
      </w:r>
      <w:r>
        <w:rPr>
          <w:rFonts w:asciiTheme="majorBidi" w:hAnsiTheme="majorBidi" w:cstheme="majorBidi"/>
          <w:sz w:val="24"/>
          <w:szCs w:val="24"/>
          <w:lang w:bidi="ar-DZ"/>
        </w:rPr>
        <w:t xml:space="preserve">, avec quelques modifications. Une quantité de 15 g de poudre de graines de </w:t>
      </w:r>
      <w:r>
        <w:rPr>
          <w:rFonts w:asciiTheme="majorBidi" w:hAnsiTheme="majorBidi" w:cstheme="majorBidi"/>
          <w:i/>
          <w:iCs/>
          <w:sz w:val="24"/>
          <w:szCs w:val="24"/>
          <w:lang w:bidi="ar-DZ"/>
        </w:rPr>
        <w:t>Trigonella foenum-graecum</w:t>
      </w:r>
      <w:r>
        <w:rPr>
          <w:rFonts w:asciiTheme="majorBidi" w:hAnsiTheme="majorBidi" w:cstheme="majorBidi"/>
          <w:sz w:val="24"/>
          <w:szCs w:val="24"/>
          <w:lang w:bidi="ar-DZ"/>
        </w:rPr>
        <w:t xml:space="preserve"> L. a été mise à macérer dans 100 ml d’éthanol dans un erlenmeyer de 500 ml, enveloppés de papier aluminium afin de protéger les mélanges de la lumière. Les préparations ont été soumises à une agitation continue à l’aide d’un agitateur magnétique pendant cinq jours, à une température ambiante et à l’abri de la lumière.</w:t>
      </w:r>
    </w:p>
    <w:p w14:paraId="750FC3F7" w14:textId="19841665" w:rsidR="003E3FB4" w:rsidRDefault="00385ED0">
      <w:pPr>
        <w:spacing w:after="180" w:line="360" w:lineRule="auto"/>
        <w:ind w:firstLine="708"/>
        <w:jc w:val="both"/>
        <w:rPr>
          <w:rFonts w:asciiTheme="majorBidi" w:hAnsiTheme="majorBidi" w:cstheme="majorBidi"/>
          <w:b/>
          <w:bCs/>
          <w:sz w:val="24"/>
          <w:szCs w:val="24"/>
          <w:lang w:bidi="ar-DZ"/>
        </w:rPr>
      </w:pPr>
      <w:r>
        <w:rPr>
          <w:rFonts w:asciiTheme="majorBidi" w:hAnsiTheme="majorBidi" w:cstheme="majorBidi"/>
          <w:sz w:val="24"/>
          <w:szCs w:val="24"/>
          <w:lang w:bidi="ar-DZ"/>
        </w:rPr>
        <w:lastRenderedPageBreak/>
        <w:t xml:space="preserve">Après macération, les mélanges ont été filtrés à l’aide de papier filtre et d’une rampe de filtration. Le filtrat éthanolique a ensuite été concentré par évaporation dans une étuve à 45 °C jusqu’à élimination complète du solvant. Les résidus secs ont été récupérés avec de l’éthanol pour les analyses antioxydantes et anti-inflammatoires, et avec du DMSO </w:t>
      </w:r>
      <w:r w:rsidR="008520CA">
        <w:rPr>
          <w:rFonts w:asciiTheme="majorBidi" w:hAnsiTheme="majorBidi" w:cstheme="majorBidi"/>
          <w:sz w:val="24"/>
          <w:szCs w:val="24"/>
          <w:lang w:bidi="ar-DZ"/>
        </w:rPr>
        <w:t xml:space="preserve">(dilué 10%) </w:t>
      </w:r>
      <w:r>
        <w:rPr>
          <w:rFonts w:asciiTheme="majorBidi" w:hAnsiTheme="majorBidi" w:cstheme="majorBidi"/>
          <w:sz w:val="24"/>
          <w:szCs w:val="24"/>
          <w:lang w:bidi="ar-DZ"/>
        </w:rPr>
        <w:t>pour l’évaluation des activités antimicrobiennes (antibactérienne et antifongique). Les extraits obtenus ont été conservés à 4 °C jusqu’à leur utilisation. Le protocole d’extraction est illustré dans</w:t>
      </w:r>
      <w:r>
        <w:rPr>
          <w:rFonts w:asciiTheme="majorBidi" w:hAnsiTheme="majorBidi" w:cstheme="majorBidi"/>
          <w:b/>
          <w:bCs/>
          <w:sz w:val="24"/>
          <w:szCs w:val="24"/>
          <w:lang w:bidi="ar-DZ"/>
        </w:rPr>
        <w:t xml:space="preserve"> </w:t>
      </w:r>
      <w:r>
        <w:rPr>
          <w:rFonts w:asciiTheme="majorBidi" w:hAnsiTheme="majorBidi" w:cstheme="majorBidi"/>
          <w:sz w:val="24"/>
          <w:szCs w:val="24"/>
          <w:lang w:bidi="ar-DZ"/>
        </w:rPr>
        <w:t xml:space="preserve">la </w:t>
      </w:r>
      <w:r>
        <w:rPr>
          <w:rFonts w:asciiTheme="majorBidi" w:hAnsiTheme="majorBidi" w:cstheme="majorBidi"/>
          <w:b/>
          <w:bCs/>
          <w:sz w:val="24"/>
          <w:szCs w:val="24"/>
          <w:lang w:bidi="ar-DZ"/>
        </w:rPr>
        <w:t>(Figure II.3.B.)</w:t>
      </w:r>
      <w:r>
        <w:rPr>
          <w:rFonts w:asciiTheme="majorBidi" w:hAnsiTheme="majorBidi" w:cstheme="majorBidi"/>
          <w:sz w:val="24"/>
          <w:szCs w:val="24"/>
        </w:rPr>
        <w:t xml:space="preserve">       </w:t>
      </w:r>
      <w:r>
        <w:rPr>
          <w:rFonts w:asciiTheme="majorBidi" w:hAnsiTheme="majorBidi" w:cstheme="majorBidi"/>
          <w:b/>
          <w:bCs/>
          <w:sz w:val="24"/>
          <w:szCs w:val="24"/>
          <w:lang w:bidi="ar-DZ"/>
        </w:rPr>
        <w:t xml:space="preserve">     </w:t>
      </w:r>
      <w:r>
        <w:rPr>
          <w:rFonts w:asciiTheme="majorBidi" w:hAnsiTheme="majorBidi" w:cstheme="majorBidi"/>
          <w:sz w:val="24"/>
          <w:szCs w:val="24"/>
        </w:rPr>
        <w:t xml:space="preserve">  </w:t>
      </w:r>
      <w:r>
        <w:rPr>
          <w:rFonts w:asciiTheme="majorBidi" w:hAnsiTheme="majorBidi" w:cstheme="majorBidi"/>
          <w:b/>
          <w:bCs/>
          <w:sz w:val="24"/>
          <w:szCs w:val="24"/>
          <w:lang w:bidi="ar-DZ"/>
        </w:rPr>
        <w:t xml:space="preserve">        </w:t>
      </w:r>
      <w:r>
        <w:rPr>
          <w:rFonts w:asciiTheme="majorBidi" w:hAnsiTheme="majorBidi" w:cstheme="majorBidi"/>
          <w:sz w:val="24"/>
          <w:szCs w:val="24"/>
        </w:rPr>
        <w:t xml:space="preserve"> </w:t>
      </w:r>
      <w:r>
        <w:rPr>
          <w:rFonts w:asciiTheme="majorBidi" w:hAnsiTheme="majorBidi" w:cstheme="majorBidi"/>
          <w:b/>
          <w:bCs/>
          <w:sz w:val="24"/>
          <w:szCs w:val="24"/>
          <w:lang w:bidi="ar-DZ"/>
        </w:rPr>
        <w:t xml:space="preserve">  </w:t>
      </w:r>
    </w:p>
    <w:p w14:paraId="78DDC5A6" w14:textId="77777777" w:rsidR="003E3FB4" w:rsidRDefault="00385ED0" w:rsidP="00320AF4">
      <w:pPr>
        <w:tabs>
          <w:tab w:val="left" w:pos="6173"/>
        </w:tabs>
        <w:spacing w:line="360" w:lineRule="auto"/>
        <w:jc w:val="center"/>
        <w:rPr>
          <w:rFonts w:asciiTheme="majorBidi" w:hAnsiTheme="majorBidi" w:cstheme="majorBidi"/>
          <w:sz w:val="24"/>
          <w:szCs w:val="24"/>
          <w:lang w:bidi="ar-DZ"/>
        </w:rPr>
      </w:pPr>
      <w:r>
        <w:rPr>
          <w:noProof/>
        </w:rPr>
        <w:drawing>
          <wp:inline distT="0" distB="0" distL="0" distR="0" wp14:anchorId="415C4634" wp14:editId="3BD18A4C">
            <wp:extent cx="4963885" cy="3469837"/>
            <wp:effectExtent l="0" t="0" r="8255" b="0"/>
            <wp:docPr id="94444188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4441881" name="Image 1"/>
                    <pic:cNvPicPr>
                      <a:picLocks noChangeAspect="1"/>
                    </pic:cNvPicPr>
                  </pic:nvPicPr>
                  <pic:blipFill>
                    <a:blip r:embed="rId30"/>
                    <a:stretch>
                      <a:fillRect/>
                    </a:stretch>
                  </pic:blipFill>
                  <pic:spPr>
                    <a:xfrm>
                      <a:off x="0" y="0"/>
                      <a:ext cx="4989561" cy="3487785"/>
                    </a:xfrm>
                    <a:prstGeom prst="rect">
                      <a:avLst/>
                    </a:prstGeom>
                  </pic:spPr>
                </pic:pic>
              </a:graphicData>
            </a:graphic>
          </wp:inline>
        </w:drawing>
      </w:r>
    </w:p>
    <w:p w14:paraId="6EF4794C" w14:textId="77777777" w:rsidR="003E3FB4" w:rsidRDefault="00385ED0">
      <w:pPr>
        <w:tabs>
          <w:tab w:val="left" w:pos="6173"/>
        </w:tabs>
        <w:spacing w:line="360" w:lineRule="auto"/>
        <w:jc w:val="center"/>
        <w:rPr>
          <w:rFonts w:asciiTheme="majorBidi" w:hAnsiTheme="majorBidi" w:cstheme="majorBidi"/>
          <w:b/>
          <w:bCs/>
          <w:sz w:val="24"/>
          <w:szCs w:val="24"/>
          <w:lang w:bidi="ar-DZ"/>
        </w:rPr>
      </w:pPr>
      <w:r>
        <w:rPr>
          <w:rFonts w:asciiTheme="majorBidi" w:hAnsiTheme="majorBidi" w:cstheme="majorBidi"/>
          <w:b/>
          <w:bCs/>
          <w:sz w:val="24"/>
          <w:szCs w:val="24"/>
          <w:lang w:bidi="ar-DZ"/>
        </w:rPr>
        <w:t>Figure II.3 :</w:t>
      </w:r>
      <w:r>
        <w:rPr>
          <w:rFonts w:asciiTheme="majorBidi" w:hAnsiTheme="majorBidi" w:cstheme="majorBidi"/>
          <w:sz w:val="24"/>
          <w:szCs w:val="24"/>
          <w:lang w:bidi="ar-DZ"/>
        </w:rPr>
        <w:t xml:space="preserve"> extraction aqueuse et éthanolique des graines de fenugrec </w:t>
      </w:r>
    </w:p>
    <w:p w14:paraId="33DE4C86" w14:textId="77777777" w:rsidR="003E3FB4" w:rsidRDefault="00385ED0">
      <w:pPr>
        <w:tabs>
          <w:tab w:val="left" w:pos="6173"/>
        </w:tabs>
        <w:spacing w:line="360" w:lineRule="auto"/>
        <w:jc w:val="both"/>
        <w:rPr>
          <w:rFonts w:asciiTheme="majorBidi" w:hAnsiTheme="majorBidi" w:cstheme="majorBidi"/>
          <w:sz w:val="24"/>
          <w:szCs w:val="24"/>
          <w:lang w:bidi="ar-DZ"/>
        </w:rPr>
      </w:pPr>
      <w:r>
        <w:rPr>
          <w:rFonts w:asciiTheme="majorBidi" w:hAnsiTheme="majorBidi" w:cstheme="majorBidi"/>
          <w:b/>
          <w:bCs/>
          <w:sz w:val="24"/>
          <w:szCs w:val="24"/>
          <w:u w:val="single"/>
          <w:lang w:bidi="ar-DZ"/>
        </w:rPr>
        <w:t>Le rendement d’extraction :</w:t>
      </w:r>
    </w:p>
    <w:p w14:paraId="722A8A84" w14:textId="77777777" w:rsidR="003E3FB4" w:rsidRDefault="00385ED0">
      <w:pPr>
        <w:tabs>
          <w:tab w:val="left" w:pos="6173"/>
        </w:tabs>
        <w:spacing w:line="360" w:lineRule="auto"/>
        <w:rPr>
          <w:rFonts w:asciiTheme="majorBidi" w:hAnsiTheme="majorBidi" w:cstheme="majorBidi"/>
          <w:b/>
          <w:bCs/>
          <w:sz w:val="24"/>
          <w:szCs w:val="24"/>
          <w:lang w:bidi="ar-DZ"/>
        </w:rPr>
      </w:pPr>
      <w:r>
        <w:rPr>
          <w:rFonts w:asciiTheme="majorBidi" w:hAnsiTheme="majorBidi" w:cstheme="majorBidi"/>
          <w:sz w:val="24"/>
          <w:szCs w:val="24"/>
        </w:rPr>
        <w:t>Les rendements d’extraction ont été calculés selon la formule suivante </w:t>
      </w:r>
      <w:r>
        <w:rPr>
          <w:rFonts w:asciiTheme="majorBidi" w:hAnsiTheme="majorBidi" w:cstheme="majorBidi"/>
          <w:b/>
          <w:bCs/>
          <w:spacing w:val="-10"/>
          <w:sz w:val="24"/>
          <w:szCs w:val="24"/>
        </w:rPr>
        <w:t>(</w:t>
      </w:r>
      <w:r>
        <w:rPr>
          <w:rFonts w:asciiTheme="majorBidi" w:hAnsiTheme="majorBidi" w:cstheme="majorBidi"/>
          <w:b/>
          <w:bCs/>
          <w:sz w:val="24"/>
          <w:szCs w:val="24"/>
        </w:rPr>
        <w:t xml:space="preserve">Falleh et </w:t>
      </w:r>
      <w:r>
        <w:rPr>
          <w:rFonts w:asciiTheme="majorBidi" w:hAnsiTheme="majorBidi" w:cstheme="majorBidi"/>
          <w:b/>
          <w:bCs/>
          <w:i/>
          <w:iCs/>
          <w:sz w:val="24"/>
          <w:szCs w:val="24"/>
        </w:rPr>
        <w:t>al.,</w:t>
      </w:r>
      <w:r>
        <w:rPr>
          <w:rFonts w:asciiTheme="majorBidi" w:hAnsiTheme="majorBidi" w:cstheme="majorBidi"/>
          <w:b/>
          <w:bCs/>
          <w:sz w:val="24"/>
          <w:szCs w:val="24"/>
        </w:rPr>
        <w:t xml:space="preserve"> (2008) :</w:t>
      </w:r>
    </w:p>
    <w:p w14:paraId="6510E1FC" w14:textId="77777777" w:rsidR="003E3FB4" w:rsidRDefault="00385ED0">
      <w:r>
        <w:rPr>
          <w:noProof/>
        </w:rPr>
        <w:drawing>
          <wp:inline distT="0" distB="0" distL="0" distR="0" wp14:anchorId="2B49F6D1" wp14:editId="4F8E7AA1">
            <wp:extent cx="5801360" cy="647700"/>
            <wp:effectExtent l="0" t="0" r="8890" b="0"/>
            <wp:docPr id="740769227"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0769227" name="Image 1"/>
                    <pic:cNvPicPr>
                      <a:picLocks noChangeAspect="1"/>
                    </pic:cNvPicPr>
                  </pic:nvPicPr>
                  <pic:blipFill>
                    <a:blip r:embed="rId31"/>
                    <a:stretch>
                      <a:fillRect/>
                    </a:stretch>
                  </pic:blipFill>
                  <pic:spPr>
                    <a:xfrm>
                      <a:off x="0" y="0"/>
                      <a:ext cx="5801360" cy="647700"/>
                    </a:xfrm>
                    <a:prstGeom prst="rect">
                      <a:avLst/>
                    </a:prstGeom>
                  </pic:spPr>
                </pic:pic>
              </a:graphicData>
            </a:graphic>
          </wp:inline>
        </w:drawing>
      </w:r>
      <w:bookmarkStart w:id="11" w:name="_Toc170075063"/>
      <w:bookmarkStart w:id="12" w:name="_Toc169995388"/>
    </w:p>
    <w:p w14:paraId="53BA8073" w14:textId="77777777" w:rsidR="003E3FB4" w:rsidRDefault="00385ED0">
      <w:pPr>
        <w:rPr>
          <w:rFonts w:asciiTheme="majorBidi" w:hAnsiTheme="majorBidi" w:cstheme="majorBidi"/>
          <w:b/>
          <w:bCs/>
          <w:sz w:val="24"/>
          <w:szCs w:val="24"/>
        </w:rPr>
      </w:pPr>
      <w:r>
        <w:rPr>
          <w:rFonts w:asciiTheme="majorBidi" w:hAnsiTheme="majorBidi" w:cstheme="majorBidi"/>
          <w:b/>
          <w:bCs/>
          <w:sz w:val="24"/>
          <w:szCs w:val="24"/>
        </w:rPr>
        <w:t>II.3. Etude phytochimique</w:t>
      </w:r>
      <w:bookmarkEnd w:id="11"/>
      <w:bookmarkEnd w:id="12"/>
    </w:p>
    <w:p w14:paraId="34DE97F1" w14:textId="77777777" w:rsidR="003E3FB4" w:rsidRDefault="00385ED0">
      <w:pPr>
        <w:spacing w:after="180" w:line="360" w:lineRule="auto"/>
        <w:ind w:firstLine="709"/>
        <w:jc w:val="both"/>
        <w:rPr>
          <w:rFonts w:asciiTheme="majorBidi" w:hAnsiTheme="majorBidi" w:cstheme="majorBidi"/>
          <w:sz w:val="24"/>
          <w:szCs w:val="24"/>
          <w:lang w:bidi="ar-DZ"/>
        </w:rPr>
      </w:pPr>
      <w:r>
        <w:rPr>
          <w:rFonts w:asciiTheme="majorBidi" w:hAnsiTheme="majorBidi" w:cstheme="majorBidi"/>
          <w:sz w:val="24"/>
          <w:szCs w:val="24"/>
          <w:lang w:bidi="ar-DZ"/>
        </w:rPr>
        <w:t>Afin de détecter la présence ou l’absence de certains composés appartenant aux principales familles de métabolites secondaires, des tests phytochimiques qualitatifs spécifiques ont été réalisés. Ces tests reposent sur des réactions caractéristiques telles que des changements de couleur, la formation de précipités ou de turbidité.</w:t>
      </w:r>
    </w:p>
    <w:p w14:paraId="5A77BC0F" w14:textId="77777777" w:rsidR="003E3FB4" w:rsidRDefault="00385ED0">
      <w:pPr>
        <w:spacing w:after="180" w:line="360" w:lineRule="auto"/>
        <w:ind w:firstLine="567"/>
        <w:jc w:val="both"/>
        <w:rPr>
          <w:rFonts w:asciiTheme="majorBidi" w:hAnsiTheme="majorBidi" w:cstheme="majorBidi"/>
          <w:sz w:val="24"/>
          <w:szCs w:val="24"/>
          <w:lang w:bidi="ar-DZ"/>
        </w:rPr>
      </w:pPr>
      <w:r>
        <w:rPr>
          <w:rFonts w:asciiTheme="majorBidi" w:hAnsiTheme="majorBidi" w:cstheme="majorBidi"/>
          <w:sz w:val="24"/>
          <w:szCs w:val="24"/>
          <w:lang w:bidi="ar-DZ"/>
        </w:rPr>
        <w:lastRenderedPageBreak/>
        <w:t xml:space="preserve">L’analyse phytochimique des graines de </w:t>
      </w:r>
      <w:r>
        <w:rPr>
          <w:rFonts w:asciiTheme="majorBidi" w:hAnsiTheme="majorBidi" w:cstheme="majorBidi"/>
          <w:i/>
          <w:iCs/>
          <w:sz w:val="24"/>
          <w:szCs w:val="24"/>
          <w:lang w:bidi="ar-DZ"/>
        </w:rPr>
        <w:t>Trigonella foenum-graecum</w:t>
      </w:r>
      <w:r>
        <w:rPr>
          <w:rFonts w:asciiTheme="majorBidi" w:hAnsiTheme="majorBidi" w:cstheme="majorBidi"/>
          <w:sz w:val="24"/>
          <w:szCs w:val="24"/>
          <w:lang w:bidi="ar-DZ"/>
        </w:rPr>
        <w:t xml:space="preserve"> L. a été conduite selon le protocole décrit par </w:t>
      </w:r>
      <w:r>
        <w:rPr>
          <w:rFonts w:asciiTheme="majorBidi" w:hAnsiTheme="majorBidi" w:cstheme="majorBidi"/>
          <w:b/>
          <w:bCs/>
          <w:sz w:val="24"/>
          <w:szCs w:val="24"/>
          <w:lang w:bidi="ar-DZ"/>
        </w:rPr>
        <w:t>Evans, (1996)</w:t>
      </w:r>
      <w:r>
        <w:rPr>
          <w:rFonts w:asciiTheme="majorBidi" w:hAnsiTheme="majorBidi" w:cstheme="majorBidi"/>
          <w:sz w:val="24"/>
          <w:szCs w:val="24"/>
          <w:lang w:bidi="ar-DZ"/>
        </w:rPr>
        <w:t>. Les résultats obtenus sont classés en fonction des groupes chimiques identifiés.</w:t>
      </w:r>
    </w:p>
    <w:p w14:paraId="3E767E8A" w14:textId="77777777" w:rsidR="003E3FB4" w:rsidRDefault="00385ED0">
      <w:pPr>
        <w:pStyle w:val="Paragraphedeliste"/>
        <w:numPr>
          <w:ilvl w:val="0"/>
          <w:numId w:val="4"/>
        </w:numPr>
        <w:spacing w:after="0" w:line="360" w:lineRule="auto"/>
        <w:jc w:val="both"/>
        <w:rPr>
          <w:rFonts w:asciiTheme="majorBidi" w:hAnsiTheme="majorBidi" w:cstheme="majorBidi"/>
          <w:sz w:val="24"/>
          <w:szCs w:val="24"/>
        </w:rPr>
      </w:pPr>
      <w:r>
        <w:rPr>
          <w:rFonts w:asciiTheme="majorBidi" w:hAnsiTheme="majorBidi" w:cstheme="majorBidi"/>
          <w:sz w:val="24"/>
          <w:szCs w:val="24"/>
        </w:rPr>
        <w:t>Réaction franchement positive : + + + +</w:t>
      </w:r>
    </w:p>
    <w:p w14:paraId="62E14DF8" w14:textId="77777777" w:rsidR="003E3FB4" w:rsidRDefault="00385ED0">
      <w:pPr>
        <w:pStyle w:val="Paragraphedeliste"/>
        <w:numPr>
          <w:ilvl w:val="0"/>
          <w:numId w:val="4"/>
        </w:numPr>
        <w:spacing w:line="360" w:lineRule="auto"/>
        <w:jc w:val="lowKashida"/>
        <w:rPr>
          <w:rFonts w:asciiTheme="majorBidi" w:hAnsiTheme="majorBidi" w:cstheme="majorBidi"/>
          <w:sz w:val="24"/>
          <w:szCs w:val="24"/>
        </w:rPr>
      </w:pPr>
      <w:r>
        <w:rPr>
          <w:rFonts w:asciiTheme="majorBidi" w:hAnsiTheme="majorBidi" w:cstheme="majorBidi"/>
          <w:sz w:val="24"/>
          <w:szCs w:val="24"/>
        </w:rPr>
        <w:t>Réaction positive : + + +</w:t>
      </w:r>
    </w:p>
    <w:p w14:paraId="78791B20" w14:textId="77777777" w:rsidR="003E3FB4" w:rsidRDefault="00385ED0">
      <w:pPr>
        <w:pStyle w:val="Paragraphedeliste"/>
        <w:numPr>
          <w:ilvl w:val="0"/>
          <w:numId w:val="4"/>
        </w:numPr>
        <w:spacing w:line="360" w:lineRule="auto"/>
        <w:jc w:val="lowKashida"/>
        <w:rPr>
          <w:rFonts w:asciiTheme="majorBidi" w:hAnsiTheme="majorBidi" w:cstheme="majorBidi"/>
          <w:sz w:val="24"/>
          <w:szCs w:val="24"/>
        </w:rPr>
      </w:pPr>
      <w:r>
        <w:rPr>
          <w:rFonts w:asciiTheme="majorBidi" w:hAnsiTheme="majorBidi" w:cstheme="majorBidi"/>
          <w:sz w:val="24"/>
          <w:szCs w:val="24"/>
        </w:rPr>
        <w:t>Réaction très faible ou douteuse : +/-</w:t>
      </w:r>
    </w:p>
    <w:p w14:paraId="59129A60" w14:textId="77777777" w:rsidR="003E3FB4" w:rsidRDefault="00385ED0">
      <w:pPr>
        <w:pStyle w:val="Paragraphedeliste"/>
        <w:numPr>
          <w:ilvl w:val="0"/>
          <w:numId w:val="4"/>
        </w:numPr>
        <w:spacing w:line="360" w:lineRule="auto"/>
        <w:jc w:val="lowKashida"/>
        <w:rPr>
          <w:rFonts w:asciiTheme="majorBidi" w:hAnsiTheme="majorBidi" w:cstheme="majorBidi"/>
          <w:b/>
          <w:bCs/>
          <w:sz w:val="24"/>
          <w:szCs w:val="24"/>
        </w:rPr>
      </w:pPr>
      <w:r>
        <w:rPr>
          <w:rFonts w:asciiTheme="majorBidi" w:hAnsiTheme="majorBidi" w:cstheme="majorBidi"/>
          <w:sz w:val="24"/>
          <w:szCs w:val="24"/>
        </w:rPr>
        <w:t>Réaction négative : 0</w:t>
      </w:r>
    </w:p>
    <w:p w14:paraId="39B9498A" w14:textId="0EFB0F5F" w:rsidR="003E3FB4" w:rsidRDefault="00385ED0">
      <w:pPr>
        <w:spacing w:line="360" w:lineRule="auto"/>
        <w:jc w:val="lowKashida"/>
        <w:rPr>
          <w:rFonts w:asciiTheme="majorBidi" w:hAnsiTheme="majorBidi" w:cstheme="majorBidi"/>
          <w:b/>
          <w:bCs/>
          <w:sz w:val="24"/>
          <w:szCs w:val="24"/>
        </w:rPr>
      </w:pPr>
      <w:r>
        <w:rPr>
          <w:rFonts w:asciiTheme="majorBidi" w:hAnsiTheme="majorBidi" w:cstheme="majorBidi"/>
          <w:b/>
          <w:bCs/>
          <w:sz w:val="24"/>
          <w:szCs w:val="24"/>
        </w:rPr>
        <w:t xml:space="preserve">II.3.1. </w:t>
      </w:r>
      <w:r w:rsidR="008520CA">
        <w:rPr>
          <w:rFonts w:asciiTheme="majorBidi" w:hAnsiTheme="majorBidi" w:cstheme="majorBidi"/>
          <w:b/>
          <w:bCs/>
          <w:sz w:val="24"/>
          <w:szCs w:val="24"/>
        </w:rPr>
        <w:t>Flavonoïdes</w:t>
      </w:r>
      <w:r>
        <w:rPr>
          <w:rFonts w:asciiTheme="majorBidi" w:hAnsiTheme="majorBidi" w:cstheme="majorBidi"/>
          <w:b/>
          <w:bCs/>
          <w:sz w:val="24"/>
          <w:szCs w:val="24"/>
        </w:rPr>
        <w:t xml:space="preserve"> </w:t>
      </w:r>
    </w:p>
    <w:p w14:paraId="144705DB" w14:textId="77777777" w:rsidR="003E3FB4" w:rsidRDefault="00385ED0">
      <w:pPr>
        <w:spacing w:after="0" w:line="360" w:lineRule="auto"/>
        <w:ind w:firstLine="567"/>
        <w:jc w:val="lowKashida"/>
        <w:rPr>
          <w:rFonts w:asciiTheme="majorBidi" w:hAnsiTheme="majorBidi" w:cstheme="majorBidi"/>
          <w:sz w:val="24"/>
          <w:szCs w:val="24"/>
        </w:rPr>
      </w:pPr>
      <w:r>
        <w:rPr>
          <w:rFonts w:asciiTheme="majorBidi" w:hAnsiTheme="majorBidi" w:cstheme="majorBidi"/>
          <w:sz w:val="24"/>
          <w:szCs w:val="24"/>
        </w:rPr>
        <w:t>Quelques gouttes d'acide chlorhydrique concentré (HCL) et 0,1 g de magnésium (Mg) sont ajoutés à 1 ml d'extrait aqueux et éthanolique et laissés 3 minutes. La présence de couleur orange ou rouge indique la présence de flavonoïdes.</w:t>
      </w:r>
      <w:bookmarkStart w:id="13" w:name="_Toc170075065"/>
      <w:bookmarkStart w:id="14" w:name="_Toc169995389"/>
    </w:p>
    <w:p w14:paraId="03B86A6B" w14:textId="77777777" w:rsidR="003E3FB4" w:rsidRDefault="00385ED0">
      <w:pPr>
        <w:spacing w:after="0" w:line="360" w:lineRule="auto"/>
        <w:jc w:val="lowKashida"/>
        <w:rPr>
          <w:rFonts w:asciiTheme="majorBidi" w:hAnsiTheme="majorBidi" w:cstheme="majorBidi"/>
          <w:b/>
          <w:bCs/>
          <w:sz w:val="24"/>
          <w:szCs w:val="24"/>
        </w:rPr>
      </w:pPr>
      <w:r>
        <w:rPr>
          <w:rFonts w:asciiTheme="majorBidi" w:hAnsiTheme="majorBidi" w:cstheme="majorBidi"/>
          <w:b/>
          <w:bCs/>
          <w:sz w:val="24"/>
          <w:szCs w:val="24"/>
        </w:rPr>
        <w:t>II.3.2. Tanins</w:t>
      </w:r>
      <w:bookmarkEnd w:id="13"/>
      <w:bookmarkEnd w:id="14"/>
    </w:p>
    <w:p w14:paraId="54D745C4" w14:textId="39A9C97A" w:rsidR="003E3FB4" w:rsidRDefault="00385ED0">
      <w:pPr>
        <w:spacing w:line="360" w:lineRule="auto"/>
        <w:ind w:firstLine="567"/>
        <w:jc w:val="lowKashida"/>
        <w:rPr>
          <w:rFonts w:asciiTheme="majorBidi" w:hAnsiTheme="majorBidi" w:cstheme="majorBidi"/>
          <w:color w:val="000000" w:themeColor="text1"/>
          <w:sz w:val="24"/>
          <w:szCs w:val="24"/>
        </w:rPr>
      </w:pPr>
      <w:r>
        <w:rPr>
          <w:rFonts w:asciiTheme="majorBidi" w:hAnsiTheme="majorBidi" w:cstheme="majorBidi"/>
          <w:sz w:val="24"/>
          <w:szCs w:val="24"/>
        </w:rPr>
        <w:t xml:space="preserve">Une quantité de 1,5 g de feuilles sèches en poudre a été mélangée avec 10 ml d’éthanol 80% (extrait éthanolique) et dans 10ml </w:t>
      </w:r>
      <w:r w:rsidR="00922698">
        <w:rPr>
          <w:rFonts w:asciiTheme="majorBidi" w:hAnsiTheme="majorBidi" w:cstheme="majorBidi"/>
          <w:sz w:val="24"/>
          <w:szCs w:val="24"/>
        </w:rPr>
        <w:t xml:space="preserve">d’eau distillée </w:t>
      </w:r>
      <w:r>
        <w:rPr>
          <w:rFonts w:asciiTheme="majorBidi" w:hAnsiTheme="majorBidi" w:cstheme="majorBidi"/>
          <w:sz w:val="24"/>
          <w:szCs w:val="24"/>
        </w:rPr>
        <w:t>(extrait aqueux) puis l’ensemble est agité durant 15 min puis filtré. On ajoute quelques gouttes du chlorure ferrique (FeCl</w:t>
      </w:r>
      <w:r>
        <w:rPr>
          <w:rFonts w:asciiTheme="majorBidi" w:hAnsiTheme="majorBidi" w:cstheme="majorBidi"/>
          <w:sz w:val="24"/>
          <w:szCs w:val="24"/>
          <w:vertAlign w:val="subscript"/>
        </w:rPr>
        <w:t>3</w:t>
      </w:r>
      <w:r>
        <w:rPr>
          <w:rFonts w:asciiTheme="majorBidi" w:hAnsiTheme="majorBidi" w:cstheme="majorBidi"/>
          <w:sz w:val="24"/>
          <w:szCs w:val="24"/>
        </w:rPr>
        <w:t>)1% à l'extrait éthanolique et l’extrait aqueux déjà préparé</w:t>
      </w:r>
      <w:r>
        <w:rPr>
          <w:rFonts w:asciiTheme="majorBidi" w:hAnsiTheme="majorBidi" w:cstheme="majorBidi"/>
          <w:color w:val="000000" w:themeColor="text1"/>
          <w:sz w:val="24"/>
          <w:szCs w:val="24"/>
        </w:rPr>
        <w:t>. Une couleur bleu-noir est observée, ce qui indique la présence de tanins galliques et ellagiques, la couleur brune verdâtre indique la présence de tanins catéchiques.</w:t>
      </w:r>
      <w:bookmarkStart w:id="15" w:name="_Toc169995390"/>
      <w:bookmarkStart w:id="16" w:name="_Toc170075066"/>
    </w:p>
    <w:p w14:paraId="619C4133" w14:textId="77777777" w:rsidR="003E3FB4" w:rsidRDefault="00385ED0">
      <w:pPr>
        <w:spacing w:line="360" w:lineRule="auto"/>
        <w:jc w:val="lowKashida"/>
        <w:rPr>
          <w:rFonts w:asciiTheme="majorBidi" w:hAnsiTheme="majorBidi" w:cstheme="majorBidi"/>
          <w:b/>
          <w:bCs/>
          <w:sz w:val="24"/>
          <w:szCs w:val="24"/>
        </w:rPr>
      </w:pPr>
      <w:r>
        <w:rPr>
          <w:rFonts w:asciiTheme="majorBidi" w:hAnsiTheme="majorBidi" w:cstheme="majorBidi"/>
          <w:b/>
          <w:bCs/>
          <w:color w:val="000000" w:themeColor="text1"/>
          <w:sz w:val="24"/>
          <w:szCs w:val="24"/>
        </w:rPr>
        <w:t xml:space="preserve">II.3.3. </w:t>
      </w:r>
      <w:r>
        <w:rPr>
          <w:rFonts w:asciiTheme="majorBidi" w:hAnsiTheme="majorBidi" w:cstheme="majorBidi"/>
          <w:b/>
          <w:bCs/>
          <w:sz w:val="24"/>
          <w:szCs w:val="24"/>
        </w:rPr>
        <w:t>Saponines</w:t>
      </w:r>
      <w:bookmarkEnd w:id="15"/>
      <w:bookmarkEnd w:id="16"/>
    </w:p>
    <w:p w14:paraId="427E28EE" w14:textId="77777777" w:rsidR="003E3FB4" w:rsidRDefault="00385ED0">
      <w:pPr>
        <w:spacing w:line="360" w:lineRule="auto"/>
        <w:ind w:firstLine="567"/>
        <w:jc w:val="both"/>
        <w:rPr>
          <w:rFonts w:asciiTheme="majorBidi" w:hAnsiTheme="majorBidi" w:cstheme="majorBidi"/>
          <w:sz w:val="24"/>
          <w:szCs w:val="24"/>
        </w:rPr>
      </w:pPr>
      <w:bookmarkStart w:id="17" w:name="_Toc169995391"/>
      <w:r>
        <w:rPr>
          <w:rFonts w:asciiTheme="majorBidi" w:hAnsiTheme="majorBidi" w:cstheme="majorBidi"/>
          <w:sz w:val="24"/>
          <w:szCs w:val="24"/>
        </w:rPr>
        <w:t>Les saponines sont révélées grâce à la réaction de Libermann-Burchard, 1 ml d’anhydride acétique (C</w:t>
      </w:r>
      <w:r>
        <w:rPr>
          <w:rFonts w:asciiTheme="majorBidi" w:hAnsiTheme="majorBidi" w:cstheme="majorBidi"/>
          <w:sz w:val="24"/>
          <w:szCs w:val="24"/>
          <w:vertAlign w:val="subscript"/>
        </w:rPr>
        <w:t>4</w:t>
      </w:r>
      <w:r>
        <w:rPr>
          <w:rFonts w:asciiTheme="majorBidi" w:hAnsiTheme="majorBidi" w:cstheme="majorBidi"/>
          <w:sz w:val="24"/>
          <w:szCs w:val="24"/>
        </w:rPr>
        <w:t>H</w:t>
      </w:r>
      <w:r>
        <w:rPr>
          <w:rFonts w:asciiTheme="majorBidi" w:hAnsiTheme="majorBidi" w:cstheme="majorBidi"/>
          <w:sz w:val="24"/>
          <w:szCs w:val="24"/>
          <w:vertAlign w:val="subscript"/>
        </w:rPr>
        <w:t>6</w:t>
      </w:r>
      <w:r>
        <w:rPr>
          <w:rFonts w:asciiTheme="majorBidi" w:hAnsiTheme="majorBidi" w:cstheme="majorBidi"/>
          <w:sz w:val="24"/>
          <w:szCs w:val="24"/>
        </w:rPr>
        <w:t>O</w:t>
      </w:r>
      <w:r>
        <w:rPr>
          <w:rFonts w:asciiTheme="majorBidi" w:hAnsiTheme="majorBidi" w:cstheme="majorBidi"/>
          <w:sz w:val="24"/>
          <w:szCs w:val="24"/>
          <w:vertAlign w:val="subscript"/>
        </w:rPr>
        <w:t>3</w:t>
      </w:r>
      <w:r>
        <w:rPr>
          <w:rFonts w:asciiTheme="majorBidi" w:hAnsiTheme="majorBidi" w:cstheme="majorBidi"/>
          <w:sz w:val="24"/>
          <w:szCs w:val="24"/>
        </w:rPr>
        <w:t>) et quelques gouttes d’H</w:t>
      </w:r>
      <w:r>
        <w:rPr>
          <w:rFonts w:asciiTheme="majorBidi" w:hAnsiTheme="majorBidi" w:cstheme="majorBidi"/>
          <w:sz w:val="24"/>
          <w:szCs w:val="24"/>
          <w:vertAlign w:val="subscript"/>
        </w:rPr>
        <w:t>2</w:t>
      </w:r>
      <w:r>
        <w:rPr>
          <w:rFonts w:asciiTheme="majorBidi" w:hAnsiTheme="majorBidi" w:cstheme="majorBidi"/>
          <w:sz w:val="24"/>
          <w:szCs w:val="24"/>
        </w:rPr>
        <w:t>SO</w:t>
      </w:r>
      <w:r>
        <w:rPr>
          <w:rFonts w:asciiTheme="majorBidi" w:hAnsiTheme="majorBidi" w:cstheme="majorBidi"/>
          <w:sz w:val="24"/>
          <w:szCs w:val="24"/>
          <w:vertAlign w:val="subscript"/>
        </w:rPr>
        <w:t>4</w:t>
      </w:r>
      <w:r>
        <w:rPr>
          <w:rFonts w:asciiTheme="majorBidi" w:hAnsiTheme="majorBidi" w:cstheme="majorBidi"/>
          <w:sz w:val="24"/>
          <w:szCs w:val="24"/>
        </w:rPr>
        <w:t xml:space="preserve"> concentrée sont ajoutés à 1ml d'extrait aqueux et éthanolique. Les stéroïdes donnent avec cette réaction une coloration rouge, alors que, les triterpènes donnent une coloration verte.</w:t>
      </w:r>
      <w:bookmarkStart w:id="18" w:name="_Toc170075067"/>
      <w:bookmarkStart w:id="19" w:name="_Toc169995392"/>
      <w:bookmarkEnd w:id="17"/>
    </w:p>
    <w:p w14:paraId="7CF4FF69" w14:textId="77777777" w:rsidR="003E3FB4" w:rsidRDefault="00385ED0">
      <w:pPr>
        <w:spacing w:line="360" w:lineRule="auto"/>
        <w:rPr>
          <w:rFonts w:asciiTheme="majorBidi" w:hAnsiTheme="majorBidi" w:cstheme="majorBidi"/>
          <w:b/>
          <w:bCs/>
          <w:sz w:val="24"/>
          <w:szCs w:val="24"/>
        </w:rPr>
      </w:pPr>
      <w:r>
        <w:rPr>
          <w:rFonts w:asciiTheme="majorBidi" w:hAnsiTheme="majorBidi" w:cstheme="majorBidi"/>
          <w:b/>
          <w:bCs/>
          <w:sz w:val="24"/>
          <w:szCs w:val="24"/>
        </w:rPr>
        <w:t>II.3.4. Quinones libres</w:t>
      </w:r>
      <w:bookmarkEnd w:id="18"/>
      <w:bookmarkEnd w:id="19"/>
    </w:p>
    <w:p w14:paraId="5DF74DE3" w14:textId="07D6466B" w:rsidR="003E3FB4" w:rsidRDefault="00385ED0">
      <w:pPr>
        <w:spacing w:line="360" w:lineRule="auto"/>
        <w:ind w:firstLine="567"/>
        <w:jc w:val="lowKashida"/>
        <w:rPr>
          <w:rFonts w:asciiTheme="majorBidi" w:hAnsiTheme="majorBidi" w:cstheme="majorBidi"/>
          <w:sz w:val="24"/>
          <w:szCs w:val="24"/>
        </w:rPr>
      </w:pPr>
      <w:r>
        <w:rPr>
          <w:rFonts w:asciiTheme="majorBidi" w:hAnsiTheme="majorBidi" w:cstheme="majorBidi"/>
          <w:sz w:val="24"/>
          <w:szCs w:val="24"/>
        </w:rPr>
        <w:t xml:space="preserve">Quelques gouttes de NaOH à 1% sont ajoutées à 1ml d’extrait aqueux et </w:t>
      </w:r>
      <w:r w:rsidR="00922698">
        <w:rPr>
          <w:rFonts w:asciiTheme="majorBidi" w:hAnsiTheme="majorBidi" w:cstheme="majorBidi"/>
          <w:sz w:val="24"/>
          <w:szCs w:val="24"/>
        </w:rPr>
        <w:t xml:space="preserve">1ml d’extrait </w:t>
      </w:r>
      <w:r>
        <w:rPr>
          <w:rFonts w:asciiTheme="majorBidi" w:hAnsiTheme="majorBidi" w:cstheme="majorBidi"/>
          <w:sz w:val="24"/>
          <w:szCs w:val="24"/>
        </w:rPr>
        <w:t>éthanolique. L’apparition d’une couleur qui vire au jaune, rouge ou violet indique la présence des quinones libres.</w:t>
      </w:r>
    </w:p>
    <w:p w14:paraId="7373E949" w14:textId="77777777" w:rsidR="003E3FB4" w:rsidRDefault="00385ED0">
      <w:pPr>
        <w:spacing w:line="360" w:lineRule="auto"/>
        <w:jc w:val="lowKashida"/>
        <w:rPr>
          <w:rFonts w:asciiTheme="majorBidi" w:hAnsiTheme="majorBidi" w:cstheme="majorBidi"/>
          <w:b/>
          <w:bCs/>
          <w:sz w:val="24"/>
          <w:szCs w:val="24"/>
        </w:rPr>
      </w:pPr>
      <w:r>
        <w:rPr>
          <w:rFonts w:asciiTheme="majorBidi" w:hAnsiTheme="majorBidi" w:cstheme="majorBidi"/>
          <w:b/>
          <w:bCs/>
          <w:sz w:val="24"/>
          <w:szCs w:val="24"/>
        </w:rPr>
        <w:t>II.3.5. Alcaloïdes</w:t>
      </w:r>
    </w:p>
    <w:p w14:paraId="40C97DF8" w14:textId="77777777" w:rsidR="003E3FB4" w:rsidRDefault="00385ED0">
      <w:pPr>
        <w:spacing w:after="0" w:line="360" w:lineRule="auto"/>
        <w:ind w:firstLine="567"/>
        <w:jc w:val="lowKashida"/>
        <w:rPr>
          <w:rFonts w:asciiTheme="majorBidi" w:hAnsiTheme="majorBidi" w:cstheme="majorBidi"/>
          <w:sz w:val="24"/>
          <w:szCs w:val="24"/>
        </w:rPr>
      </w:pPr>
      <w:bookmarkStart w:id="20" w:name="_Toc169995393"/>
      <w:bookmarkStart w:id="21" w:name="_Toc170075068"/>
      <w:r>
        <w:rPr>
          <w:rFonts w:asciiTheme="majorBidi" w:hAnsiTheme="majorBidi" w:cstheme="majorBidi"/>
          <w:sz w:val="24"/>
          <w:szCs w:val="24"/>
        </w:rPr>
        <w:t xml:space="preserve">2 ml d'acide chlorhydrique à 1 % sont ajoutés à 1 ml de chaque extrait de fenugrec, le tout est chauffé au bain-marie, poison divise chaque extrait en deux volumes égaux. Un volume est </w:t>
      </w:r>
      <w:r>
        <w:rPr>
          <w:rFonts w:asciiTheme="majorBidi" w:hAnsiTheme="majorBidi" w:cstheme="majorBidi"/>
          <w:sz w:val="24"/>
          <w:szCs w:val="24"/>
        </w:rPr>
        <w:lastRenderedPageBreak/>
        <w:t xml:space="preserve">traité par le réactif de Mayer, l'autre par le réactif de Wagner. La formation d'un précipité blanc jaunâtre par le réactif de Mayer ou rouge orangé à brun pour le réactif Wagner </w:t>
      </w:r>
      <w:r>
        <w:rPr>
          <w:rFonts w:asciiTheme="majorBidi" w:hAnsiTheme="majorBidi" w:cstheme="majorBidi"/>
          <w:b/>
          <w:bCs/>
          <w:sz w:val="24"/>
          <w:szCs w:val="24"/>
        </w:rPr>
        <w:t xml:space="preserve">(Chaouche et </w:t>
      </w:r>
      <w:r>
        <w:rPr>
          <w:rFonts w:asciiTheme="majorBidi" w:hAnsiTheme="majorBidi" w:cstheme="majorBidi"/>
          <w:b/>
          <w:bCs/>
          <w:i/>
          <w:iCs/>
          <w:sz w:val="24"/>
          <w:szCs w:val="24"/>
        </w:rPr>
        <w:t>al.</w:t>
      </w:r>
      <w:r>
        <w:rPr>
          <w:rFonts w:asciiTheme="majorBidi" w:hAnsiTheme="majorBidi" w:cstheme="majorBidi"/>
          <w:b/>
          <w:bCs/>
          <w:sz w:val="24"/>
          <w:szCs w:val="24"/>
        </w:rPr>
        <w:t>, 2021)</w:t>
      </w:r>
      <w:r>
        <w:rPr>
          <w:rFonts w:asciiTheme="majorBidi" w:hAnsiTheme="majorBidi" w:cstheme="majorBidi"/>
          <w:sz w:val="24"/>
          <w:szCs w:val="24"/>
        </w:rPr>
        <w:t>.</w:t>
      </w:r>
    </w:p>
    <w:p w14:paraId="0CF27507" w14:textId="77777777" w:rsidR="003E3FB4" w:rsidRDefault="00385ED0">
      <w:pPr>
        <w:spacing w:after="0" w:line="360" w:lineRule="auto"/>
        <w:jc w:val="lowKashida"/>
        <w:rPr>
          <w:rFonts w:asciiTheme="majorBidi" w:hAnsiTheme="majorBidi" w:cstheme="majorBidi"/>
          <w:b/>
          <w:bCs/>
          <w:sz w:val="24"/>
          <w:szCs w:val="24"/>
        </w:rPr>
      </w:pPr>
      <w:r>
        <w:rPr>
          <w:rFonts w:asciiTheme="majorBidi" w:hAnsiTheme="majorBidi" w:cstheme="majorBidi"/>
          <w:b/>
          <w:bCs/>
          <w:sz w:val="24"/>
          <w:szCs w:val="24"/>
        </w:rPr>
        <w:t>II 4. Dosage des composés phénoliques</w:t>
      </w:r>
      <w:bookmarkStart w:id="22" w:name="_Toc170075069"/>
      <w:bookmarkStart w:id="23" w:name="_Toc169995394"/>
      <w:bookmarkEnd w:id="20"/>
      <w:bookmarkEnd w:id="21"/>
    </w:p>
    <w:p w14:paraId="4C805087" w14:textId="77777777" w:rsidR="003E3FB4" w:rsidRDefault="00385ED0">
      <w:pPr>
        <w:spacing w:after="0" w:line="360" w:lineRule="auto"/>
        <w:jc w:val="lowKashida"/>
        <w:rPr>
          <w:rFonts w:asciiTheme="majorBidi" w:hAnsiTheme="majorBidi" w:cstheme="majorBidi"/>
          <w:b/>
          <w:bCs/>
          <w:sz w:val="24"/>
          <w:szCs w:val="24"/>
        </w:rPr>
      </w:pPr>
      <w:r>
        <w:rPr>
          <w:rFonts w:asciiTheme="majorBidi" w:hAnsiTheme="majorBidi" w:cstheme="majorBidi"/>
          <w:b/>
          <w:bCs/>
          <w:sz w:val="24"/>
          <w:szCs w:val="24"/>
        </w:rPr>
        <w:t>II.4.1. Dosage des polyphénols totaux</w:t>
      </w:r>
      <w:bookmarkEnd w:id="22"/>
      <w:bookmarkEnd w:id="23"/>
    </w:p>
    <w:p w14:paraId="719E33B7" w14:textId="77777777" w:rsidR="003E3FB4" w:rsidRDefault="00385ED0">
      <w:pPr>
        <w:spacing w:after="0" w:line="360" w:lineRule="auto"/>
        <w:ind w:firstLine="567"/>
        <w:jc w:val="lowKashida"/>
        <w:rPr>
          <w:rFonts w:asciiTheme="majorBidi" w:hAnsiTheme="majorBidi" w:cstheme="majorBidi"/>
          <w:color w:val="000000" w:themeColor="text1"/>
          <w:sz w:val="24"/>
          <w:szCs w:val="24"/>
        </w:rPr>
      </w:pPr>
      <w:r>
        <w:rPr>
          <w:rFonts w:asciiTheme="majorBidi" w:hAnsiTheme="majorBidi" w:cstheme="majorBidi"/>
          <w:sz w:val="24"/>
          <w:szCs w:val="24"/>
        </w:rPr>
        <w:t xml:space="preserve">Le dosage des polyphénols totaux a été réalisé par la méthode colorimétrique à l'aide du réactif phénolique de Folin-Ciocalteu </w:t>
      </w:r>
      <w:r>
        <w:rPr>
          <w:rFonts w:asciiTheme="majorBidi" w:hAnsiTheme="majorBidi" w:cstheme="majorBidi"/>
          <w:b/>
          <w:bCs/>
          <w:color w:val="0D0D0D"/>
          <w:sz w:val="24"/>
          <w:szCs w:val="24"/>
        </w:rPr>
        <w:t xml:space="preserve">(Aloui et </w:t>
      </w:r>
      <w:r>
        <w:rPr>
          <w:rFonts w:asciiTheme="majorBidi" w:hAnsiTheme="majorBidi" w:cstheme="majorBidi"/>
          <w:b/>
          <w:bCs/>
          <w:i/>
          <w:iCs/>
          <w:color w:val="0D0D0D"/>
          <w:sz w:val="24"/>
          <w:szCs w:val="24"/>
        </w:rPr>
        <w:t>al.,</w:t>
      </w:r>
      <w:r>
        <w:rPr>
          <w:rFonts w:asciiTheme="majorBidi" w:hAnsiTheme="majorBidi" w:cstheme="majorBidi"/>
          <w:b/>
          <w:bCs/>
          <w:color w:val="0D0D0D"/>
          <w:sz w:val="24"/>
          <w:szCs w:val="24"/>
        </w:rPr>
        <w:t>2020)</w:t>
      </w:r>
      <w:r>
        <w:rPr>
          <w:rFonts w:asciiTheme="majorBidi" w:hAnsiTheme="majorBidi" w:cstheme="majorBidi"/>
          <w:color w:val="000000" w:themeColor="text1"/>
          <w:sz w:val="24"/>
          <w:szCs w:val="24"/>
        </w:rPr>
        <w:t>.</w:t>
      </w:r>
    </w:p>
    <w:p w14:paraId="5D32EA2A" w14:textId="77777777" w:rsidR="003E3FB4" w:rsidRDefault="00385ED0">
      <w:pPr>
        <w:spacing w:line="360" w:lineRule="auto"/>
        <w:jc w:val="lowKashida"/>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Une quantité de10µl d’extrait (aqueux et éthanolique) est mélangée avec 990µl d’eau distillée. Ensuite, 1000μL de réactif de Folin-Ciocalteu (dilué 10 fois dans de l’eau ultra pure) et 800μL de Na</w:t>
      </w:r>
      <w:r>
        <w:rPr>
          <w:rFonts w:asciiTheme="majorBidi" w:hAnsiTheme="majorBidi" w:cstheme="majorBidi"/>
          <w:color w:val="000000" w:themeColor="text1"/>
          <w:sz w:val="24"/>
          <w:szCs w:val="24"/>
          <w:vertAlign w:val="subscript"/>
        </w:rPr>
        <w:t>2</w:t>
      </w:r>
      <w:r>
        <w:rPr>
          <w:rFonts w:asciiTheme="majorBidi" w:hAnsiTheme="majorBidi" w:cstheme="majorBidi"/>
          <w:color w:val="000000" w:themeColor="text1"/>
          <w:sz w:val="24"/>
          <w:szCs w:val="24"/>
        </w:rPr>
        <w:t>CO</w:t>
      </w:r>
      <w:r>
        <w:rPr>
          <w:rFonts w:asciiTheme="majorBidi" w:hAnsiTheme="majorBidi" w:cstheme="majorBidi"/>
          <w:color w:val="000000" w:themeColor="text1"/>
          <w:sz w:val="24"/>
          <w:szCs w:val="24"/>
          <w:vertAlign w:val="subscript"/>
        </w:rPr>
        <w:t xml:space="preserve">3 </w:t>
      </w:r>
      <w:r>
        <w:rPr>
          <w:rFonts w:asciiTheme="majorBidi" w:hAnsiTheme="majorBidi" w:cstheme="majorBidi"/>
          <w:b/>
          <w:bCs/>
          <w:color w:val="000000" w:themeColor="text1"/>
          <w:sz w:val="24"/>
          <w:szCs w:val="24"/>
        </w:rPr>
        <w:t>(</w:t>
      </w:r>
      <w:r>
        <w:rPr>
          <w:rFonts w:asciiTheme="majorBidi" w:hAnsiTheme="majorBidi" w:cstheme="majorBidi"/>
          <w:sz w:val="24"/>
          <w:szCs w:val="24"/>
        </w:rPr>
        <w:t xml:space="preserve">0,75g de </w:t>
      </w:r>
      <w:r>
        <w:rPr>
          <w:rFonts w:asciiTheme="majorBidi" w:hAnsiTheme="majorBidi" w:cstheme="majorBidi"/>
          <w:color w:val="000000" w:themeColor="text1"/>
          <w:sz w:val="24"/>
          <w:szCs w:val="24"/>
        </w:rPr>
        <w:t>Na</w:t>
      </w:r>
      <w:r>
        <w:rPr>
          <w:rFonts w:asciiTheme="majorBidi" w:hAnsiTheme="majorBidi" w:cstheme="majorBidi"/>
          <w:color w:val="000000" w:themeColor="text1"/>
          <w:sz w:val="24"/>
          <w:szCs w:val="24"/>
          <w:vertAlign w:val="subscript"/>
        </w:rPr>
        <w:t>2</w:t>
      </w:r>
      <w:r>
        <w:rPr>
          <w:rFonts w:asciiTheme="majorBidi" w:hAnsiTheme="majorBidi" w:cstheme="majorBidi"/>
          <w:color w:val="000000" w:themeColor="text1"/>
          <w:sz w:val="24"/>
          <w:szCs w:val="24"/>
        </w:rPr>
        <w:t>CO</w:t>
      </w:r>
      <w:r>
        <w:rPr>
          <w:rFonts w:asciiTheme="majorBidi" w:hAnsiTheme="majorBidi" w:cstheme="majorBidi"/>
          <w:color w:val="000000" w:themeColor="text1"/>
          <w:sz w:val="24"/>
          <w:szCs w:val="24"/>
          <w:vertAlign w:val="subscript"/>
        </w:rPr>
        <w:t>3</w:t>
      </w:r>
      <w:r>
        <w:rPr>
          <w:rFonts w:asciiTheme="majorBidi" w:hAnsiTheme="majorBidi" w:cstheme="majorBidi"/>
          <w:color w:val="000000" w:themeColor="text1"/>
          <w:sz w:val="24"/>
          <w:szCs w:val="24"/>
        </w:rPr>
        <w:t xml:space="preserve"> dans 10 ml d’eau distillée) sont ajoutés à 200μL d’extrait de fenugrec dilué. Les mélanges réactionnels sont agités et laissés 10 min, </w:t>
      </w:r>
      <w:r>
        <w:rPr>
          <w:rFonts w:asciiTheme="majorBidi" w:hAnsiTheme="majorBidi" w:cstheme="majorBidi"/>
          <w:sz w:val="24"/>
          <w:szCs w:val="24"/>
        </w:rPr>
        <w:t xml:space="preserve">à température ambiante, </w:t>
      </w:r>
      <w:r>
        <w:rPr>
          <w:rFonts w:asciiTheme="majorBidi" w:hAnsiTheme="majorBidi" w:cstheme="majorBidi"/>
          <w:color w:val="000000" w:themeColor="text1"/>
          <w:sz w:val="24"/>
          <w:szCs w:val="24"/>
        </w:rPr>
        <w:t xml:space="preserve">à l’abri de la lumière. L’absorbance est mesurée à 765 nm. L’opération est répétée 3 fois. </w:t>
      </w:r>
    </w:p>
    <w:p w14:paraId="054E42AD" w14:textId="77777777" w:rsidR="003E3FB4" w:rsidRDefault="00385ED0">
      <w:pPr>
        <w:spacing w:line="360" w:lineRule="auto"/>
        <w:ind w:firstLine="708"/>
        <w:jc w:val="lowKashida"/>
        <w:rPr>
          <w:rFonts w:asciiTheme="majorBidi" w:hAnsiTheme="majorBidi" w:cstheme="majorBidi"/>
          <w:color w:val="000000" w:themeColor="text1"/>
          <w:sz w:val="24"/>
          <w:szCs w:val="24"/>
        </w:rPr>
      </w:pPr>
      <w:r>
        <w:rPr>
          <w:rFonts w:asciiTheme="majorBidi" w:hAnsiTheme="majorBidi" w:cstheme="majorBidi"/>
          <w:sz w:val="24"/>
          <w:szCs w:val="24"/>
        </w:rPr>
        <w:t xml:space="preserve">Notons qu’une droite d’étalonnage est préalablement réalisée avant l’analyse avec de l’acide gallique (0, 100, 200, 300, 500 et 1000 µg/ml) dans les mêmes conditions que les échantillons analysés (Annexe2). </w:t>
      </w:r>
    </w:p>
    <w:p w14:paraId="26608C2A" w14:textId="77777777" w:rsidR="003E3FB4" w:rsidRDefault="00385ED0">
      <w:pPr>
        <w:spacing w:line="360" w:lineRule="auto"/>
        <w:ind w:firstLine="708"/>
        <w:jc w:val="lowKashida"/>
        <w:rPr>
          <w:rFonts w:asciiTheme="majorBidi" w:hAnsiTheme="majorBidi" w:cstheme="majorBidi"/>
          <w:color w:val="000000" w:themeColor="text1"/>
          <w:sz w:val="24"/>
          <w:szCs w:val="24"/>
        </w:rPr>
      </w:pPr>
      <w:r>
        <w:rPr>
          <w:rFonts w:asciiTheme="majorBidi" w:hAnsiTheme="majorBidi" w:cstheme="majorBidi"/>
          <w:sz w:val="24"/>
          <w:szCs w:val="24"/>
        </w:rPr>
        <w:t>La concentration des polyphénols totaux présents dans nos extraits exprimée en mg Eq d’acide gallique/g d’extrait est calculée selon la formule suivante :</w:t>
      </w:r>
    </w:p>
    <w:p w14:paraId="60EDEC44" w14:textId="77777777" w:rsidR="003E3FB4" w:rsidRDefault="00000000">
      <w:pPr>
        <w:pBdr>
          <w:top w:val="single" w:sz="4" w:space="1" w:color="auto"/>
          <w:left w:val="single" w:sz="4" w:space="4" w:color="auto"/>
          <w:bottom w:val="single" w:sz="4" w:space="1" w:color="auto"/>
          <w:right w:val="single" w:sz="4" w:space="0" w:color="auto"/>
        </w:pBdr>
        <w:tabs>
          <w:tab w:val="left" w:pos="0"/>
        </w:tabs>
        <w:spacing w:after="0" w:line="360" w:lineRule="auto"/>
        <w:rPr>
          <w:rFonts w:asciiTheme="majorBidi" w:hAnsiTheme="majorBidi" w:cstheme="majorBidi"/>
        </w:rPr>
      </w:pPr>
      <m:oMathPara>
        <m:oMathParaPr>
          <m:jc m:val="center"/>
        </m:oMathParaPr>
        <m:oMath>
          <m:d>
            <m:dPr>
              <m:begChr m:val="["/>
              <m:endChr m:val="]"/>
              <m:ctrlPr>
                <w:rPr>
                  <w:rFonts w:ascii="Cambria Math" w:hAnsiTheme="majorBidi" w:cstheme="majorBidi"/>
                  <w:i/>
                </w:rPr>
              </m:ctrlPr>
            </m:dPr>
            <m:e>
              <m:r>
                <w:rPr>
                  <w:rFonts w:ascii="Cambria Math" w:hAnsi="Cambria Math" w:cstheme="majorBidi"/>
                </w:rPr>
                <m:t>polyph</m:t>
              </m:r>
              <m:r>
                <w:rPr>
                  <w:rFonts w:ascii="Cambria Math" w:hAnsiTheme="majorBidi" w:cstheme="majorBidi"/>
                </w:rPr>
                <m:t>é</m:t>
              </m:r>
              <m:r>
                <w:rPr>
                  <w:rFonts w:ascii="Cambria Math" w:hAnsi="Cambria Math" w:cstheme="majorBidi"/>
                </w:rPr>
                <m:t>nols</m:t>
              </m:r>
            </m:e>
          </m:d>
          <m:r>
            <w:rPr>
              <w:rFonts w:ascii="Cambria Math" w:hAnsiTheme="majorBidi" w:cstheme="majorBidi"/>
            </w:rPr>
            <m:t xml:space="preserve">= </m:t>
          </m:r>
          <m:f>
            <m:fPr>
              <m:ctrlPr>
                <w:rPr>
                  <w:rFonts w:ascii="Cambria Math" w:hAnsiTheme="majorBidi" w:cstheme="majorBidi"/>
                  <w:i/>
                </w:rPr>
              </m:ctrlPr>
            </m:fPr>
            <m:num>
              <m:r>
                <w:rPr>
                  <w:rFonts w:ascii="Cambria Math" w:hAnsi="Cambria Math" w:cstheme="majorBidi"/>
                </w:rPr>
                <m:t>a</m:t>
              </m:r>
              <m:r>
                <w:rPr>
                  <w:rFonts w:ascii="Cambria Math" w:hAnsiTheme="majorBidi" w:cstheme="majorBidi"/>
                </w:rPr>
                <m:t xml:space="preserve"> .</m:t>
              </m:r>
              <m:r>
                <w:rPr>
                  <w:rFonts w:ascii="Cambria Math" w:hAnsi="Cambria Math" w:cstheme="majorBidi"/>
                </w:rPr>
                <m:t>f</m:t>
              </m:r>
            </m:num>
            <m:den>
              <m:r>
                <w:rPr>
                  <w:rFonts w:ascii="Cambria Math" w:hAnsi="Cambria Math" w:cstheme="majorBidi"/>
                </w:rPr>
                <m:t>b</m:t>
              </m:r>
            </m:den>
          </m:f>
        </m:oMath>
      </m:oMathPara>
    </w:p>
    <w:p w14:paraId="228DD1B5" w14:textId="77777777" w:rsidR="003E3FB4" w:rsidRDefault="003E3FB4">
      <w:pPr>
        <w:pStyle w:val="Paragraphedeliste"/>
        <w:tabs>
          <w:tab w:val="left" w:pos="0"/>
        </w:tabs>
        <w:spacing w:after="0" w:line="240" w:lineRule="auto"/>
        <w:ind w:left="0"/>
        <w:rPr>
          <w:rFonts w:asciiTheme="majorBidi" w:hAnsiTheme="majorBidi" w:cstheme="majorBidi"/>
          <w:sz w:val="20"/>
          <w:szCs w:val="20"/>
        </w:rPr>
      </w:pPr>
    </w:p>
    <w:p w14:paraId="35B2E0E6" w14:textId="77777777" w:rsidR="003E3FB4" w:rsidRDefault="00385ED0">
      <w:pPr>
        <w:pStyle w:val="Paragraphedeliste"/>
        <w:tabs>
          <w:tab w:val="left" w:pos="0"/>
        </w:tabs>
        <w:spacing w:after="0" w:line="240" w:lineRule="auto"/>
        <w:ind w:left="0"/>
        <w:rPr>
          <w:rFonts w:asciiTheme="majorBidi" w:hAnsiTheme="majorBidi" w:cstheme="majorBidi"/>
        </w:rPr>
      </w:pPr>
      <w:proofErr w:type="gramStart"/>
      <w:r>
        <w:rPr>
          <w:rFonts w:asciiTheme="majorBidi" w:hAnsiTheme="majorBidi" w:cstheme="majorBidi"/>
          <w:b/>
          <w:bCs/>
        </w:rPr>
        <w:t>a</w:t>
      </w:r>
      <w:proofErr w:type="gramEnd"/>
      <w:r>
        <w:rPr>
          <w:rFonts w:asciiTheme="majorBidi" w:hAnsiTheme="majorBidi" w:cstheme="majorBidi"/>
          <w:b/>
          <w:bCs/>
        </w:rPr>
        <w:t> :</w:t>
      </w:r>
      <w:r>
        <w:rPr>
          <w:rFonts w:asciiTheme="majorBidi" w:hAnsiTheme="majorBidi" w:cstheme="majorBidi"/>
        </w:rPr>
        <w:t xml:space="preserve"> concentration des polyphénols en μg/ml déterminée à partir de la courbe étalon</w:t>
      </w:r>
    </w:p>
    <w:p w14:paraId="2A6AB0B9" w14:textId="77777777" w:rsidR="003E3FB4" w:rsidRDefault="00385ED0">
      <w:pPr>
        <w:pStyle w:val="Paragraphedeliste"/>
        <w:tabs>
          <w:tab w:val="left" w:pos="0"/>
        </w:tabs>
        <w:spacing w:after="0" w:line="240" w:lineRule="auto"/>
        <w:ind w:left="0"/>
        <w:rPr>
          <w:rFonts w:asciiTheme="majorBidi" w:hAnsiTheme="majorBidi" w:cstheme="majorBidi"/>
        </w:rPr>
      </w:pPr>
      <w:proofErr w:type="gramStart"/>
      <w:r>
        <w:rPr>
          <w:rFonts w:asciiTheme="majorBidi" w:hAnsiTheme="majorBidi" w:cstheme="majorBidi"/>
          <w:b/>
          <w:bCs/>
        </w:rPr>
        <w:t>f</w:t>
      </w:r>
      <w:proofErr w:type="gramEnd"/>
      <w:r>
        <w:rPr>
          <w:rFonts w:asciiTheme="majorBidi" w:hAnsiTheme="majorBidi" w:cstheme="majorBidi"/>
          <w:b/>
          <w:bCs/>
        </w:rPr>
        <w:t> :</w:t>
      </w:r>
      <w:r>
        <w:rPr>
          <w:rFonts w:asciiTheme="majorBidi" w:hAnsiTheme="majorBidi" w:cstheme="majorBidi"/>
        </w:rPr>
        <w:t xml:space="preserve"> facteur de dilution (x100)</w:t>
      </w:r>
    </w:p>
    <w:p w14:paraId="219F3A73" w14:textId="090E70E9" w:rsidR="009347FE" w:rsidRDefault="009347FE">
      <w:pPr>
        <w:pStyle w:val="Paragraphedeliste"/>
        <w:tabs>
          <w:tab w:val="left" w:pos="0"/>
        </w:tabs>
        <w:spacing w:after="0" w:line="240" w:lineRule="auto"/>
        <w:ind w:left="0"/>
        <w:rPr>
          <w:rFonts w:asciiTheme="majorBidi" w:hAnsiTheme="majorBidi" w:cstheme="majorBidi"/>
        </w:rPr>
      </w:pPr>
      <w:proofErr w:type="gramStart"/>
      <w:r w:rsidRPr="009347FE">
        <w:rPr>
          <w:rFonts w:asciiTheme="majorBidi" w:hAnsiTheme="majorBidi" w:cstheme="majorBidi"/>
        </w:rPr>
        <w:t>b</w:t>
      </w:r>
      <w:proofErr w:type="gramEnd"/>
      <w:r w:rsidRPr="009347FE">
        <w:rPr>
          <w:rFonts w:asciiTheme="majorBidi" w:hAnsiTheme="majorBidi" w:cstheme="majorBidi"/>
        </w:rPr>
        <w:t xml:space="preserve"> : concentration initiale de l’extrait (1mg/ml)</w:t>
      </w:r>
    </w:p>
    <w:p w14:paraId="5A0A6287" w14:textId="77777777" w:rsidR="003E3FB4" w:rsidRDefault="003E3FB4">
      <w:pPr>
        <w:pStyle w:val="Paragraphedeliste"/>
        <w:tabs>
          <w:tab w:val="left" w:pos="0"/>
        </w:tabs>
        <w:spacing w:after="0" w:line="240" w:lineRule="auto"/>
        <w:ind w:left="0"/>
        <w:rPr>
          <w:rFonts w:asciiTheme="majorBidi" w:hAnsiTheme="majorBidi" w:cstheme="majorBidi"/>
        </w:rPr>
      </w:pPr>
    </w:p>
    <w:p w14:paraId="5B72AD28" w14:textId="77777777" w:rsidR="003E3FB4" w:rsidRDefault="00385ED0">
      <w:pPr>
        <w:autoSpaceDE w:val="0"/>
        <w:autoSpaceDN w:val="0"/>
        <w:adjustRightInd w:val="0"/>
        <w:spacing w:after="0" w:line="360" w:lineRule="auto"/>
        <w:rPr>
          <w:rFonts w:asciiTheme="majorBidi" w:hAnsiTheme="majorBidi" w:cstheme="majorBidi"/>
          <w:b/>
          <w:bCs/>
          <w:sz w:val="24"/>
          <w:szCs w:val="24"/>
        </w:rPr>
      </w:pPr>
      <w:r>
        <w:rPr>
          <w:rFonts w:asciiTheme="majorBidi" w:hAnsiTheme="majorBidi" w:cstheme="majorBidi"/>
          <w:b/>
          <w:bCs/>
          <w:sz w:val="24"/>
          <w:szCs w:val="24"/>
        </w:rPr>
        <w:t>II.4.2. Dosage des flavonoïdes</w:t>
      </w:r>
    </w:p>
    <w:p w14:paraId="5969C8BF" w14:textId="77777777" w:rsidR="003E3FB4" w:rsidRDefault="00385ED0">
      <w:pPr>
        <w:autoSpaceDE w:val="0"/>
        <w:autoSpaceDN w:val="0"/>
        <w:adjustRightInd w:val="0"/>
        <w:spacing w:after="0" w:line="360" w:lineRule="auto"/>
        <w:ind w:firstLine="557"/>
        <w:jc w:val="both"/>
        <w:rPr>
          <w:rFonts w:asciiTheme="majorBidi" w:hAnsiTheme="majorBidi" w:cstheme="majorBidi"/>
          <w:color w:val="FF0000"/>
          <w:sz w:val="24"/>
          <w:szCs w:val="24"/>
        </w:rPr>
      </w:pPr>
      <w:r>
        <w:rPr>
          <w:rFonts w:asciiTheme="majorBidi" w:hAnsiTheme="majorBidi" w:cstheme="majorBidi"/>
          <w:sz w:val="24"/>
          <w:szCs w:val="24"/>
        </w:rPr>
        <w:t>La détermination de la teneur totale en flavonoïdes de l’extrait aqueux et éthanolique de graines de fenugrec est réalisée suivant la méthode au AlCl</w:t>
      </w:r>
      <w:r>
        <w:rPr>
          <w:rFonts w:asciiTheme="majorBidi" w:hAnsiTheme="majorBidi" w:cstheme="majorBidi"/>
          <w:sz w:val="24"/>
          <w:szCs w:val="24"/>
          <w:vertAlign w:val="subscript"/>
        </w:rPr>
        <w:t xml:space="preserve">3 </w:t>
      </w:r>
      <w:r>
        <w:rPr>
          <w:rFonts w:asciiTheme="majorBidi" w:hAnsiTheme="majorBidi" w:cstheme="majorBidi"/>
          <w:b/>
          <w:bCs/>
          <w:sz w:val="24"/>
          <w:szCs w:val="24"/>
        </w:rPr>
        <w:t xml:space="preserve">(Lamaison et Carnet, 1990 ; Huang et </w:t>
      </w:r>
      <w:r>
        <w:rPr>
          <w:rFonts w:asciiTheme="majorBidi" w:hAnsiTheme="majorBidi" w:cstheme="majorBidi"/>
          <w:b/>
          <w:bCs/>
          <w:i/>
          <w:iCs/>
          <w:sz w:val="24"/>
          <w:szCs w:val="24"/>
        </w:rPr>
        <w:t>al</w:t>
      </w:r>
      <w:r>
        <w:rPr>
          <w:rFonts w:asciiTheme="majorBidi" w:hAnsiTheme="majorBidi" w:cstheme="majorBidi"/>
          <w:b/>
          <w:bCs/>
          <w:sz w:val="24"/>
          <w:szCs w:val="24"/>
        </w:rPr>
        <w:t>., 2004)</w:t>
      </w:r>
      <w:r>
        <w:rPr>
          <w:rFonts w:asciiTheme="majorBidi" w:hAnsiTheme="majorBidi" w:cstheme="majorBidi"/>
          <w:sz w:val="24"/>
          <w:szCs w:val="24"/>
        </w:rPr>
        <w:t xml:space="preserve">. </w:t>
      </w:r>
      <w:r>
        <w:rPr>
          <w:rFonts w:asciiTheme="majorBidi" w:hAnsiTheme="majorBidi" w:cstheme="majorBidi"/>
          <w:color w:val="000000" w:themeColor="text1"/>
          <w:sz w:val="24"/>
          <w:szCs w:val="24"/>
        </w:rPr>
        <w:t>Un millilitre (1ml) d’extrait de fenugrec préalablement dilué (10µl extrait + 990 µl eau distillée) est ajouté à un volume égal d’une solution de 2% AlCl</w:t>
      </w:r>
      <w:r>
        <w:rPr>
          <w:rFonts w:asciiTheme="majorBidi" w:hAnsiTheme="majorBidi" w:cstheme="majorBidi"/>
          <w:color w:val="000000" w:themeColor="text1"/>
          <w:sz w:val="24"/>
          <w:szCs w:val="24"/>
          <w:vertAlign w:val="subscript"/>
        </w:rPr>
        <w:t>3</w:t>
      </w:r>
      <w:r>
        <w:rPr>
          <w:rFonts w:asciiTheme="majorBidi" w:hAnsiTheme="majorBidi" w:cstheme="majorBidi"/>
          <w:color w:val="000000" w:themeColor="text1"/>
          <w:sz w:val="24"/>
          <w:szCs w:val="24"/>
        </w:rPr>
        <w:t>. Le mélange a été vigoureusement agité, et l’absorbance est lue à 430 nm après 10 mn d’incubation.</w:t>
      </w:r>
    </w:p>
    <w:p w14:paraId="4A4732D5" w14:textId="77777777" w:rsidR="003E3FB4" w:rsidRDefault="00385ED0">
      <w:pPr>
        <w:autoSpaceDE w:val="0"/>
        <w:autoSpaceDN w:val="0"/>
        <w:adjustRightInd w:val="0"/>
        <w:spacing w:after="0" w:line="360" w:lineRule="auto"/>
        <w:ind w:firstLine="557"/>
        <w:jc w:val="both"/>
        <w:rPr>
          <w:rFonts w:asciiTheme="majorBidi" w:hAnsiTheme="majorBidi" w:cstheme="majorBidi"/>
          <w:sz w:val="24"/>
          <w:szCs w:val="24"/>
        </w:rPr>
      </w:pPr>
      <w:r>
        <w:rPr>
          <w:rFonts w:asciiTheme="majorBidi" w:hAnsiTheme="majorBidi" w:cstheme="majorBidi"/>
          <w:sz w:val="24"/>
          <w:szCs w:val="24"/>
        </w:rPr>
        <w:t xml:space="preserve">La concentration des flavonoïdes est déduite à partir d’une gamme d’étalonnage établie avec la quercétine à différentes concentrations (0-40µg/ml) (Annexe 2). </w:t>
      </w:r>
    </w:p>
    <w:p w14:paraId="2876015A" w14:textId="77777777" w:rsidR="003E3FB4" w:rsidRDefault="00385ED0">
      <w:pPr>
        <w:autoSpaceDE w:val="0"/>
        <w:autoSpaceDN w:val="0"/>
        <w:adjustRightInd w:val="0"/>
        <w:spacing w:after="0" w:line="360" w:lineRule="auto"/>
        <w:ind w:firstLine="557"/>
        <w:jc w:val="both"/>
        <w:rPr>
          <w:rFonts w:asciiTheme="majorBidi" w:hAnsiTheme="majorBidi" w:cstheme="majorBidi"/>
          <w:sz w:val="24"/>
          <w:szCs w:val="24"/>
        </w:rPr>
      </w:pPr>
      <w:r>
        <w:rPr>
          <w:rFonts w:asciiTheme="majorBidi" w:hAnsiTheme="majorBidi" w:cstheme="majorBidi"/>
          <w:sz w:val="24"/>
          <w:szCs w:val="24"/>
        </w:rPr>
        <w:t xml:space="preserve">La concentration des flavonoïdes présents dans nos extraits exprimée en mg Eq de quercétine /g d’extrait est calculée selon la formule suivante : </w:t>
      </w:r>
    </w:p>
    <w:p w14:paraId="521EA9B8" w14:textId="77777777" w:rsidR="003E3FB4" w:rsidRDefault="00000000">
      <w:pPr>
        <w:pBdr>
          <w:top w:val="single" w:sz="4" w:space="1" w:color="auto"/>
          <w:left w:val="single" w:sz="4" w:space="4" w:color="auto"/>
          <w:bottom w:val="single" w:sz="4" w:space="1" w:color="auto"/>
          <w:right w:val="single" w:sz="4" w:space="0" w:color="auto"/>
        </w:pBdr>
        <w:tabs>
          <w:tab w:val="left" w:pos="0"/>
        </w:tabs>
        <w:spacing w:after="0" w:line="360" w:lineRule="auto"/>
        <w:rPr>
          <w:rFonts w:asciiTheme="majorBidi" w:hAnsiTheme="majorBidi" w:cstheme="majorBidi"/>
        </w:rPr>
      </w:pPr>
      <m:oMathPara>
        <m:oMathParaPr>
          <m:jc m:val="center"/>
        </m:oMathParaPr>
        <m:oMath>
          <m:d>
            <m:dPr>
              <m:begChr m:val="["/>
              <m:endChr m:val="]"/>
              <m:ctrlPr>
                <w:rPr>
                  <w:rFonts w:ascii="Cambria Math" w:hAnsi="Cambria Math" w:cstheme="majorBidi"/>
                  <w:i/>
                </w:rPr>
              </m:ctrlPr>
            </m:dPr>
            <m:e>
              <m:r>
                <w:rPr>
                  <w:rFonts w:ascii="Cambria Math" w:hAnsi="Cambria Math" w:cstheme="majorBidi"/>
                </w:rPr>
                <m:t>flavonoïdes</m:t>
              </m:r>
            </m:e>
          </m:d>
          <m:r>
            <w:rPr>
              <w:rFonts w:ascii="Cambria Math" w:hAnsi="Cambria Math" w:cstheme="majorBidi"/>
            </w:rPr>
            <m:t xml:space="preserve">= </m:t>
          </m:r>
          <m:f>
            <m:fPr>
              <m:ctrlPr>
                <w:rPr>
                  <w:rFonts w:ascii="Cambria Math" w:hAnsi="Cambria Math" w:cstheme="majorBidi"/>
                  <w:i/>
                </w:rPr>
              </m:ctrlPr>
            </m:fPr>
            <m:num>
              <m:r>
                <w:rPr>
                  <w:rFonts w:ascii="Cambria Math" w:hAnsi="Cambria Math" w:cstheme="majorBidi"/>
                </w:rPr>
                <m:t>a .f</m:t>
              </m:r>
            </m:num>
            <m:den>
              <m:r>
                <w:rPr>
                  <w:rFonts w:ascii="Cambria Math" w:hAnsi="Cambria Math" w:cstheme="majorBidi"/>
                </w:rPr>
                <m:t>b</m:t>
              </m:r>
            </m:den>
          </m:f>
        </m:oMath>
      </m:oMathPara>
    </w:p>
    <w:p w14:paraId="7D61D161" w14:textId="77777777" w:rsidR="003E3FB4" w:rsidRDefault="003E3FB4">
      <w:pPr>
        <w:pStyle w:val="Paragraphedeliste"/>
        <w:tabs>
          <w:tab w:val="left" w:pos="0"/>
        </w:tabs>
        <w:spacing w:after="0" w:line="240" w:lineRule="auto"/>
        <w:ind w:left="0"/>
        <w:rPr>
          <w:rFonts w:asciiTheme="majorBidi" w:hAnsiTheme="majorBidi" w:cstheme="majorBidi"/>
          <w:sz w:val="20"/>
          <w:szCs w:val="20"/>
        </w:rPr>
      </w:pPr>
    </w:p>
    <w:p w14:paraId="2CAA78C4" w14:textId="77777777" w:rsidR="003E3FB4" w:rsidRDefault="00385ED0">
      <w:pPr>
        <w:pStyle w:val="Paragraphedeliste"/>
        <w:tabs>
          <w:tab w:val="left" w:pos="0"/>
        </w:tabs>
        <w:spacing w:after="0" w:line="240" w:lineRule="auto"/>
        <w:ind w:left="0"/>
        <w:jc w:val="both"/>
        <w:rPr>
          <w:rFonts w:asciiTheme="majorBidi" w:hAnsiTheme="majorBidi" w:cstheme="majorBidi"/>
          <w:sz w:val="24"/>
          <w:szCs w:val="24"/>
        </w:rPr>
      </w:pPr>
      <w:proofErr w:type="gramStart"/>
      <w:r>
        <w:rPr>
          <w:rFonts w:asciiTheme="majorBidi" w:hAnsiTheme="majorBidi" w:cstheme="majorBidi"/>
          <w:b/>
          <w:bCs/>
          <w:sz w:val="24"/>
          <w:szCs w:val="24"/>
        </w:rPr>
        <w:t>a</w:t>
      </w:r>
      <w:proofErr w:type="gramEnd"/>
      <w:r>
        <w:rPr>
          <w:rFonts w:asciiTheme="majorBidi" w:hAnsiTheme="majorBidi" w:cstheme="majorBidi"/>
          <w:sz w:val="24"/>
          <w:szCs w:val="24"/>
        </w:rPr>
        <w:t> :concentration des flavonoïdes en μg/ml déterminée à partir de la courbe étalon</w:t>
      </w:r>
    </w:p>
    <w:p w14:paraId="22E7BADE" w14:textId="77777777" w:rsidR="003E3FB4" w:rsidRDefault="00385ED0">
      <w:pPr>
        <w:pStyle w:val="Paragraphedeliste"/>
        <w:tabs>
          <w:tab w:val="left" w:pos="0"/>
        </w:tabs>
        <w:spacing w:after="0" w:line="240" w:lineRule="auto"/>
        <w:ind w:left="0"/>
        <w:jc w:val="both"/>
        <w:rPr>
          <w:rFonts w:asciiTheme="majorBidi" w:hAnsiTheme="majorBidi" w:cstheme="majorBidi"/>
          <w:sz w:val="24"/>
          <w:szCs w:val="24"/>
        </w:rPr>
      </w:pPr>
      <w:proofErr w:type="gramStart"/>
      <w:r>
        <w:rPr>
          <w:rFonts w:asciiTheme="majorBidi" w:hAnsiTheme="majorBidi" w:cstheme="majorBidi"/>
          <w:b/>
          <w:bCs/>
          <w:sz w:val="24"/>
          <w:szCs w:val="24"/>
        </w:rPr>
        <w:t>f</w:t>
      </w:r>
      <w:proofErr w:type="gramEnd"/>
      <w:r>
        <w:rPr>
          <w:rFonts w:asciiTheme="majorBidi" w:hAnsiTheme="majorBidi" w:cstheme="majorBidi"/>
          <w:b/>
          <w:bCs/>
          <w:sz w:val="24"/>
          <w:szCs w:val="24"/>
        </w:rPr>
        <w:t> :</w:t>
      </w:r>
      <w:r>
        <w:rPr>
          <w:rFonts w:asciiTheme="majorBidi" w:hAnsiTheme="majorBidi" w:cstheme="majorBidi"/>
          <w:sz w:val="24"/>
          <w:szCs w:val="24"/>
        </w:rPr>
        <w:t xml:space="preserve"> facteur de dilution (x100)      </w:t>
      </w:r>
    </w:p>
    <w:p w14:paraId="2EF88AF3" w14:textId="77777777" w:rsidR="003E3FB4" w:rsidRDefault="00385ED0">
      <w:pPr>
        <w:pStyle w:val="Paragraphedeliste"/>
        <w:tabs>
          <w:tab w:val="left" w:pos="0"/>
        </w:tabs>
        <w:spacing w:after="0" w:line="240" w:lineRule="auto"/>
        <w:ind w:left="0"/>
        <w:jc w:val="both"/>
        <w:rPr>
          <w:rFonts w:asciiTheme="majorBidi" w:hAnsiTheme="majorBidi" w:cstheme="majorBidi"/>
          <w:sz w:val="24"/>
          <w:szCs w:val="24"/>
        </w:rPr>
      </w:pPr>
      <w:bookmarkStart w:id="24" w:name="_Hlk201085378"/>
      <w:proofErr w:type="gramStart"/>
      <w:r>
        <w:rPr>
          <w:rFonts w:asciiTheme="majorBidi" w:hAnsiTheme="majorBidi" w:cstheme="majorBidi"/>
          <w:b/>
          <w:bCs/>
          <w:sz w:val="24"/>
          <w:szCs w:val="24"/>
        </w:rPr>
        <w:t>b</w:t>
      </w:r>
      <w:proofErr w:type="gramEnd"/>
      <w:r>
        <w:rPr>
          <w:rFonts w:asciiTheme="majorBidi" w:hAnsiTheme="majorBidi" w:cstheme="majorBidi"/>
          <w:b/>
          <w:bCs/>
          <w:sz w:val="24"/>
          <w:szCs w:val="24"/>
        </w:rPr>
        <w:t> :</w:t>
      </w:r>
      <w:r>
        <w:rPr>
          <w:rFonts w:asciiTheme="majorBidi" w:hAnsiTheme="majorBidi" w:cstheme="majorBidi"/>
          <w:sz w:val="24"/>
          <w:szCs w:val="24"/>
        </w:rPr>
        <w:t xml:space="preserve"> concentration initiale de l’extrait (1mg/ml)</w:t>
      </w:r>
    </w:p>
    <w:bookmarkEnd w:id="24"/>
    <w:p w14:paraId="0FF75DE1" w14:textId="77777777" w:rsidR="003E3FB4" w:rsidRDefault="003E3FB4">
      <w:pPr>
        <w:jc w:val="both"/>
        <w:rPr>
          <w:rFonts w:asciiTheme="majorBidi" w:hAnsiTheme="majorBidi" w:cstheme="majorBidi"/>
          <w:b/>
          <w:bCs/>
          <w:sz w:val="24"/>
          <w:szCs w:val="24"/>
        </w:rPr>
      </w:pPr>
    </w:p>
    <w:p w14:paraId="1FD92CCC" w14:textId="77777777" w:rsidR="003E3FB4" w:rsidRDefault="00385ED0">
      <w:pPr>
        <w:rPr>
          <w:rFonts w:asciiTheme="majorBidi" w:hAnsiTheme="majorBidi" w:cstheme="majorBidi"/>
          <w:b/>
          <w:bCs/>
          <w:sz w:val="24"/>
          <w:szCs w:val="24"/>
        </w:rPr>
      </w:pPr>
      <w:r>
        <w:rPr>
          <w:rFonts w:asciiTheme="majorBidi" w:hAnsiTheme="majorBidi" w:cstheme="majorBidi"/>
          <w:b/>
          <w:bCs/>
          <w:sz w:val="24"/>
          <w:szCs w:val="24"/>
        </w:rPr>
        <w:t xml:space="preserve">II.4.3. Dosage des Tanins </w:t>
      </w:r>
    </w:p>
    <w:p w14:paraId="69986074" w14:textId="77777777" w:rsidR="003E3FB4" w:rsidRDefault="00385ED0">
      <w:pPr>
        <w:spacing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Dans cette méthode, la vanilline réagit avec le groupement flavonoïde terminal des Tanins condensés ainsi qu’une formation d’un complexe rouge, pour cela les tanins se transforment en anthocyanidines de couleur rouge par réaction avec la vanilline </w:t>
      </w:r>
      <w:r>
        <w:rPr>
          <w:rFonts w:asciiTheme="majorBidi" w:hAnsiTheme="majorBidi" w:cstheme="majorBidi"/>
          <w:b/>
          <w:bCs/>
          <w:sz w:val="24"/>
          <w:szCs w:val="24"/>
        </w:rPr>
        <w:t xml:space="preserve">(Ali-Rachedi et </w:t>
      </w:r>
      <w:r>
        <w:rPr>
          <w:rFonts w:asciiTheme="majorBidi" w:hAnsiTheme="majorBidi" w:cstheme="majorBidi"/>
          <w:b/>
          <w:bCs/>
          <w:i/>
          <w:iCs/>
          <w:sz w:val="24"/>
          <w:szCs w:val="24"/>
        </w:rPr>
        <w:t>al.</w:t>
      </w:r>
      <w:r>
        <w:rPr>
          <w:rFonts w:asciiTheme="majorBidi" w:hAnsiTheme="majorBidi" w:cstheme="majorBidi"/>
          <w:b/>
          <w:bCs/>
          <w:sz w:val="24"/>
          <w:szCs w:val="24"/>
        </w:rPr>
        <w:t>, 2018)</w:t>
      </w:r>
      <w:r>
        <w:rPr>
          <w:rFonts w:asciiTheme="majorBidi" w:hAnsiTheme="majorBidi" w:cstheme="majorBidi"/>
          <w:sz w:val="24"/>
          <w:szCs w:val="24"/>
        </w:rPr>
        <w:t>.</w:t>
      </w:r>
    </w:p>
    <w:p w14:paraId="15B933E2" w14:textId="77777777" w:rsidR="003E3FB4" w:rsidRDefault="00385ED0">
      <w:pPr>
        <w:tabs>
          <w:tab w:val="left" w:pos="6173"/>
        </w:tabs>
        <w:spacing w:line="360" w:lineRule="auto"/>
        <w:jc w:val="both"/>
        <w:rPr>
          <w:rFonts w:asciiTheme="majorBidi" w:hAnsiTheme="majorBidi" w:cstheme="majorBidi"/>
          <w:b/>
          <w:bCs/>
          <w:sz w:val="28"/>
          <w:szCs w:val="28"/>
          <w:lang w:bidi="ar-DZ"/>
        </w:rPr>
      </w:pPr>
      <w:r>
        <w:rPr>
          <w:rFonts w:asciiTheme="majorBidi" w:hAnsiTheme="majorBidi" w:cstheme="majorBidi"/>
          <w:sz w:val="24"/>
          <w:szCs w:val="24"/>
        </w:rPr>
        <w:t xml:space="preserve">           La teneur en tanins a été déterminée par la méthode de vanilline décrite par </w:t>
      </w:r>
      <w:r>
        <w:rPr>
          <w:rFonts w:asciiTheme="majorBidi" w:hAnsiTheme="majorBidi" w:cstheme="majorBidi"/>
          <w:b/>
          <w:bCs/>
          <w:sz w:val="24"/>
          <w:szCs w:val="24"/>
        </w:rPr>
        <w:t>(Julkunen-Titto, 1985)</w:t>
      </w:r>
      <w:r>
        <w:rPr>
          <w:rFonts w:asciiTheme="majorBidi" w:hAnsiTheme="majorBidi" w:cstheme="majorBidi"/>
          <w:sz w:val="24"/>
          <w:szCs w:val="24"/>
        </w:rPr>
        <w:t xml:space="preserve"> avec quelques modifications. Dans des tubes, Un volume de 0,4 ml de chaque extrait de fenugrec a été ajouté avec 3 ml de la solution de Vanilline (C8H8O3) (4% à l’éthanol 98%) ont été additionnés avec 1,5 ml de l’acide chlorhydrique (HCl) (H3O+ Cl-) concentré à 37%. Les mélanges ont été agités et incubés pendant 20min à température ambiante et à l’obscurité. L’absorbance a été lu à 500 nm. Les échantillons de contrôle sont composés de vanilline (C8H8O3) et l’acide chlorhydrique (HCl) (H3O+ Cl-). Les résultats obtenus sont exprimés en milligramme équivalent de catéchine par gramme de matière sèche (mg EC/g de MS) en utilisant l’équation de la régression linéaire de la courbe d’étalonnage de la catéchine (annexe 2).</w:t>
      </w:r>
    </w:p>
    <w:p w14:paraId="7D083499" w14:textId="77777777" w:rsidR="003E3FB4" w:rsidRDefault="00385ED0">
      <w:pPr>
        <w:ind w:firstLine="708"/>
        <w:jc w:val="both"/>
        <w:rPr>
          <w:rFonts w:asciiTheme="majorBidi" w:hAnsiTheme="majorBidi" w:cstheme="majorBidi"/>
          <w:sz w:val="24"/>
          <w:szCs w:val="24"/>
        </w:rPr>
      </w:pPr>
      <w:r>
        <w:rPr>
          <w:rFonts w:asciiTheme="majorBidi" w:hAnsiTheme="majorBidi" w:cstheme="majorBidi"/>
          <w:sz w:val="24"/>
          <w:szCs w:val="24"/>
        </w:rPr>
        <w:t>La quantité des tanins condensés est calculée par l‘équation suivante :</w:t>
      </w:r>
    </w:p>
    <w:p w14:paraId="3ED6C712" w14:textId="77777777" w:rsidR="003E3FB4" w:rsidRDefault="00385ED0">
      <w:pPr>
        <w:jc w:val="center"/>
        <w:rPr>
          <w:rFonts w:asciiTheme="majorBidi" w:hAnsiTheme="majorBidi" w:cstheme="majorBidi"/>
          <w:b/>
          <w:bCs/>
          <w:sz w:val="24"/>
          <w:szCs w:val="24"/>
        </w:rPr>
      </w:pPr>
      <w:r>
        <w:rPr>
          <w:rFonts w:asciiTheme="majorBidi" w:hAnsiTheme="majorBidi" w:cstheme="majorBidi"/>
          <w:b/>
          <w:bCs/>
          <w:sz w:val="24"/>
          <w:szCs w:val="24"/>
        </w:rPr>
        <w:t>Cm = C.V/m</w:t>
      </w:r>
    </w:p>
    <w:p w14:paraId="509FD02F" w14:textId="77777777" w:rsidR="003E3FB4" w:rsidRDefault="00385ED0">
      <w:pPr>
        <w:spacing w:after="0" w:line="240" w:lineRule="auto"/>
        <w:jc w:val="both"/>
        <w:rPr>
          <w:rFonts w:asciiTheme="majorBidi" w:hAnsiTheme="majorBidi" w:cstheme="majorBidi"/>
          <w:sz w:val="24"/>
          <w:szCs w:val="24"/>
        </w:rPr>
      </w:pPr>
      <w:r>
        <w:rPr>
          <w:rFonts w:asciiTheme="majorBidi" w:hAnsiTheme="majorBidi" w:cstheme="majorBidi"/>
          <w:sz w:val="24"/>
          <w:szCs w:val="24"/>
        </w:rPr>
        <w:t>Cm : contenu totale des tanins (mg EAG/g de MS)</w:t>
      </w:r>
    </w:p>
    <w:p w14:paraId="1E028254" w14:textId="77777777" w:rsidR="003E3FB4" w:rsidRDefault="00385ED0">
      <w:pPr>
        <w:spacing w:after="0" w:line="240" w:lineRule="auto"/>
        <w:jc w:val="both"/>
        <w:rPr>
          <w:rFonts w:asciiTheme="majorBidi" w:hAnsiTheme="majorBidi" w:cstheme="majorBidi"/>
          <w:sz w:val="24"/>
          <w:szCs w:val="24"/>
        </w:rPr>
      </w:pPr>
      <w:r>
        <w:rPr>
          <w:rFonts w:asciiTheme="majorBidi" w:hAnsiTheme="majorBidi" w:cstheme="majorBidi"/>
          <w:sz w:val="24"/>
          <w:szCs w:val="24"/>
        </w:rPr>
        <w:t>C : concentration de catéchine (mg/ml)</w:t>
      </w:r>
    </w:p>
    <w:p w14:paraId="614E8F87" w14:textId="77777777" w:rsidR="003E3FB4" w:rsidRDefault="00385ED0">
      <w:pPr>
        <w:spacing w:after="0" w:line="240" w:lineRule="auto"/>
        <w:jc w:val="both"/>
        <w:rPr>
          <w:rFonts w:asciiTheme="majorBidi" w:hAnsiTheme="majorBidi" w:cstheme="majorBidi"/>
          <w:sz w:val="24"/>
          <w:szCs w:val="24"/>
        </w:rPr>
      </w:pPr>
      <w:r>
        <w:rPr>
          <w:rFonts w:asciiTheme="majorBidi" w:hAnsiTheme="majorBidi" w:cstheme="majorBidi"/>
          <w:sz w:val="24"/>
          <w:szCs w:val="24"/>
        </w:rPr>
        <w:t>V : volume de l’extrait</w:t>
      </w:r>
    </w:p>
    <w:p w14:paraId="1DE52508" w14:textId="77777777" w:rsidR="003E3FB4" w:rsidRDefault="00385ED0">
      <w:pPr>
        <w:spacing w:after="0" w:line="240" w:lineRule="auto"/>
        <w:jc w:val="both"/>
        <w:rPr>
          <w:rFonts w:asciiTheme="majorBidi" w:hAnsiTheme="majorBidi" w:cstheme="majorBidi"/>
          <w:sz w:val="24"/>
          <w:szCs w:val="24"/>
        </w:rPr>
      </w:pPr>
      <w:proofErr w:type="gramStart"/>
      <w:r>
        <w:rPr>
          <w:rFonts w:asciiTheme="majorBidi" w:hAnsiTheme="majorBidi" w:cstheme="majorBidi"/>
          <w:sz w:val="24"/>
          <w:szCs w:val="24"/>
        </w:rPr>
        <w:t>m</w:t>
      </w:r>
      <w:proofErr w:type="gramEnd"/>
      <w:r>
        <w:rPr>
          <w:rFonts w:asciiTheme="majorBidi" w:hAnsiTheme="majorBidi" w:cstheme="majorBidi"/>
          <w:sz w:val="24"/>
          <w:szCs w:val="24"/>
        </w:rPr>
        <w:t xml:space="preserve"> : masse de l’extrait.</w:t>
      </w:r>
    </w:p>
    <w:p w14:paraId="7ACA6876" w14:textId="77777777" w:rsidR="003E3FB4" w:rsidRDefault="003E3FB4">
      <w:pPr>
        <w:spacing w:after="120" w:line="276" w:lineRule="auto"/>
        <w:rPr>
          <w:rFonts w:asciiTheme="majorBidi" w:hAnsiTheme="majorBidi" w:cstheme="majorBidi"/>
          <w:b/>
          <w:bCs/>
          <w:sz w:val="24"/>
          <w:szCs w:val="24"/>
        </w:rPr>
      </w:pPr>
    </w:p>
    <w:p w14:paraId="42167ECA" w14:textId="77777777" w:rsidR="003E3FB4" w:rsidRDefault="00385ED0">
      <w:pPr>
        <w:spacing w:after="120" w:line="276" w:lineRule="auto"/>
        <w:rPr>
          <w:rFonts w:asciiTheme="majorBidi" w:hAnsiTheme="majorBidi" w:cstheme="majorBidi"/>
          <w:b/>
          <w:bCs/>
          <w:sz w:val="24"/>
          <w:szCs w:val="24"/>
          <w:lang w:bidi="ar-DZ"/>
        </w:rPr>
      </w:pPr>
      <w:r>
        <w:rPr>
          <w:rFonts w:asciiTheme="majorBidi" w:hAnsiTheme="majorBidi" w:cstheme="majorBidi"/>
          <w:b/>
          <w:bCs/>
          <w:sz w:val="24"/>
          <w:szCs w:val="24"/>
        </w:rPr>
        <w:t xml:space="preserve">II.5. Les activités biologiques des graines de </w:t>
      </w:r>
      <w:r>
        <w:rPr>
          <w:rFonts w:asciiTheme="majorBidi" w:hAnsiTheme="majorBidi" w:cstheme="majorBidi"/>
          <w:b/>
          <w:bCs/>
          <w:i/>
          <w:iCs/>
          <w:sz w:val="24"/>
          <w:szCs w:val="24"/>
          <w:lang w:bidi="ar-DZ"/>
        </w:rPr>
        <w:t>Trigonella foenum-graecum</w:t>
      </w:r>
      <w:r>
        <w:rPr>
          <w:rFonts w:asciiTheme="majorBidi" w:hAnsiTheme="majorBidi" w:cstheme="majorBidi"/>
          <w:b/>
          <w:bCs/>
          <w:sz w:val="24"/>
          <w:szCs w:val="24"/>
          <w:lang w:bidi="ar-DZ"/>
        </w:rPr>
        <w:t xml:space="preserve"> L.</w:t>
      </w:r>
    </w:p>
    <w:p w14:paraId="740AD20A" w14:textId="77777777" w:rsidR="003E3FB4" w:rsidRDefault="00385ED0">
      <w:pPr>
        <w:spacing w:after="120" w:line="276" w:lineRule="auto"/>
        <w:rPr>
          <w:rFonts w:asciiTheme="majorBidi" w:hAnsiTheme="majorBidi" w:cstheme="majorBidi"/>
          <w:b/>
          <w:bCs/>
          <w:sz w:val="24"/>
          <w:szCs w:val="24"/>
        </w:rPr>
      </w:pPr>
      <w:r>
        <w:rPr>
          <w:rFonts w:asciiTheme="majorBidi" w:hAnsiTheme="majorBidi" w:cstheme="majorBidi"/>
          <w:b/>
          <w:bCs/>
          <w:sz w:val="24"/>
          <w:szCs w:val="24"/>
        </w:rPr>
        <w:t xml:space="preserve">II.5.1. </w:t>
      </w:r>
      <w:bookmarkStart w:id="25" w:name="_Hlk194959126"/>
      <w:r>
        <w:rPr>
          <w:rFonts w:asciiTheme="majorBidi" w:hAnsiTheme="majorBidi" w:cstheme="majorBidi"/>
          <w:b/>
          <w:bCs/>
          <w:sz w:val="24"/>
          <w:szCs w:val="24"/>
        </w:rPr>
        <w:t xml:space="preserve">Activité antioxydante  </w:t>
      </w:r>
      <w:bookmarkStart w:id="26" w:name="_Hlk194962686"/>
      <w:bookmarkEnd w:id="25"/>
    </w:p>
    <w:p w14:paraId="5E28AE7C" w14:textId="77777777" w:rsidR="003E3FB4" w:rsidRDefault="00385ED0">
      <w:pPr>
        <w:spacing w:after="120" w:line="276" w:lineRule="auto"/>
        <w:rPr>
          <w:rFonts w:asciiTheme="majorBidi" w:hAnsiTheme="majorBidi" w:cstheme="majorBidi"/>
          <w:sz w:val="24"/>
          <w:szCs w:val="24"/>
        </w:rPr>
      </w:pPr>
      <w:r>
        <w:rPr>
          <w:rFonts w:asciiTheme="majorBidi" w:hAnsiTheme="majorBidi" w:cstheme="majorBidi"/>
          <w:b/>
          <w:bCs/>
          <w:sz w:val="24"/>
          <w:szCs w:val="24"/>
        </w:rPr>
        <w:t>II.5.1.1. Test de DPPH</w:t>
      </w:r>
      <w:r>
        <w:rPr>
          <w:rFonts w:asciiTheme="majorBidi" w:hAnsiTheme="majorBidi" w:cstheme="majorBidi"/>
          <w:sz w:val="24"/>
          <w:szCs w:val="24"/>
        </w:rPr>
        <w:t xml:space="preserve"> </w:t>
      </w:r>
      <w:bookmarkEnd w:id="26"/>
    </w:p>
    <w:p w14:paraId="59BAB7C4" w14:textId="77777777" w:rsidR="003E3FB4" w:rsidRDefault="00385ED0">
      <w:pPr>
        <w:pStyle w:val="Paragraphedeliste"/>
        <w:numPr>
          <w:ilvl w:val="0"/>
          <w:numId w:val="5"/>
        </w:numPr>
        <w:spacing w:line="271" w:lineRule="auto"/>
        <w:ind w:right="69"/>
        <w:jc w:val="both"/>
        <w:rPr>
          <w:rFonts w:asciiTheme="majorBidi" w:hAnsiTheme="majorBidi" w:cstheme="majorBidi"/>
          <w:b/>
          <w:iCs/>
          <w:sz w:val="24"/>
          <w:szCs w:val="24"/>
        </w:rPr>
      </w:pPr>
      <w:r>
        <w:rPr>
          <w:rFonts w:asciiTheme="majorBidi" w:hAnsiTheme="majorBidi" w:cstheme="majorBidi"/>
          <w:b/>
          <w:iCs/>
          <w:sz w:val="24"/>
          <w:szCs w:val="24"/>
        </w:rPr>
        <w:t xml:space="preserve">Principe </w:t>
      </w:r>
    </w:p>
    <w:p w14:paraId="6B28C98B" w14:textId="77777777" w:rsidR="003E3FB4" w:rsidRDefault="00385ED0">
      <w:pPr>
        <w:spacing w:after="0" w:line="360" w:lineRule="auto"/>
        <w:ind w:right="69" w:firstLine="567"/>
        <w:jc w:val="both"/>
        <w:rPr>
          <w:rFonts w:asciiTheme="majorBidi" w:hAnsiTheme="majorBidi" w:cstheme="majorBidi"/>
          <w:b/>
          <w:iCs/>
          <w:sz w:val="24"/>
          <w:szCs w:val="24"/>
        </w:rPr>
      </w:pPr>
      <w:r>
        <w:rPr>
          <w:rFonts w:asciiTheme="majorBidi" w:hAnsiTheme="majorBidi"/>
          <w:sz w:val="24"/>
          <w:szCs w:val="24"/>
        </w:rPr>
        <w:t xml:space="preserve">Le test au DPPH (2,2-diphényl-1-picrylhydrazyle) est une méthode simple, rapide et reproductible permettant d’évaluer la capacité de piégeage des radicaux libres par des composés antioxydants présents dans des extraits végétaux. Ce test repose sur la capacité d’un </w:t>
      </w:r>
      <w:r>
        <w:rPr>
          <w:rFonts w:asciiTheme="majorBidi" w:hAnsiTheme="majorBidi"/>
          <w:sz w:val="24"/>
          <w:szCs w:val="24"/>
        </w:rPr>
        <w:lastRenderedPageBreak/>
        <w:t xml:space="preserve">donneur d’hydrogène (généralement des composés phénoliques notés AH) à réduire le radical stable DPPH. Cette réduction s’accompagne d’un changement de couleur de la solution, passant du violet foncé (forme radicalaire DPPH) au jaune pâle (forme réduite DPPH-H), ce qui permet de quantifier l’activité antioxydante par spectrophotométrie </w:t>
      </w:r>
      <w:r>
        <w:rPr>
          <w:rFonts w:asciiTheme="majorBidi" w:hAnsiTheme="majorBidi"/>
          <w:b/>
          <w:bCs/>
          <w:sz w:val="24"/>
          <w:szCs w:val="24"/>
        </w:rPr>
        <w:t>(Benkhaira et al., 2022).</w:t>
      </w:r>
    </w:p>
    <w:p w14:paraId="16C8D68E" w14:textId="77777777" w:rsidR="003E3FB4" w:rsidRDefault="00385ED0">
      <w:pPr>
        <w:pStyle w:val="Paragraphedeliste"/>
        <w:numPr>
          <w:ilvl w:val="0"/>
          <w:numId w:val="6"/>
        </w:numPr>
        <w:tabs>
          <w:tab w:val="left" w:pos="1695"/>
        </w:tabs>
        <w:spacing w:line="360" w:lineRule="auto"/>
        <w:jc w:val="lowKashida"/>
        <w:rPr>
          <w:rFonts w:ascii="Times New Roman" w:hAnsi="Times New Roman" w:cs="Times New Roman"/>
          <w:b/>
          <w:bCs/>
          <w:sz w:val="24"/>
          <w:szCs w:val="24"/>
        </w:rPr>
      </w:pPr>
      <w:r>
        <w:rPr>
          <w:rFonts w:ascii="Times New Roman" w:hAnsi="Times New Roman" w:cs="Times New Roman"/>
          <w:b/>
          <w:bCs/>
          <w:sz w:val="24"/>
          <w:szCs w:val="24"/>
        </w:rPr>
        <w:t>Procédure </w:t>
      </w:r>
    </w:p>
    <w:p w14:paraId="08927907" w14:textId="77777777" w:rsidR="001472A6" w:rsidRPr="001472A6" w:rsidRDefault="001472A6" w:rsidP="001472A6">
      <w:pPr>
        <w:spacing w:after="5" w:line="360" w:lineRule="auto"/>
        <w:ind w:left="-5" w:right="57" w:firstLine="572"/>
        <w:jc w:val="both"/>
        <w:rPr>
          <w:rFonts w:ascii="Times New Roman" w:hAnsi="Times New Roman" w:cs="Times New Roman"/>
          <w:sz w:val="24"/>
          <w:szCs w:val="24"/>
        </w:rPr>
      </w:pPr>
      <w:r w:rsidRPr="001472A6">
        <w:rPr>
          <w:rFonts w:ascii="Times New Roman" w:hAnsi="Times New Roman" w:cs="Times New Roman"/>
          <w:sz w:val="24"/>
          <w:szCs w:val="24"/>
        </w:rPr>
        <w:t xml:space="preserve">Selon </w:t>
      </w:r>
      <w:r w:rsidRPr="001472A6">
        <w:rPr>
          <w:rFonts w:ascii="Times New Roman" w:hAnsi="Times New Roman" w:cs="Times New Roman"/>
          <w:b/>
          <w:bCs/>
          <w:sz w:val="24"/>
          <w:szCs w:val="24"/>
        </w:rPr>
        <w:t xml:space="preserve">Atere et </w:t>
      </w:r>
      <w:r w:rsidRPr="001472A6">
        <w:rPr>
          <w:rFonts w:ascii="Times New Roman" w:hAnsi="Times New Roman" w:cs="Times New Roman"/>
          <w:b/>
          <w:bCs/>
          <w:i/>
          <w:iCs/>
          <w:sz w:val="24"/>
          <w:szCs w:val="24"/>
        </w:rPr>
        <w:t>al.</w:t>
      </w:r>
      <w:r w:rsidRPr="001472A6">
        <w:rPr>
          <w:rFonts w:ascii="Times New Roman" w:hAnsi="Times New Roman" w:cs="Times New Roman"/>
          <w:b/>
          <w:bCs/>
          <w:sz w:val="24"/>
          <w:szCs w:val="24"/>
        </w:rPr>
        <w:t>, (2018)</w:t>
      </w:r>
      <w:r w:rsidRPr="001472A6">
        <w:rPr>
          <w:rFonts w:ascii="Times New Roman" w:hAnsi="Times New Roman" w:cs="Times New Roman"/>
          <w:sz w:val="24"/>
          <w:szCs w:val="24"/>
        </w:rPr>
        <w:t>, une solution de DPPH à 0,004 % dans l’éthanol est préparée. Puis 1 ml de solution DPPH est ajouté à 1ml de chaque extrait à différentes concentrations (10 μg /ml, 20 μg/ml, 40 μg/ml, 60 μg/ml, 80 μg/ml, 100 μg/ml). Il est crucial de bien mélanger le contenu des tubes et de les laisser reposer à l'abri de la lumière pendant 30 minutes pour une réaction adéquate. À l'issue de l'incubation, nous mesurons l'absorbance à une longueur d'onde de 517 nm avec un spectrophotomètre, en prenant comme blanc de référence de l’éthanol pur. Le pourcentage d'inhibition est alors calculé en utilisant la formule :</w:t>
      </w:r>
    </w:p>
    <w:p w14:paraId="7639C7BF" w14:textId="77777777" w:rsidR="001472A6" w:rsidRPr="001472A6" w:rsidRDefault="001472A6" w:rsidP="001472A6">
      <w:pPr>
        <w:spacing w:after="5" w:line="360" w:lineRule="auto"/>
        <w:ind w:left="-5" w:right="57"/>
        <w:jc w:val="center"/>
        <w:rPr>
          <w:rFonts w:ascii="Times New Roman" w:hAnsi="Times New Roman" w:cs="Times New Roman"/>
          <w:b/>
          <w:bCs/>
          <w:sz w:val="24"/>
          <w:szCs w:val="24"/>
        </w:rPr>
      </w:pPr>
      <w:r w:rsidRPr="001472A6">
        <w:rPr>
          <w:rFonts w:ascii="Times New Roman" w:hAnsi="Times New Roman" w:cs="Times New Roman"/>
          <w:b/>
          <w:bCs/>
          <w:sz w:val="24"/>
          <w:szCs w:val="24"/>
        </w:rPr>
        <w:t>I (%) = [(</w:t>
      </w:r>
      <w:proofErr w:type="spellStart"/>
      <w:r w:rsidRPr="001472A6">
        <w:rPr>
          <w:rFonts w:ascii="Times New Roman" w:hAnsi="Times New Roman" w:cs="Times New Roman"/>
          <w:b/>
          <w:bCs/>
          <w:sz w:val="24"/>
          <w:szCs w:val="24"/>
        </w:rPr>
        <w:t>Ac</w:t>
      </w:r>
      <w:proofErr w:type="spellEnd"/>
      <w:r w:rsidRPr="001472A6">
        <w:rPr>
          <w:rFonts w:ascii="Times New Roman" w:hAnsi="Times New Roman" w:cs="Times New Roman"/>
          <w:b/>
          <w:bCs/>
          <w:sz w:val="24"/>
          <w:szCs w:val="24"/>
        </w:rPr>
        <w:t xml:space="preserve"> - At) / </w:t>
      </w:r>
      <w:proofErr w:type="spellStart"/>
      <w:r w:rsidRPr="001472A6">
        <w:rPr>
          <w:rFonts w:ascii="Times New Roman" w:hAnsi="Times New Roman" w:cs="Times New Roman"/>
          <w:b/>
          <w:bCs/>
          <w:sz w:val="24"/>
          <w:szCs w:val="24"/>
        </w:rPr>
        <w:t>Ac</w:t>
      </w:r>
      <w:proofErr w:type="spellEnd"/>
      <w:r w:rsidRPr="001472A6">
        <w:rPr>
          <w:rFonts w:ascii="Times New Roman" w:hAnsi="Times New Roman" w:cs="Times New Roman"/>
          <w:b/>
          <w:bCs/>
          <w:sz w:val="24"/>
          <w:szCs w:val="24"/>
        </w:rPr>
        <w:t>] x 100</w:t>
      </w:r>
    </w:p>
    <w:p w14:paraId="21B0F229" w14:textId="77777777" w:rsidR="001472A6" w:rsidRPr="001472A6" w:rsidRDefault="001472A6" w:rsidP="001472A6">
      <w:pPr>
        <w:spacing w:after="5" w:line="360" w:lineRule="auto"/>
        <w:ind w:left="-5" w:right="57"/>
        <w:jc w:val="both"/>
        <w:rPr>
          <w:rFonts w:ascii="Times New Roman" w:hAnsi="Times New Roman" w:cs="Times New Roman"/>
          <w:sz w:val="24"/>
          <w:szCs w:val="24"/>
        </w:rPr>
      </w:pPr>
      <w:proofErr w:type="spellStart"/>
      <w:r w:rsidRPr="001472A6">
        <w:rPr>
          <w:rFonts w:ascii="Times New Roman" w:hAnsi="Times New Roman" w:cs="Times New Roman"/>
          <w:sz w:val="24"/>
          <w:szCs w:val="24"/>
        </w:rPr>
        <w:t>Ac</w:t>
      </w:r>
      <w:proofErr w:type="spellEnd"/>
      <w:r w:rsidRPr="001472A6">
        <w:rPr>
          <w:rFonts w:ascii="Times New Roman" w:hAnsi="Times New Roman" w:cs="Times New Roman"/>
          <w:sz w:val="24"/>
          <w:szCs w:val="24"/>
        </w:rPr>
        <w:t xml:space="preserve"> : est l'absorbance du contrôle </w:t>
      </w:r>
    </w:p>
    <w:p w14:paraId="1C46C778" w14:textId="77777777" w:rsidR="001472A6" w:rsidRPr="001472A6" w:rsidRDefault="001472A6" w:rsidP="001472A6">
      <w:pPr>
        <w:spacing w:after="5" w:line="360" w:lineRule="auto"/>
        <w:ind w:left="-5" w:right="57"/>
        <w:jc w:val="both"/>
        <w:rPr>
          <w:rFonts w:ascii="Times New Roman" w:hAnsi="Times New Roman" w:cs="Times New Roman"/>
          <w:sz w:val="24"/>
          <w:szCs w:val="24"/>
        </w:rPr>
      </w:pPr>
      <w:r w:rsidRPr="001472A6">
        <w:rPr>
          <w:rFonts w:ascii="Times New Roman" w:hAnsi="Times New Roman" w:cs="Times New Roman"/>
          <w:sz w:val="24"/>
          <w:szCs w:val="24"/>
        </w:rPr>
        <w:t xml:space="preserve">At : est l'absorbance de l'échantillon testé. </w:t>
      </w:r>
    </w:p>
    <w:p w14:paraId="625EFF63" w14:textId="77777777" w:rsidR="001472A6" w:rsidRPr="001472A6" w:rsidRDefault="001472A6" w:rsidP="001472A6">
      <w:pPr>
        <w:spacing w:after="5" w:line="360" w:lineRule="auto"/>
        <w:ind w:left="-5" w:right="57"/>
        <w:jc w:val="both"/>
        <w:rPr>
          <w:rFonts w:ascii="Times New Roman" w:hAnsi="Times New Roman" w:cs="Times New Roman"/>
          <w:sz w:val="24"/>
          <w:szCs w:val="24"/>
        </w:rPr>
      </w:pPr>
    </w:p>
    <w:p w14:paraId="629AA779" w14:textId="77777777" w:rsidR="003E3FB4" w:rsidRDefault="00385ED0">
      <w:pPr>
        <w:pStyle w:val="Paragraphedeliste"/>
        <w:numPr>
          <w:ilvl w:val="0"/>
          <w:numId w:val="5"/>
        </w:numPr>
        <w:spacing w:after="63" w:line="360" w:lineRule="auto"/>
        <w:rPr>
          <w:rFonts w:asciiTheme="majorBidi" w:hAnsiTheme="majorBidi" w:cstheme="majorBidi"/>
          <w:b/>
          <w:bCs/>
          <w:iCs/>
          <w:sz w:val="24"/>
          <w:szCs w:val="24"/>
        </w:rPr>
      </w:pPr>
      <w:r>
        <w:rPr>
          <w:rFonts w:asciiTheme="majorBidi" w:hAnsiTheme="majorBidi" w:cstheme="majorBidi"/>
          <w:b/>
          <w:bCs/>
          <w:iCs/>
          <w:sz w:val="24"/>
          <w:szCs w:val="24"/>
        </w:rPr>
        <w:t xml:space="preserve">Détermination de la concentration efficace à 50% (CE50) </w:t>
      </w:r>
    </w:p>
    <w:p w14:paraId="6217AF7C" w14:textId="77777777" w:rsidR="003E3FB4" w:rsidRDefault="00385ED0">
      <w:pPr>
        <w:spacing w:after="120" w:line="360" w:lineRule="auto"/>
        <w:ind w:left="-5" w:right="57" w:firstLine="572"/>
        <w:jc w:val="both"/>
        <w:rPr>
          <w:rFonts w:asciiTheme="majorBidi" w:hAnsiTheme="majorBidi" w:cstheme="majorBidi"/>
          <w:sz w:val="24"/>
          <w:szCs w:val="24"/>
        </w:rPr>
      </w:pPr>
      <w:bookmarkStart w:id="27" w:name="_Hlk194962637"/>
      <w:r>
        <w:rPr>
          <w:rFonts w:asciiTheme="majorBidi" w:hAnsiTheme="majorBidi" w:cstheme="majorBidi"/>
          <w:sz w:val="24"/>
          <w:szCs w:val="24"/>
        </w:rPr>
        <w:t xml:space="preserve">La CE₅₀ représente la concentration d’extrait nécessaire pour inhiber 50 % des radicaux libres DPPH, selon la définition de </w:t>
      </w:r>
      <w:r>
        <w:rPr>
          <w:rFonts w:asciiTheme="majorBidi" w:hAnsiTheme="majorBidi" w:cstheme="majorBidi"/>
          <w:b/>
          <w:bCs/>
          <w:sz w:val="24"/>
          <w:szCs w:val="24"/>
        </w:rPr>
        <w:t>Diop et al., (2021)</w:t>
      </w:r>
      <w:r>
        <w:rPr>
          <w:rFonts w:asciiTheme="majorBidi" w:hAnsiTheme="majorBidi" w:cstheme="majorBidi"/>
          <w:sz w:val="24"/>
          <w:szCs w:val="24"/>
        </w:rPr>
        <w:t xml:space="preserve">. Cette valeur est déterminée graphiquement à partir de la courbe de régression linéaire </w:t>
      </w:r>
      <w:r>
        <w:rPr>
          <w:rFonts w:asciiTheme="majorBidi" w:hAnsiTheme="majorBidi" w:cstheme="majorBidi"/>
          <w:b/>
          <w:bCs/>
          <w:sz w:val="24"/>
          <w:szCs w:val="24"/>
        </w:rPr>
        <w:t>(Annexe)</w:t>
      </w:r>
    </w:p>
    <w:p w14:paraId="41B422C8" w14:textId="77777777" w:rsidR="003E3FB4" w:rsidRDefault="00385ED0">
      <w:pPr>
        <w:spacing w:after="120" w:line="360" w:lineRule="auto"/>
        <w:ind w:right="57"/>
        <w:jc w:val="both"/>
        <w:rPr>
          <w:rFonts w:asciiTheme="majorBidi" w:hAnsiTheme="majorBidi" w:cstheme="majorBidi"/>
          <w:sz w:val="24"/>
          <w:szCs w:val="24"/>
        </w:rPr>
      </w:pPr>
      <w:r>
        <w:rPr>
          <w:rFonts w:asciiTheme="majorBidi" w:hAnsiTheme="majorBidi" w:cstheme="majorBidi"/>
          <w:b/>
          <w:bCs/>
          <w:sz w:val="24"/>
          <w:szCs w:val="24"/>
        </w:rPr>
        <w:t xml:space="preserve">II.5.1.2. </w:t>
      </w:r>
      <w:r>
        <w:rPr>
          <w:rFonts w:asciiTheme="majorBidi" w:hAnsiTheme="majorBidi" w:cstheme="majorBidi"/>
          <w:b/>
          <w:sz w:val="24"/>
          <w:szCs w:val="24"/>
        </w:rPr>
        <w:t>Test de FRAP</w:t>
      </w:r>
      <w:r>
        <w:rPr>
          <w:rFonts w:asciiTheme="majorBidi" w:hAnsiTheme="majorBidi" w:cstheme="majorBidi"/>
          <w:sz w:val="24"/>
          <w:szCs w:val="24"/>
        </w:rPr>
        <w:t xml:space="preserve"> </w:t>
      </w:r>
    </w:p>
    <w:bookmarkEnd w:id="27"/>
    <w:p w14:paraId="36A71A5D" w14:textId="77777777" w:rsidR="003E3FB4" w:rsidRDefault="00385ED0">
      <w:pPr>
        <w:pStyle w:val="Paragraphedeliste"/>
        <w:numPr>
          <w:ilvl w:val="0"/>
          <w:numId w:val="7"/>
        </w:numPr>
        <w:spacing w:after="10" w:line="360" w:lineRule="auto"/>
        <w:ind w:right="57"/>
        <w:jc w:val="both"/>
        <w:rPr>
          <w:rFonts w:asciiTheme="majorBidi" w:hAnsiTheme="majorBidi" w:cstheme="majorBidi"/>
          <w:b/>
          <w:bCs/>
          <w:iCs/>
          <w:sz w:val="24"/>
          <w:szCs w:val="24"/>
        </w:rPr>
      </w:pPr>
      <w:r>
        <w:rPr>
          <w:rFonts w:asciiTheme="majorBidi" w:hAnsiTheme="majorBidi" w:cstheme="majorBidi"/>
          <w:b/>
          <w:bCs/>
          <w:iCs/>
          <w:sz w:val="24"/>
          <w:szCs w:val="24"/>
        </w:rPr>
        <w:t xml:space="preserve">Principe </w:t>
      </w:r>
    </w:p>
    <w:p w14:paraId="43AB351B" w14:textId="77777777" w:rsidR="003E3FB4" w:rsidRDefault="00385ED0">
      <w:pPr>
        <w:spacing w:after="95" w:line="360" w:lineRule="auto"/>
        <w:ind w:left="-5" w:right="57" w:firstLine="572"/>
        <w:jc w:val="both"/>
        <w:rPr>
          <w:rFonts w:asciiTheme="majorBidi" w:hAnsiTheme="majorBidi" w:cstheme="majorBidi"/>
          <w:i/>
          <w:sz w:val="24"/>
          <w:szCs w:val="24"/>
        </w:rPr>
      </w:pPr>
      <w:r>
        <w:rPr>
          <w:rFonts w:asciiTheme="majorBidi" w:hAnsiTheme="majorBidi" w:cstheme="majorBidi"/>
          <w:sz w:val="24"/>
          <w:szCs w:val="24"/>
        </w:rPr>
        <w:t xml:space="preserve">Le pouvoir réducteur est basé sur la capacité d’un composé à réduire le Fer ferrique (Fe3+) présent dans le complexe K3Fe (CN) 6 en Fer ferreux (Fe2+). Le Fer ferrique initialement jaune, se réduit et devient bleu ou vert en présence d’un atome d’électron. Le changement de couleur de jaune à bleu ou vert est proportionnel à l’activité antioxydante </w:t>
      </w:r>
      <w:r>
        <w:rPr>
          <w:rFonts w:asciiTheme="majorBidi" w:hAnsiTheme="majorBidi" w:cstheme="majorBidi"/>
          <w:b/>
          <w:bCs/>
          <w:sz w:val="24"/>
          <w:szCs w:val="24"/>
        </w:rPr>
        <w:t xml:space="preserve">(Habibou et </w:t>
      </w:r>
      <w:r>
        <w:rPr>
          <w:rFonts w:asciiTheme="majorBidi" w:hAnsiTheme="majorBidi" w:cstheme="majorBidi"/>
          <w:b/>
          <w:bCs/>
          <w:i/>
          <w:iCs/>
          <w:sz w:val="24"/>
          <w:szCs w:val="24"/>
        </w:rPr>
        <w:t>al</w:t>
      </w:r>
      <w:r>
        <w:rPr>
          <w:rFonts w:asciiTheme="majorBidi" w:hAnsiTheme="majorBidi" w:cstheme="majorBidi"/>
          <w:b/>
          <w:bCs/>
          <w:sz w:val="24"/>
          <w:szCs w:val="24"/>
        </w:rPr>
        <w:t>., 2019).</w:t>
      </w:r>
      <w:r>
        <w:rPr>
          <w:rFonts w:asciiTheme="majorBidi" w:hAnsiTheme="majorBidi" w:cstheme="majorBidi"/>
          <w:sz w:val="24"/>
          <w:szCs w:val="24"/>
        </w:rPr>
        <w:t xml:space="preserve"> </w:t>
      </w:r>
    </w:p>
    <w:p w14:paraId="1A21260D" w14:textId="77777777" w:rsidR="003E3FB4" w:rsidRDefault="00385ED0">
      <w:pPr>
        <w:pStyle w:val="Paragraphedeliste"/>
        <w:numPr>
          <w:ilvl w:val="0"/>
          <w:numId w:val="7"/>
        </w:numPr>
        <w:spacing w:after="95" w:line="360" w:lineRule="auto"/>
        <w:ind w:right="57"/>
        <w:jc w:val="both"/>
        <w:rPr>
          <w:rFonts w:asciiTheme="majorBidi" w:hAnsiTheme="majorBidi" w:cstheme="majorBidi"/>
          <w:sz w:val="24"/>
          <w:szCs w:val="24"/>
        </w:rPr>
      </w:pPr>
      <w:r>
        <w:rPr>
          <w:rFonts w:asciiTheme="majorBidi" w:hAnsiTheme="majorBidi" w:cstheme="majorBidi"/>
          <w:b/>
          <w:bCs/>
          <w:iCs/>
          <w:sz w:val="24"/>
          <w:szCs w:val="24"/>
        </w:rPr>
        <w:t>Mode opératoire</w:t>
      </w:r>
      <w:r>
        <w:rPr>
          <w:rFonts w:asciiTheme="majorBidi" w:hAnsiTheme="majorBidi" w:cstheme="majorBidi"/>
          <w:i/>
          <w:sz w:val="24"/>
          <w:szCs w:val="24"/>
        </w:rPr>
        <w:t xml:space="preserve"> </w:t>
      </w:r>
    </w:p>
    <w:p w14:paraId="04BD8104" w14:textId="77777777" w:rsidR="003E3FB4" w:rsidRDefault="00385ED0">
      <w:pPr>
        <w:spacing w:after="180" w:line="360" w:lineRule="auto"/>
        <w:ind w:firstLine="567"/>
        <w:jc w:val="both"/>
        <w:rPr>
          <w:rFonts w:asciiTheme="majorBidi" w:hAnsiTheme="majorBidi" w:cstheme="majorBidi"/>
          <w:b/>
          <w:bCs/>
          <w:sz w:val="24"/>
          <w:szCs w:val="24"/>
          <w:lang w:bidi="ar-DZ"/>
        </w:rPr>
      </w:pPr>
      <w:r>
        <w:rPr>
          <w:rFonts w:asciiTheme="majorBidi" w:hAnsiTheme="majorBidi" w:cstheme="majorBidi"/>
          <w:sz w:val="24"/>
          <w:szCs w:val="24"/>
        </w:rPr>
        <w:t xml:space="preserve">Le pouvoir réducteur du Fer (Fer3+) des extraits de fenugrec </w:t>
      </w:r>
      <w:r>
        <w:rPr>
          <w:rFonts w:asciiTheme="majorBidi" w:hAnsiTheme="majorBidi" w:cstheme="majorBidi"/>
          <w:sz w:val="24"/>
          <w:szCs w:val="24"/>
          <w:lang w:bidi="ar-DZ"/>
        </w:rPr>
        <w:t>(</w:t>
      </w:r>
      <w:r>
        <w:rPr>
          <w:rFonts w:asciiTheme="majorBidi" w:hAnsiTheme="majorBidi" w:cstheme="majorBidi"/>
          <w:i/>
          <w:iCs/>
          <w:sz w:val="24"/>
          <w:szCs w:val="24"/>
          <w:lang w:bidi="ar-DZ"/>
        </w:rPr>
        <w:t>Trigonella foenum-graecum</w:t>
      </w:r>
      <w:r>
        <w:rPr>
          <w:rFonts w:asciiTheme="majorBidi" w:hAnsiTheme="majorBidi" w:cstheme="majorBidi"/>
          <w:sz w:val="24"/>
          <w:szCs w:val="24"/>
          <w:lang w:bidi="ar-DZ"/>
        </w:rPr>
        <w:t xml:space="preserve"> L.)</w:t>
      </w:r>
      <w:r>
        <w:rPr>
          <w:rFonts w:asciiTheme="majorBidi" w:hAnsiTheme="majorBidi" w:cstheme="majorBidi"/>
          <w:b/>
          <w:bCs/>
          <w:sz w:val="24"/>
          <w:szCs w:val="24"/>
          <w:lang w:bidi="ar-DZ"/>
        </w:rPr>
        <w:t xml:space="preserve"> </w:t>
      </w:r>
      <w:r>
        <w:rPr>
          <w:rFonts w:asciiTheme="majorBidi" w:hAnsiTheme="majorBidi" w:cstheme="majorBidi"/>
          <w:sz w:val="24"/>
          <w:szCs w:val="24"/>
        </w:rPr>
        <w:t xml:space="preserve">est déterminé selon la méthode décrite par </w:t>
      </w:r>
      <w:r>
        <w:rPr>
          <w:rFonts w:asciiTheme="majorBidi" w:hAnsiTheme="majorBidi" w:cstheme="majorBidi"/>
          <w:b/>
          <w:bCs/>
          <w:sz w:val="24"/>
          <w:szCs w:val="24"/>
        </w:rPr>
        <w:t>oyaizu, (1986)</w:t>
      </w:r>
      <w:r>
        <w:rPr>
          <w:rFonts w:asciiTheme="majorBidi" w:hAnsiTheme="majorBidi" w:cstheme="majorBidi"/>
          <w:sz w:val="24"/>
          <w:szCs w:val="24"/>
        </w:rPr>
        <w:t xml:space="preserve"> : </w:t>
      </w:r>
    </w:p>
    <w:p w14:paraId="750B2415" w14:textId="77777777" w:rsidR="003E3FB4" w:rsidRDefault="00385ED0">
      <w:pPr>
        <w:spacing w:after="180" w:line="360" w:lineRule="auto"/>
        <w:ind w:firstLine="567"/>
        <w:jc w:val="both"/>
        <w:rPr>
          <w:rFonts w:asciiTheme="majorBidi" w:hAnsiTheme="majorBidi" w:cstheme="majorBidi"/>
          <w:sz w:val="24"/>
          <w:szCs w:val="24"/>
        </w:rPr>
      </w:pPr>
      <w:r>
        <w:rPr>
          <w:rFonts w:asciiTheme="majorBidi" w:hAnsiTheme="majorBidi" w:cstheme="majorBidi"/>
          <w:sz w:val="24"/>
          <w:szCs w:val="24"/>
        </w:rPr>
        <w:lastRenderedPageBreak/>
        <w:t xml:space="preserve">Un volume de 1 ml de chaque extrait des graines de fenugrec </w:t>
      </w:r>
      <w:r>
        <w:rPr>
          <w:rFonts w:asciiTheme="majorBidi" w:hAnsiTheme="majorBidi" w:cstheme="majorBidi"/>
          <w:sz w:val="24"/>
          <w:szCs w:val="24"/>
          <w:lang w:bidi="ar-DZ"/>
        </w:rPr>
        <w:t>(</w:t>
      </w:r>
      <w:r>
        <w:rPr>
          <w:rFonts w:asciiTheme="majorBidi" w:hAnsiTheme="majorBidi" w:cstheme="majorBidi"/>
          <w:i/>
          <w:iCs/>
          <w:sz w:val="24"/>
          <w:szCs w:val="24"/>
          <w:lang w:bidi="ar-DZ"/>
        </w:rPr>
        <w:t>Trigonella foenum-graecum</w:t>
      </w:r>
      <w:r>
        <w:rPr>
          <w:rFonts w:asciiTheme="majorBidi" w:hAnsiTheme="majorBidi" w:cstheme="majorBidi"/>
          <w:sz w:val="24"/>
          <w:szCs w:val="24"/>
          <w:lang w:bidi="ar-DZ"/>
        </w:rPr>
        <w:t xml:space="preserve"> L.), </w:t>
      </w:r>
      <w:r>
        <w:rPr>
          <w:rFonts w:asciiTheme="majorBidi" w:hAnsiTheme="majorBidi" w:cstheme="majorBidi"/>
          <w:sz w:val="24"/>
          <w:szCs w:val="24"/>
        </w:rPr>
        <w:t xml:space="preserve">préparées précédemment à différentes concentrations (10 μg /ml, 20 μg/ml, 30 μg/ml, 40 μg/ml, 50 μg/ml, 100 μg/ml, 125 μg/ml) est mélangé avec 2.5 ml d’une solution tampon phosphate 0.2 M (pH=6.6) et 2.5 ml d’une solution de ferricyanure de potassium K3 Fe (CN) 6 à 1%. L’ensemble est incubé à 50°C pendant 20 min, ensuite 2.5 ml d’acide trichloracétique à 10% sont ajoutés. Les tubes sont centrifugés à 3000 rpm pendant 10 min. </w:t>
      </w:r>
    </w:p>
    <w:p w14:paraId="47742B38" w14:textId="77777777" w:rsidR="003E3FB4" w:rsidRDefault="00385ED0">
      <w:pPr>
        <w:spacing w:line="360" w:lineRule="auto"/>
        <w:ind w:left="-5" w:right="57" w:firstLine="572"/>
        <w:jc w:val="both"/>
        <w:rPr>
          <w:rFonts w:asciiTheme="majorBidi" w:hAnsiTheme="majorBidi" w:cstheme="majorBidi"/>
          <w:sz w:val="24"/>
          <w:szCs w:val="24"/>
        </w:rPr>
      </w:pPr>
      <w:r>
        <w:rPr>
          <w:rFonts w:asciiTheme="majorBidi" w:hAnsiTheme="majorBidi" w:cstheme="majorBidi"/>
          <w:sz w:val="24"/>
          <w:szCs w:val="24"/>
        </w:rPr>
        <w:t xml:space="preserve">Puis, 2.5 ml de surnageant est mélangé avec 2.5 ml d’eau distillée et 0.5 ml d'une solution Fe Cl3 à 0.1%. La mesure de l’absorbance a été réalisée à 700 nm, le blanc est semblablement préparé, en remplaçant l’échantillon d’huile essentielle de l’extrait aqueux par l’eau distillée et l’extrait éthanolique par l’éthanol. </w:t>
      </w:r>
    </w:p>
    <w:p w14:paraId="4EAAEB45" w14:textId="77777777" w:rsidR="003E3FB4" w:rsidRDefault="00385ED0">
      <w:pPr>
        <w:spacing w:line="360" w:lineRule="auto"/>
        <w:ind w:left="-5" w:right="57" w:firstLine="572"/>
        <w:jc w:val="both"/>
        <w:rPr>
          <w:rFonts w:asciiTheme="majorBidi" w:hAnsiTheme="majorBidi" w:cstheme="majorBidi"/>
          <w:sz w:val="24"/>
          <w:szCs w:val="24"/>
        </w:rPr>
      </w:pPr>
      <w:r>
        <w:rPr>
          <w:rFonts w:asciiTheme="majorBidi" w:hAnsiTheme="majorBidi" w:cstheme="majorBidi"/>
          <w:sz w:val="24"/>
          <w:szCs w:val="24"/>
        </w:rPr>
        <w:t xml:space="preserve">Le contrôle positif est présenté par l’acide ascorbique (antioxydant standard) et le BHT dont l’absorbance a été mesuré dans les même conditions. </w:t>
      </w:r>
    </w:p>
    <w:p w14:paraId="0E108D70" w14:textId="77777777" w:rsidR="003E3FB4" w:rsidRDefault="00385ED0">
      <w:pPr>
        <w:spacing w:after="120" w:line="360" w:lineRule="auto"/>
        <w:rPr>
          <w:rFonts w:asciiTheme="majorBidi" w:hAnsiTheme="majorBidi" w:cstheme="majorBidi"/>
          <w:b/>
          <w:bCs/>
          <w:sz w:val="24"/>
          <w:szCs w:val="24"/>
        </w:rPr>
      </w:pPr>
      <w:bookmarkStart w:id="28" w:name="_Hlk193148066"/>
      <w:r>
        <w:rPr>
          <w:rFonts w:asciiTheme="majorBidi" w:hAnsiTheme="majorBidi" w:cstheme="majorBidi"/>
          <w:b/>
          <w:bCs/>
          <w:sz w:val="24"/>
          <w:szCs w:val="24"/>
        </w:rPr>
        <w:t xml:space="preserve">II.5.2. Activité anti-inflammatoire in </w:t>
      </w:r>
      <w:r>
        <w:rPr>
          <w:rFonts w:asciiTheme="majorBidi" w:hAnsiTheme="majorBidi" w:cstheme="majorBidi"/>
          <w:b/>
          <w:bCs/>
          <w:i/>
          <w:iCs/>
          <w:sz w:val="24"/>
          <w:szCs w:val="24"/>
        </w:rPr>
        <w:t xml:space="preserve">vitro  </w:t>
      </w:r>
    </w:p>
    <w:p w14:paraId="2C0EAD39" w14:textId="77777777" w:rsidR="003E3FB4" w:rsidRDefault="00385ED0">
      <w:pPr>
        <w:spacing w:after="0" w:line="360" w:lineRule="auto"/>
        <w:jc w:val="both"/>
        <w:rPr>
          <w:rFonts w:asciiTheme="majorBidi" w:hAnsiTheme="majorBidi" w:cstheme="majorBidi"/>
          <w:sz w:val="24"/>
          <w:szCs w:val="24"/>
        </w:rPr>
      </w:pPr>
      <w:r>
        <w:rPr>
          <w:rFonts w:asciiTheme="majorBidi" w:hAnsiTheme="majorBidi" w:cstheme="majorBidi"/>
          <w:sz w:val="24"/>
          <w:szCs w:val="24"/>
        </w:rPr>
        <w:t>Dans notre étude, le model de dénaturation de l’ovalbumine a été choisi.</w:t>
      </w:r>
    </w:p>
    <w:p w14:paraId="4A182BA3" w14:textId="77777777" w:rsidR="003E3FB4" w:rsidRDefault="00385ED0">
      <w:pPr>
        <w:pStyle w:val="Paragraphedeliste"/>
        <w:numPr>
          <w:ilvl w:val="0"/>
          <w:numId w:val="7"/>
        </w:numPr>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Principe </w:t>
      </w:r>
    </w:p>
    <w:p w14:paraId="1C4EF471" w14:textId="77777777" w:rsidR="003E3FB4" w:rsidRDefault="00385ED0">
      <w:pPr>
        <w:spacing w:after="0"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Cette méthode repose sur la capacité des extraits à réduire la dénaturation thermique de l'ovalbumine, une protéine de référence choisie pour sa stabilité lors du processus anti-inflammatoire </w:t>
      </w:r>
      <w:r>
        <w:rPr>
          <w:rFonts w:asciiTheme="majorBidi" w:hAnsiTheme="majorBidi" w:cstheme="majorBidi"/>
          <w:b/>
          <w:bCs/>
          <w:sz w:val="24"/>
          <w:szCs w:val="24"/>
        </w:rPr>
        <w:t>(Bouhlali et al, 2016)</w:t>
      </w:r>
      <w:r>
        <w:rPr>
          <w:rFonts w:asciiTheme="majorBidi" w:hAnsiTheme="majorBidi" w:cstheme="majorBidi"/>
          <w:sz w:val="24"/>
          <w:szCs w:val="24"/>
        </w:rPr>
        <w:t>.</w:t>
      </w:r>
    </w:p>
    <w:p w14:paraId="1C045FEE" w14:textId="77777777" w:rsidR="003E3FB4" w:rsidRDefault="00385ED0">
      <w:pPr>
        <w:spacing w:after="180" w:line="360" w:lineRule="auto"/>
        <w:jc w:val="both"/>
        <w:rPr>
          <w:rFonts w:asciiTheme="majorBidi" w:hAnsiTheme="majorBidi" w:cstheme="majorBidi"/>
          <w:sz w:val="24"/>
          <w:szCs w:val="24"/>
          <w:lang w:bidi="ar-DZ"/>
        </w:rPr>
      </w:pPr>
      <w:r>
        <w:rPr>
          <w:rFonts w:asciiTheme="majorBidi" w:hAnsiTheme="majorBidi" w:cstheme="majorBidi"/>
          <w:sz w:val="24"/>
          <w:szCs w:val="24"/>
        </w:rPr>
        <w:t xml:space="preserve">L’activité anti-inflammatoire a été faite sur l’extrait aqueux et l’extrait éthanolique des graines de </w:t>
      </w:r>
      <w:r>
        <w:rPr>
          <w:rFonts w:asciiTheme="majorBidi" w:hAnsiTheme="majorBidi" w:cstheme="majorBidi"/>
          <w:i/>
          <w:iCs/>
          <w:sz w:val="24"/>
          <w:szCs w:val="24"/>
          <w:lang w:bidi="ar-DZ"/>
        </w:rPr>
        <w:t xml:space="preserve">Trigonella foenum-graecum </w:t>
      </w:r>
      <w:r>
        <w:rPr>
          <w:rFonts w:asciiTheme="majorBidi" w:hAnsiTheme="majorBidi" w:cstheme="majorBidi"/>
          <w:sz w:val="24"/>
          <w:szCs w:val="24"/>
          <w:lang w:bidi="ar-DZ"/>
        </w:rPr>
        <w:t>L.</w:t>
      </w:r>
    </w:p>
    <w:p w14:paraId="6EE0EEDF" w14:textId="77777777" w:rsidR="003E3FB4" w:rsidRDefault="00385ED0">
      <w:pPr>
        <w:pStyle w:val="Paragraphedeliste"/>
        <w:numPr>
          <w:ilvl w:val="0"/>
          <w:numId w:val="7"/>
        </w:numPr>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Mode opératoire </w:t>
      </w:r>
    </w:p>
    <w:p w14:paraId="3FDBCC6E" w14:textId="402B4083" w:rsidR="00922698" w:rsidRPr="00922698" w:rsidRDefault="00922698" w:rsidP="00922698">
      <w:pPr>
        <w:spacing w:after="0" w:line="360" w:lineRule="auto"/>
        <w:ind w:firstLine="567"/>
        <w:jc w:val="both"/>
        <w:rPr>
          <w:rFonts w:asciiTheme="majorBidi" w:hAnsiTheme="majorBidi" w:cstheme="majorBidi"/>
          <w:sz w:val="24"/>
          <w:szCs w:val="24"/>
        </w:rPr>
      </w:pPr>
      <w:r w:rsidRPr="00922698">
        <w:rPr>
          <w:rFonts w:asciiTheme="majorBidi" w:hAnsiTheme="majorBidi" w:cstheme="majorBidi"/>
          <w:sz w:val="24"/>
          <w:szCs w:val="24"/>
        </w:rPr>
        <w:t xml:space="preserve">L’évaluation de l’activité anti-inflammatoire in vitro par inhibition de la dénaturation protéique a été réalisée selon le protocole de </w:t>
      </w:r>
      <w:r w:rsidRPr="00320AF4">
        <w:rPr>
          <w:rFonts w:asciiTheme="majorBidi" w:hAnsiTheme="majorBidi" w:cstheme="majorBidi"/>
          <w:b/>
          <w:bCs/>
          <w:sz w:val="24"/>
          <w:szCs w:val="24"/>
        </w:rPr>
        <w:t>C</w:t>
      </w:r>
      <w:r w:rsidR="00320AF4" w:rsidRPr="00320AF4">
        <w:rPr>
          <w:rFonts w:asciiTheme="majorBidi" w:hAnsiTheme="majorBidi" w:cstheme="majorBidi"/>
          <w:b/>
          <w:bCs/>
          <w:sz w:val="24"/>
          <w:szCs w:val="24"/>
        </w:rPr>
        <w:t>handra</w:t>
      </w:r>
      <w:r w:rsidRPr="00320AF4">
        <w:rPr>
          <w:rFonts w:asciiTheme="majorBidi" w:hAnsiTheme="majorBidi" w:cstheme="majorBidi"/>
          <w:b/>
          <w:bCs/>
          <w:sz w:val="24"/>
          <w:szCs w:val="24"/>
        </w:rPr>
        <w:t xml:space="preserve"> et </w:t>
      </w:r>
      <w:r w:rsidRPr="00320AF4">
        <w:rPr>
          <w:rFonts w:asciiTheme="majorBidi" w:hAnsiTheme="majorBidi" w:cstheme="majorBidi"/>
          <w:b/>
          <w:bCs/>
          <w:i/>
          <w:iCs/>
          <w:sz w:val="24"/>
          <w:szCs w:val="24"/>
        </w:rPr>
        <w:t>al</w:t>
      </w:r>
      <w:r w:rsidRPr="00320AF4">
        <w:rPr>
          <w:rFonts w:asciiTheme="majorBidi" w:hAnsiTheme="majorBidi" w:cstheme="majorBidi"/>
          <w:b/>
          <w:bCs/>
          <w:sz w:val="24"/>
          <w:szCs w:val="24"/>
        </w:rPr>
        <w:t>., (2012)</w:t>
      </w:r>
      <w:r w:rsidRPr="00922698">
        <w:rPr>
          <w:rFonts w:asciiTheme="majorBidi" w:hAnsiTheme="majorBidi" w:cstheme="majorBidi"/>
          <w:sz w:val="24"/>
          <w:szCs w:val="24"/>
        </w:rPr>
        <w:t xml:space="preserve"> avec quelques modifications. Les différentes étapes sont résumées comme suit :</w:t>
      </w:r>
    </w:p>
    <w:p w14:paraId="6E3E6968" w14:textId="77777777" w:rsidR="00922698" w:rsidRPr="00922698" w:rsidRDefault="00922698" w:rsidP="00922698">
      <w:pPr>
        <w:spacing w:after="0" w:line="360" w:lineRule="auto"/>
        <w:jc w:val="both"/>
        <w:rPr>
          <w:rFonts w:asciiTheme="majorBidi" w:hAnsiTheme="majorBidi" w:cstheme="majorBidi"/>
          <w:sz w:val="24"/>
          <w:szCs w:val="24"/>
        </w:rPr>
      </w:pPr>
      <w:r w:rsidRPr="00922698">
        <w:rPr>
          <w:rFonts w:asciiTheme="majorBidi" w:hAnsiTheme="majorBidi" w:cstheme="majorBidi"/>
          <w:sz w:val="24"/>
          <w:szCs w:val="24"/>
        </w:rPr>
        <w:t>Une solution de l’ovalbumine à 2 g/100 ml a été préparée dans l’eau distillée et utilisée immédiatement après sa préparation.</w:t>
      </w:r>
    </w:p>
    <w:p w14:paraId="6B5EA5A0" w14:textId="77A3B87F" w:rsidR="00922698" w:rsidRPr="00922698" w:rsidRDefault="00922698" w:rsidP="00922698">
      <w:pPr>
        <w:spacing w:after="0" w:line="360" w:lineRule="auto"/>
        <w:jc w:val="both"/>
        <w:rPr>
          <w:rFonts w:asciiTheme="majorBidi" w:hAnsiTheme="majorBidi" w:cstheme="majorBidi"/>
          <w:sz w:val="24"/>
          <w:szCs w:val="24"/>
        </w:rPr>
      </w:pPr>
      <w:r w:rsidRPr="00922698">
        <w:rPr>
          <w:rFonts w:asciiTheme="majorBidi" w:hAnsiTheme="majorBidi" w:cstheme="majorBidi"/>
          <w:sz w:val="24"/>
          <w:szCs w:val="24"/>
        </w:rPr>
        <w:t xml:space="preserve">Pour la préparation des échantillons, 30mg de </w:t>
      </w:r>
      <w:r>
        <w:rPr>
          <w:rFonts w:asciiTheme="majorBidi" w:hAnsiTheme="majorBidi" w:cstheme="majorBidi"/>
          <w:sz w:val="24"/>
          <w:szCs w:val="24"/>
        </w:rPr>
        <w:t>chaque extrait</w:t>
      </w:r>
      <w:r w:rsidRPr="00922698">
        <w:rPr>
          <w:rFonts w:asciiTheme="majorBidi" w:hAnsiTheme="majorBidi" w:cstheme="majorBidi"/>
          <w:sz w:val="24"/>
          <w:szCs w:val="24"/>
        </w:rPr>
        <w:t xml:space="preserve"> ont été dissous dans 3ml d’éthanol (CH₃OH). À partir de ce mélange, Sept solutions de différentes concentrations (50μg/ml, 100 μg/ml, 150 μg/ml, 200 μg/ml, 250 μg/ml, 300 μg/ml et 400 μg/ml) ont été préparées dans l'éthanol. Ensuite, des volumes de 1 ml de la solution l’ovalbumine (2 g/100 ml) ont été ajoutés à chaque solution contenant </w:t>
      </w:r>
      <w:r>
        <w:rPr>
          <w:rFonts w:asciiTheme="majorBidi" w:hAnsiTheme="majorBidi" w:cstheme="majorBidi"/>
          <w:sz w:val="24"/>
          <w:szCs w:val="24"/>
        </w:rPr>
        <w:t>les extraits</w:t>
      </w:r>
      <w:r w:rsidRPr="00922698">
        <w:rPr>
          <w:rFonts w:asciiTheme="majorBidi" w:hAnsiTheme="majorBidi" w:cstheme="majorBidi"/>
          <w:sz w:val="24"/>
          <w:szCs w:val="24"/>
        </w:rPr>
        <w:t>.</w:t>
      </w:r>
    </w:p>
    <w:p w14:paraId="2904EC3A" w14:textId="77777777" w:rsidR="00922698" w:rsidRPr="00922698" w:rsidRDefault="00922698" w:rsidP="00922698">
      <w:pPr>
        <w:spacing w:after="0" w:line="360" w:lineRule="auto"/>
        <w:jc w:val="both"/>
        <w:rPr>
          <w:rFonts w:asciiTheme="majorBidi" w:hAnsiTheme="majorBidi" w:cstheme="majorBidi"/>
          <w:sz w:val="24"/>
          <w:szCs w:val="24"/>
        </w:rPr>
      </w:pPr>
      <w:r w:rsidRPr="00922698">
        <w:rPr>
          <w:rFonts w:asciiTheme="majorBidi" w:hAnsiTheme="majorBidi" w:cstheme="majorBidi"/>
          <w:sz w:val="24"/>
          <w:szCs w:val="24"/>
        </w:rPr>
        <w:lastRenderedPageBreak/>
        <w:t>Un contrôle négatif (blanc) a également été préparé en mélangeant 2 ml de l'éthanol avec 1 ml de la solution l’ovalbumine.</w:t>
      </w:r>
    </w:p>
    <w:p w14:paraId="7735A090" w14:textId="77777777" w:rsidR="00922698" w:rsidRDefault="00922698" w:rsidP="00922698">
      <w:pPr>
        <w:spacing w:after="0" w:line="360" w:lineRule="auto"/>
        <w:jc w:val="both"/>
        <w:rPr>
          <w:rFonts w:asciiTheme="majorBidi" w:hAnsiTheme="majorBidi" w:cstheme="majorBidi"/>
          <w:sz w:val="24"/>
          <w:szCs w:val="24"/>
        </w:rPr>
      </w:pPr>
      <w:r w:rsidRPr="00922698">
        <w:rPr>
          <w:rFonts w:asciiTheme="majorBidi" w:hAnsiTheme="majorBidi" w:cstheme="majorBidi"/>
          <w:sz w:val="24"/>
          <w:szCs w:val="24"/>
        </w:rPr>
        <w:t>L’absorbance est mesurée à 660 nm à l’aide d’un spectrophotomètre après une incubation de 10 minutes à température 72 °C.</w:t>
      </w:r>
    </w:p>
    <w:p w14:paraId="337D3A4A" w14:textId="0F6A2C64" w:rsidR="003E3FB4" w:rsidRDefault="00385ED0" w:rsidP="00922698">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Les pourcentages d’inhibition de la dénaturation ont été calculés selon la formule suivante </w:t>
      </w:r>
      <w:r>
        <w:rPr>
          <w:rFonts w:asciiTheme="majorBidi" w:hAnsiTheme="majorBidi" w:cstheme="majorBidi"/>
          <w:b/>
          <w:bCs/>
          <w:sz w:val="24"/>
          <w:szCs w:val="24"/>
        </w:rPr>
        <w:t>(Bouhlali et al, 2016)</w:t>
      </w:r>
      <w:r>
        <w:rPr>
          <w:rFonts w:asciiTheme="majorBidi" w:hAnsiTheme="majorBidi" w:cstheme="majorBidi"/>
          <w:sz w:val="24"/>
          <w:szCs w:val="24"/>
        </w:rPr>
        <w:t xml:space="preserve"> :</w:t>
      </w:r>
    </w:p>
    <w:p w14:paraId="6632086A" w14:textId="77777777" w:rsidR="003E3FB4" w:rsidRDefault="00385ED0">
      <w:pPr>
        <w:spacing w:after="0" w:line="360" w:lineRule="auto"/>
        <w:ind w:firstLine="1985"/>
        <w:jc w:val="both"/>
        <w:rPr>
          <w:rFonts w:asciiTheme="majorBidi" w:hAnsiTheme="majorBidi" w:cstheme="majorBidi"/>
          <w:b/>
          <w:bCs/>
          <w:sz w:val="24"/>
          <w:szCs w:val="24"/>
          <w:lang w:val="en-US"/>
        </w:rPr>
      </w:pPr>
      <w:r>
        <w:rPr>
          <w:rFonts w:asciiTheme="majorBidi" w:hAnsiTheme="majorBidi" w:cstheme="majorBidi"/>
          <w:b/>
          <w:bCs/>
          <w:sz w:val="24"/>
          <w:szCs w:val="24"/>
          <w:lang w:val="en-US"/>
        </w:rPr>
        <w:t>I (%) = (Abs C – Abs T / Abs C) x 100</w:t>
      </w:r>
    </w:p>
    <w:p w14:paraId="2879BB0D" w14:textId="77777777" w:rsidR="003E3FB4" w:rsidRDefault="00385ED0">
      <w:pPr>
        <w:spacing w:after="120" w:line="240" w:lineRule="auto"/>
        <w:jc w:val="both"/>
        <w:rPr>
          <w:rFonts w:asciiTheme="majorBidi" w:hAnsiTheme="majorBidi" w:cstheme="majorBidi"/>
        </w:rPr>
      </w:pPr>
      <w:r>
        <w:rPr>
          <w:rFonts w:asciiTheme="majorBidi" w:hAnsiTheme="majorBidi" w:cstheme="majorBidi"/>
        </w:rPr>
        <w:t xml:space="preserve">Abs C : absorbance du contrôle. Abs </w:t>
      </w:r>
    </w:p>
    <w:p w14:paraId="26B5310E" w14:textId="77777777" w:rsidR="001472A6" w:rsidRDefault="00385ED0">
      <w:pPr>
        <w:spacing w:after="120" w:line="240" w:lineRule="auto"/>
        <w:jc w:val="both"/>
        <w:rPr>
          <w:rFonts w:asciiTheme="majorBidi" w:hAnsiTheme="majorBidi" w:cstheme="majorBidi"/>
        </w:rPr>
      </w:pPr>
      <w:r>
        <w:rPr>
          <w:rFonts w:asciiTheme="majorBidi" w:hAnsiTheme="majorBidi" w:cstheme="majorBidi"/>
        </w:rPr>
        <w:t xml:space="preserve">T : absorbance du test   </w:t>
      </w:r>
    </w:p>
    <w:p w14:paraId="1D44B739" w14:textId="77777777" w:rsidR="001472A6" w:rsidRPr="001472A6" w:rsidRDefault="001472A6" w:rsidP="001472A6">
      <w:pPr>
        <w:pStyle w:val="Paragraphedeliste"/>
        <w:numPr>
          <w:ilvl w:val="0"/>
          <w:numId w:val="11"/>
        </w:numPr>
        <w:spacing w:after="120" w:line="360" w:lineRule="auto"/>
        <w:rPr>
          <w:rFonts w:asciiTheme="majorBidi" w:hAnsiTheme="majorBidi" w:cstheme="majorBidi"/>
          <w:b/>
          <w:bCs/>
          <w:sz w:val="24"/>
          <w:szCs w:val="24"/>
        </w:rPr>
      </w:pPr>
      <w:r w:rsidRPr="001472A6">
        <w:rPr>
          <w:rFonts w:asciiTheme="majorBidi" w:hAnsiTheme="majorBidi" w:cstheme="majorBidi"/>
          <w:b/>
          <w:bCs/>
          <w:sz w:val="24"/>
          <w:szCs w:val="24"/>
        </w:rPr>
        <w:t>Détermination de la concentration efficace à 50% (IC50)</w:t>
      </w:r>
    </w:p>
    <w:p w14:paraId="6109B4D1" w14:textId="7035C060" w:rsidR="003E3FB4" w:rsidRPr="001472A6" w:rsidRDefault="001472A6" w:rsidP="001472A6">
      <w:pPr>
        <w:spacing w:after="120" w:line="360" w:lineRule="auto"/>
        <w:jc w:val="both"/>
        <w:rPr>
          <w:rFonts w:asciiTheme="majorBidi" w:hAnsiTheme="majorBidi" w:cstheme="majorBidi"/>
          <w:b/>
          <w:bCs/>
          <w:sz w:val="24"/>
          <w:szCs w:val="24"/>
        </w:rPr>
      </w:pPr>
      <w:r w:rsidRPr="001472A6">
        <w:rPr>
          <w:rFonts w:asciiTheme="majorBidi" w:hAnsiTheme="majorBidi" w:cstheme="majorBidi"/>
          <w:sz w:val="24"/>
          <w:szCs w:val="24"/>
        </w:rPr>
        <w:t xml:space="preserve">La IC₅₀ correspond à la concentration d’un composé nécessaire pour inhiber 50 % de l’activité biologique ciblée, telle que l’inhibition de la réponse inflammatoire dans les cellules. Cette mesure est utilisée pour évaluer l’efficacité des composés anti-inflammatoires </w:t>
      </w:r>
      <w:r w:rsidRPr="001472A6">
        <w:rPr>
          <w:rFonts w:asciiTheme="majorBidi" w:hAnsiTheme="majorBidi" w:cstheme="majorBidi"/>
          <w:b/>
          <w:bCs/>
          <w:sz w:val="24"/>
          <w:szCs w:val="24"/>
        </w:rPr>
        <w:t xml:space="preserve">(Singh et al., 2020).   </w:t>
      </w:r>
      <w:bookmarkStart w:id="29" w:name="_Hlk193148124"/>
      <w:bookmarkEnd w:id="28"/>
    </w:p>
    <w:p w14:paraId="4C6AA0A0" w14:textId="77777777" w:rsidR="003E3FB4" w:rsidRDefault="00385ED0">
      <w:pPr>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II.5.3. Etude de l’activité antimicrobienne </w:t>
      </w:r>
      <w:bookmarkEnd w:id="29"/>
    </w:p>
    <w:p w14:paraId="31A0E6C7" w14:textId="77777777" w:rsidR="003E3FB4" w:rsidRDefault="00385ED0">
      <w:pPr>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II.5.3.1. Activité antibactérienne </w:t>
      </w:r>
    </w:p>
    <w:p w14:paraId="04C2332B" w14:textId="33A12AC7" w:rsidR="003E3FB4" w:rsidRDefault="00385ED0">
      <w:pPr>
        <w:spacing w:after="120" w:line="360" w:lineRule="auto"/>
        <w:ind w:firstLine="557"/>
        <w:jc w:val="both"/>
        <w:rPr>
          <w:rFonts w:asciiTheme="majorBidi" w:hAnsiTheme="majorBidi" w:cstheme="majorBidi"/>
          <w:b/>
          <w:bCs/>
          <w:sz w:val="24"/>
          <w:szCs w:val="24"/>
        </w:rPr>
      </w:pPr>
      <w:r>
        <w:rPr>
          <w:rFonts w:asciiTheme="majorBidi" w:hAnsiTheme="majorBidi" w:cstheme="majorBidi"/>
          <w:sz w:val="24"/>
          <w:szCs w:val="24"/>
        </w:rPr>
        <w:t xml:space="preserve">L’activité antimicrobienne de l’extrait aqueux et l’extrait éthanolique de </w:t>
      </w:r>
      <w:r>
        <w:rPr>
          <w:rFonts w:asciiTheme="majorBidi" w:hAnsiTheme="majorBidi" w:cstheme="majorBidi"/>
          <w:i/>
          <w:iCs/>
          <w:sz w:val="24"/>
          <w:szCs w:val="24"/>
        </w:rPr>
        <w:t>Trigonella foenum-graecum</w:t>
      </w:r>
      <w:r>
        <w:rPr>
          <w:rFonts w:asciiTheme="majorBidi" w:hAnsiTheme="majorBidi" w:cstheme="majorBidi"/>
          <w:sz w:val="24"/>
          <w:szCs w:val="24"/>
        </w:rPr>
        <w:t xml:space="preserve"> L. a été évaluée vis-à-vis de plusieurs souches bactériennes de référence </w:t>
      </w:r>
      <w:r>
        <w:rPr>
          <w:rFonts w:asciiTheme="majorBidi" w:hAnsiTheme="majorBidi" w:cstheme="majorBidi"/>
          <w:i/>
          <w:iCs/>
          <w:sz w:val="24"/>
          <w:szCs w:val="24"/>
        </w:rPr>
        <w:t>: Bacillus subtilis</w:t>
      </w:r>
      <w:r>
        <w:rPr>
          <w:rFonts w:asciiTheme="majorBidi" w:hAnsiTheme="majorBidi" w:cstheme="majorBidi"/>
          <w:sz w:val="24"/>
          <w:szCs w:val="24"/>
        </w:rPr>
        <w:t xml:space="preserve"> ATCC 6633, </w:t>
      </w:r>
      <w:r>
        <w:rPr>
          <w:rFonts w:asciiTheme="majorBidi" w:hAnsiTheme="majorBidi" w:cstheme="majorBidi"/>
          <w:i/>
          <w:iCs/>
          <w:sz w:val="24"/>
          <w:szCs w:val="24"/>
        </w:rPr>
        <w:t>Staphylococcus epidermidis</w:t>
      </w:r>
      <w:r>
        <w:rPr>
          <w:rFonts w:asciiTheme="majorBidi" w:hAnsiTheme="majorBidi" w:cstheme="majorBidi"/>
          <w:sz w:val="24"/>
          <w:szCs w:val="24"/>
        </w:rPr>
        <w:t xml:space="preserve"> ATCC 12228, </w:t>
      </w:r>
      <w:r>
        <w:rPr>
          <w:rFonts w:asciiTheme="majorBidi" w:hAnsiTheme="majorBidi" w:cstheme="majorBidi"/>
          <w:i/>
          <w:iCs/>
          <w:sz w:val="24"/>
          <w:szCs w:val="24"/>
        </w:rPr>
        <w:t>Staphylococcus aureus</w:t>
      </w:r>
      <w:r>
        <w:rPr>
          <w:rFonts w:asciiTheme="majorBidi" w:hAnsiTheme="majorBidi" w:cstheme="majorBidi"/>
          <w:sz w:val="24"/>
          <w:szCs w:val="24"/>
        </w:rPr>
        <w:t xml:space="preserve"> ATCC 6538, </w:t>
      </w:r>
      <w:r w:rsidR="00C63CEF">
        <w:rPr>
          <w:rFonts w:asciiTheme="majorBidi" w:hAnsiTheme="majorBidi" w:cstheme="majorBidi"/>
          <w:i/>
          <w:iCs/>
          <w:sz w:val="24"/>
          <w:szCs w:val="24"/>
        </w:rPr>
        <w:t xml:space="preserve">Escherichia </w:t>
      </w:r>
      <w:r w:rsidR="00C63CEF">
        <w:rPr>
          <w:rFonts w:asciiTheme="majorBidi" w:hAnsiTheme="majorBidi" w:cstheme="majorBidi"/>
          <w:sz w:val="24"/>
          <w:szCs w:val="24"/>
        </w:rPr>
        <w:t>coli ATCC</w:t>
      </w:r>
      <w:r>
        <w:rPr>
          <w:rFonts w:asciiTheme="majorBidi" w:hAnsiTheme="majorBidi" w:cstheme="majorBidi"/>
          <w:sz w:val="24"/>
          <w:szCs w:val="24"/>
        </w:rPr>
        <w:t xml:space="preserve"> 8739, </w:t>
      </w:r>
      <w:r>
        <w:rPr>
          <w:rFonts w:asciiTheme="majorBidi" w:hAnsiTheme="majorBidi" w:cstheme="majorBidi"/>
          <w:i/>
          <w:iCs/>
          <w:sz w:val="24"/>
          <w:szCs w:val="24"/>
        </w:rPr>
        <w:t>Pseudomonas aeruginosa</w:t>
      </w:r>
      <w:r>
        <w:rPr>
          <w:rFonts w:asciiTheme="majorBidi" w:hAnsiTheme="majorBidi" w:cstheme="majorBidi"/>
          <w:sz w:val="24"/>
          <w:szCs w:val="24"/>
        </w:rPr>
        <w:t xml:space="preserve"> ATCC 9027 et </w:t>
      </w:r>
      <w:r>
        <w:rPr>
          <w:rFonts w:asciiTheme="majorBidi" w:hAnsiTheme="majorBidi" w:cstheme="majorBidi"/>
          <w:i/>
          <w:iCs/>
          <w:sz w:val="24"/>
          <w:szCs w:val="24"/>
        </w:rPr>
        <w:t xml:space="preserve">Salmonella typhimurium </w:t>
      </w:r>
      <w:r>
        <w:rPr>
          <w:rFonts w:asciiTheme="majorBidi" w:hAnsiTheme="majorBidi" w:cstheme="majorBidi"/>
          <w:sz w:val="24"/>
          <w:szCs w:val="24"/>
        </w:rPr>
        <w:t>ATCC 14028. L’évaluation a été réalisée selon la méthode de diffusion sur disque, telle que décrite par</w:t>
      </w:r>
      <w:r>
        <w:rPr>
          <w:rFonts w:asciiTheme="majorBidi" w:hAnsiTheme="majorBidi" w:cstheme="majorBidi"/>
          <w:b/>
          <w:bCs/>
          <w:sz w:val="24"/>
          <w:szCs w:val="24"/>
        </w:rPr>
        <w:t xml:space="preserve"> Debib et </w:t>
      </w:r>
      <w:r>
        <w:rPr>
          <w:rFonts w:asciiTheme="majorBidi" w:hAnsiTheme="majorBidi" w:cstheme="majorBidi"/>
          <w:b/>
          <w:bCs/>
          <w:i/>
          <w:iCs/>
          <w:sz w:val="24"/>
          <w:szCs w:val="24"/>
        </w:rPr>
        <w:t>al.</w:t>
      </w:r>
      <w:r>
        <w:rPr>
          <w:rFonts w:asciiTheme="majorBidi" w:hAnsiTheme="majorBidi" w:cstheme="majorBidi"/>
          <w:b/>
          <w:bCs/>
          <w:sz w:val="24"/>
          <w:szCs w:val="24"/>
        </w:rPr>
        <w:t>, (2014).</w:t>
      </w:r>
    </w:p>
    <w:p w14:paraId="2931A80D" w14:textId="77777777" w:rsidR="003E3FB4" w:rsidRDefault="00385ED0">
      <w:pPr>
        <w:tabs>
          <w:tab w:val="left" w:pos="6173"/>
        </w:tabs>
        <w:spacing w:after="120" w:line="360" w:lineRule="auto"/>
        <w:jc w:val="both"/>
        <w:rPr>
          <w:rFonts w:asciiTheme="majorBidi" w:eastAsia="Calibri" w:hAnsiTheme="majorBidi" w:cstheme="majorBidi"/>
          <w:b/>
          <w:bCs/>
          <w:sz w:val="24"/>
          <w:szCs w:val="24"/>
        </w:rPr>
      </w:pPr>
      <w:bookmarkStart w:id="30" w:name="_Hlk199706566"/>
      <w:r>
        <w:rPr>
          <w:rFonts w:asciiTheme="majorBidi" w:eastAsia="Calibri" w:hAnsiTheme="majorBidi" w:cstheme="majorBidi"/>
          <w:b/>
          <w:bCs/>
          <w:sz w:val="24"/>
          <w:szCs w:val="24"/>
        </w:rPr>
        <w:t xml:space="preserve">II.5.3.1.1. </w:t>
      </w:r>
      <w:bookmarkEnd w:id="30"/>
      <w:r>
        <w:rPr>
          <w:rFonts w:asciiTheme="majorBidi" w:eastAsia="Calibri" w:hAnsiTheme="majorBidi" w:cstheme="majorBidi"/>
          <w:b/>
          <w:bCs/>
          <w:sz w:val="24"/>
          <w:szCs w:val="24"/>
        </w:rPr>
        <w:t xml:space="preserve">Repiquage des germes </w:t>
      </w:r>
    </w:p>
    <w:p w14:paraId="7108D3BC" w14:textId="77777777" w:rsidR="003E3FB4" w:rsidRDefault="00385ED0">
      <w:pPr>
        <w:tabs>
          <w:tab w:val="left" w:pos="6173"/>
        </w:tabs>
        <w:spacing w:line="360" w:lineRule="auto"/>
        <w:ind w:firstLine="557"/>
        <w:jc w:val="both"/>
        <w:rPr>
          <w:rFonts w:asciiTheme="majorBidi" w:hAnsiTheme="majorBidi" w:cstheme="majorBidi"/>
          <w:b/>
          <w:bCs/>
          <w:sz w:val="24"/>
          <w:szCs w:val="24"/>
        </w:rPr>
      </w:pPr>
      <w:r>
        <w:rPr>
          <w:rFonts w:asciiTheme="majorBidi" w:eastAsia="Calibri" w:hAnsiTheme="majorBidi" w:cstheme="majorBidi"/>
          <w:sz w:val="24"/>
          <w:szCs w:val="24"/>
        </w:rPr>
        <w:t xml:space="preserve"> </w:t>
      </w:r>
      <w:r>
        <w:rPr>
          <w:rFonts w:asciiTheme="majorBidi" w:hAnsiTheme="majorBidi" w:cstheme="majorBidi"/>
          <w:sz w:val="24"/>
          <w:szCs w:val="24"/>
        </w:rPr>
        <w:t xml:space="preserve">Après stérilisation de la zone de travail, les différentes souches bactériennes ont été cultivées sur gélose nutritive préalablement coulée dans des boites de Pétri de 90 mm de diamètre. L’ensemble est ensuite mis en incubation à une température de 37°C pendant 24 heures afin d'obtenir des colonies isolées et jeunes, qui serviront à préparer l’inoculum </w:t>
      </w:r>
      <w:r>
        <w:rPr>
          <w:rFonts w:asciiTheme="majorBidi" w:hAnsiTheme="majorBidi" w:cstheme="majorBidi"/>
          <w:b/>
          <w:bCs/>
          <w:sz w:val="24"/>
          <w:szCs w:val="24"/>
        </w:rPr>
        <w:t>(Figure II.4).</w:t>
      </w:r>
    </w:p>
    <w:p w14:paraId="7AAFCB67" w14:textId="77777777" w:rsidR="003E3FB4" w:rsidRDefault="00385ED0">
      <w:pPr>
        <w:tabs>
          <w:tab w:val="left" w:pos="6173"/>
        </w:tabs>
        <w:spacing w:line="360" w:lineRule="auto"/>
        <w:ind w:firstLine="557"/>
        <w:jc w:val="center"/>
        <w:rPr>
          <w:rFonts w:asciiTheme="majorBidi" w:hAnsiTheme="majorBidi" w:cstheme="majorBidi"/>
          <w:sz w:val="24"/>
          <w:szCs w:val="24"/>
        </w:rPr>
      </w:pPr>
      <w:r>
        <w:rPr>
          <w:rFonts w:asciiTheme="majorBidi" w:hAnsiTheme="majorBidi" w:cstheme="majorBidi"/>
          <w:noProof/>
          <w:sz w:val="24"/>
          <w:szCs w:val="24"/>
        </w:rPr>
        <w:lastRenderedPageBreak/>
        <w:drawing>
          <wp:inline distT="0" distB="0" distL="0" distR="0" wp14:anchorId="28035000" wp14:editId="627509F2">
            <wp:extent cx="4936099" cy="1888176"/>
            <wp:effectExtent l="0" t="0" r="0" b="0"/>
            <wp:docPr id="1996694637"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6694637" name="Image 1"/>
                    <pic:cNvPicPr>
                      <a:picLocks noChangeAspect="1"/>
                    </pic:cNvPicPr>
                  </pic:nvPicPr>
                  <pic:blipFill>
                    <a:blip r:embed="rId32"/>
                    <a:stretch>
                      <a:fillRect/>
                    </a:stretch>
                  </pic:blipFill>
                  <pic:spPr>
                    <a:xfrm>
                      <a:off x="0" y="0"/>
                      <a:ext cx="5072404" cy="1940316"/>
                    </a:xfrm>
                    <a:prstGeom prst="rect">
                      <a:avLst/>
                    </a:prstGeom>
                  </pic:spPr>
                </pic:pic>
              </a:graphicData>
            </a:graphic>
          </wp:inline>
        </w:drawing>
      </w:r>
    </w:p>
    <w:p w14:paraId="451B3537" w14:textId="77777777" w:rsidR="003E3FB4" w:rsidRDefault="00385ED0">
      <w:pPr>
        <w:tabs>
          <w:tab w:val="left" w:pos="6173"/>
        </w:tabs>
        <w:spacing w:line="360" w:lineRule="auto"/>
        <w:ind w:firstLine="557"/>
        <w:rPr>
          <w:rFonts w:asciiTheme="majorBidi" w:hAnsiTheme="majorBidi" w:cstheme="majorBidi"/>
          <w:sz w:val="24"/>
          <w:szCs w:val="24"/>
        </w:rPr>
      </w:pPr>
      <w:r>
        <w:rPr>
          <w:rFonts w:asciiTheme="majorBidi" w:hAnsiTheme="majorBidi" w:cstheme="majorBidi"/>
          <w:sz w:val="24"/>
          <w:szCs w:val="24"/>
        </w:rPr>
        <w:t xml:space="preserve">                                    </w:t>
      </w:r>
      <w:r>
        <w:rPr>
          <w:rFonts w:asciiTheme="majorBidi" w:hAnsiTheme="majorBidi" w:cstheme="majorBidi"/>
          <w:b/>
          <w:bCs/>
          <w:sz w:val="24"/>
          <w:szCs w:val="24"/>
        </w:rPr>
        <w:t xml:space="preserve">Figure II.4. </w:t>
      </w:r>
      <w:r>
        <w:rPr>
          <w:rFonts w:asciiTheme="majorBidi" w:hAnsiTheme="majorBidi" w:cstheme="majorBidi"/>
          <w:sz w:val="24"/>
          <w:szCs w:val="24"/>
        </w:rPr>
        <w:t>Repiquage des germes</w:t>
      </w:r>
    </w:p>
    <w:p w14:paraId="3FD55021" w14:textId="77777777" w:rsidR="003E3FB4" w:rsidRDefault="00385ED0">
      <w:pPr>
        <w:spacing w:line="360" w:lineRule="auto"/>
        <w:jc w:val="lowKashida"/>
        <w:rPr>
          <w:rFonts w:asciiTheme="majorBidi" w:hAnsiTheme="majorBidi" w:cstheme="majorBidi"/>
          <w:b/>
          <w:bCs/>
          <w:sz w:val="24"/>
          <w:szCs w:val="24"/>
        </w:rPr>
      </w:pPr>
      <w:r>
        <w:rPr>
          <w:rFonts w:asciiTheme="majorBidi" w:hAnsiTheme="majorBidi" w:cstheme="majorBidi"/>
          <w:b/>
          <w:bCs/>
          <w:sz w:val="24"/>
          <w:szCs w:val="24"/>
        </w:rPr>
        <w:t xml:space="preserve">II.5.3.1.2. Préparation de l`inoculum bactérien </w:t>
      </w:r>
    </w:p>
    <w:p w14:paraId="756FD0F6" w14:textId="77777777" w:rsidR="003E3FB4" w:rsidRDefault="00385ED0">
      <w:pPr>
        <w:spacing w:after="120" w:line="360" w:lineRule="auto"/>
        <w:ind w:firstLine="557"/>
        <w:jc w:val="both"/>
        <w:rPr>
          <w:rFonts w:asciiTheme="majorBidi" w:hAnsiTheme="majorBidi" w:cstheme="majorBidi"/>
          <w:sz w:val="24"/>
          <w:szCs w:val="24"/>
        </w:rPr>
      </w:pPr>
      <w:r>
        <w:rPr>
          <w:rFonts w:asciiTheme="majorBidi" w:hAnsiTheme="majorBidi" w:cstheme="majorBidi"/>
          <w:sz w:val="24"/>
          <w:szCs w:val="24"/>
        </w:rPr>
        <w:t>Une colonie bactérienne jeune, obtenue après repiquage, a été prélevée et transférée dans un tube à essai contenant 5 ml de solution physiologique stérile. Le contenu a été homogénéisé afin d’obtenir une suspension bactérienne destinée à l’ensemencement.</w:t>
      </w:r>
    </w:p>
    <w:p w14:paraId="5DB05870" w14:textId="77777777" w:rsidR="003E3FB4" w:rsidRDefault="00385ED0">
      <w:pPr>
        <w:spacing w:after="120" w:line="360" w:lineRule="auto"/>
        <w:jc w:val="both"/>
        <w:rPr>
          <w:rFonts w:asciiTheme="majorBidi" w:hAnsiTheme="majorBidi" w:cstheme="majorBidi"/>
          <w:b/>
          <w:bCs/>
          <w:sz w:val="24"/>
          <w:szCs w:val="24"/>
        </w:rPr>
      </w:pPr>
      <w:r>
        <w:rPr>
          <w:rFonts w:asciiTheme="majorBidi" w:hAnsiTheme="majorBidi" w:cstheme="majorBidi"/>
          <w:b/>
          <w:bCs/>
          <w:sz w:val="24"/>
          <w:szCs w:val="24"/>
        </w:rPr>
        <w:t>II.5.3.1.3. Ensemencement et dépôt des disques</w:t>
      </w:r>
    </w:p>
    <w:p w14:paraId="513DB041" w14:textId="77777777" w:rsidR="003E3FB4" w:rsidRDefault="00385ED0">
      <w:pPr>
        <w:spacing w:after="120" w:line="360" w:lineRule="auto"/>
        <w:ind w:firstLine="557"/>
        <w:jc w:val="both"/>
        <w:rPr>
          <w:rFonts w:asciiTheme="majorBidi" w:hAnsiTheme="majorBidi" w:cstheme="majorBidi"/>
          <w:b/>
          <w:bCs/>
          <w:sz w:val="24"/>
          <w:szCs w:val="24"/>
        </w:rPr>
      </w:pPr>
      <w:r>
        <w:rPr>
          <w:rFonts w:asciiTheme="majorBidi" w:hAnsiTheme="majorBidi" w:cstheme="majorBidi"/>
          <w:sz w:val="24"/>
          <w:szCs w:val="24"/>
        </w:rPr>
        <w:t>L’ensemencement a été réalisé par écouvillonnage à l’aide d’un écouvillon stérile, préalablement imbibé dans la suspension bactérienne. L’écouvillon a été appliqué uniformément sur toute la surface de la gélose Mueller-Hinton, en effectuant des stries serrées verticales, puis en tournant la boîte de Pétri de 90° à chaque passage. Cette opération a été répétée quatre fois afin d’assurer une répartition homogène de l’inoculum. L’ensemencement s’est terminé par un passage de l’écouvillon le long de la périphérie de la gélose.</w:t>
      </w:r>
    </w:p>
    <w:p w14:paraId="469F9936" w14:textId="77777777" w:rsidR="003E3FB4" w:rsidRDefault="00385ED0">
      <w:pPr>
        <w:spacing w:line="360" w:lineRule="auto"/>
        <w:ind w:firstLine="557"/>
        <w:jc w:val="both"/>
        <w:rPr>
          <w:rFonts w:asciiTheme="majorBidi" w:hAnsiTheme="majorBidi" w:cstheme="majorBidi"/>
          <w:sz w:val="24"/>
          <w:szCs w:val="24"/>
        </w:rPr>
      </w:pPr>
      <w:r>
        <w:rPr>
          <w:rFonts w:asciiTheme="majorBidi" w:hAnsiTheme="majorBidi" w:cstheme="majorBidi"/>
          <w:sz w:val="24"/>
          <w:szCs w:val="24"/>
        </w:rPr>
        <w:t xml:space="preserve">Par la suite, à l’aide d’une pince stérile, quatre disques de papier stériles de 6 mm de diamètre ont été déposés sur la surface de la gélose ensemencée. À l’aide d’une micropipette, 10 μl d’extrait aqueux et 10 μl d’extrait éthanolique de </w:t>
      </w:r>
      <w:r>
        <w:rPr>
          <w:rFonts w:asciiTheme="majorBidi" w:hAnsiTheme="majorBidi" w:cstheme="majorBidi"/>
          <w:i/>
          <w:iCs/>
          <w:sz w:val="24"/>
          <w:szCs w:val="24"/>
        </w:rPr>
        <w:t>Trigonella foenum-graecum</w:t>
      </w:r>
      <w:r>
        <w:rPr>
          <w:rFonts w:asciiTheme="majorBidi" w:hAnsiTheme="majorBidi" w:cstheme="majorBidi"/>
          <w:sz w:val="24"/>
          <w:szCs w:val="24"/>
        </w:rPr>
        <w:t xml:space="preserve"> L. ont été appliqués respectivement sur deux des disques. Le troisième disque a reçu 10 μl de DMSO, servant de témoin négatif. Un quatrième disque contenant un antibiotique spécifique a été utilisé comme témoin positif. Les antibiotiques utilisés pour chaque souche bactérienne sont répertoriés dans le </w:t>
      </w:r>
      <w:r>
        <w:rPr>
          <w:rFonts w:asciiTheme="majorBidi" w:hAnsiTheme="majorBidi" w:cstheme="majorBidi"/>
          <w:b/>
          <w:bCs/>
          <w:sz w:val="24"/>
          <w:szCs w:val="24"/>
        </w:rPr>
        <w:t>Tableau II.3</w:t>
      </w:r>
      <w:r>
        <w:rPr>
          <w:rFonts w:asciiTheme="majorBidi" w:hAnsiTheme="majorBidi" w:cstheme="majorBidi"/>
          <w:sz w:val="24"/>
          <w:szCs w:val="24"/>
        </w:rPr>
        <w:t>.</w:t>
      </w:r>
    </w:p>
    <w:p w14:paraId="32FDB61B" w14:textId="77777777" w:rsidR="009347FE" w:rsidRDefault="009347FE">
      <w:pPr>
        <w:spacing w:line="360" w:lineRule="auto"/>
        <w:ind w:firstLine="557"/>
        <w:jc w:val="both"/>
        <w:rPr>
          <w:rFonts w:asciiTheme="majorBidi" w:hAnsiTheme="majorBidi" w:cstheme="majorBidi"/>
          <w:sz w:val="24"/>
          <w:szCs w:val="24"/>
        </w:rPr>
      </w:pPr>
    </w:p>
    <w:p w14:paraId="12800402" w14:textId="77777777" w:rsidR="009347FE" w:rsidRDefault="009347FE">
      <w:pPr>
        <w:spacing w:line="360" w:lineRule="auto"/>
        <w:ind w:firstLine="557"/>
        <w:jc w:val="both"/>
        <w:rPr>
          <w:rFonts w:asciiTheme="majorBidi" w:hAnsiTheme="majorBidi" w:cstheme="majorBidi"/>
          <w:sz w:val="24"/>
          <w:szCs w:val="24"/>
        </w:rPr>
      </w:pPr>
    </w:p>
    <w:p w14:paraId="64CB8376" w14:textId="77777777" w:rsidR="009347FE" w:rsidRDefault="009347FE">
      <w:pPr>
        <w:spacing w:line="360" w:lineRule="auto"/>
        <w:ind w:firstLine="557"/>
        <w:jc w:val="both"/>
        <w:rPr>
          <w:rFonts w:asciiTheme="majorBidi" w:hAnsiTheme="majorBidi" w:cstheme="majorBidi"/>
          <w:sz w:val="24"/>
          <w:szCs w:val="24"/>
        </w:rPr>
      </w:pPr>
    </w:p>
    <w:p w14:paraId="22A49E3E" w14:textId="77777777" w:rsidR="009347FE" w:rsidRDefault="009347FE">
      <w:pPr>
        <w:spacing w:line="360" w:lineRule="auto"/>
        <w:ind w:firstLine="557"/>
        <w:jc w:val="both"/>
        <w:rPr>
          <w:rFonts w:asciiTheme="majorBidi" w:hAnsiTheme="majorBidi" w:cstheme="majorBidi"/>
          <w:sz w:val="24"/>
          <w:szCs w:val="24"/>
        </w:rPr>
      </w:pPr>
    </w:p>
    <w:p w14:paraId="73C58029" w14:textId="5B6F3E92" w:rsidR="003E3FB4" w:rsidRDefault="00385ED0">
      <w:pPr>
        <w:spacing w:line="360" w:lineRule="auto"/>
        <w:jc w:val="center"/>
        <w:rPr>
          <w:rFonts w:asciiTheme="majorBidi" w:eastAsia="Calibri" w:hAnsiTheme="majorBidi" w:cstheme="majorBidi"/>
          <w:b/>
          <w:bCs/>
          <w:sz w:val="24"/>
          <w:szCs w:val="24"/>
        </w:rPr>
      </w:pPr>
      <w:r>
        <w:rPr>
          <w:rFonts w:asciiTheme="majorBidi" w:hAnsiTheme="majorBidi" w:cstheme="majorBidi"/>
          <w:b/>
          <w:bCs/>
          <w:sz w:val="24"/>
          <w:szCs w:val="24"/>
        </w:rPr>
        <w:lastRenderedPageBreak/>
        <w:t xml:space="preserve">Tableau II.3. </w:t>
      </w:r>
      <w:r>
        <w:rPr>
          <w:rFonts w:asciiTheme="majorBidi" w:eastAsia="Calibri" w:hAnsiTheme="majorBidi" w:cstheme="majorBidi"/>
          <w:sz w:val="24"/>
          <w:szCs w:val="24"/>
        </w:rPr>
        <w:t xml:space="preserve">Liste des antibiotiques testés pour chaque </w:t>
      </w:r>
      <w:r w:rsidR="001472A6">
        <w:rPr>
          <w:rFonts w:asciiTheme="majorBidi" w:eastAsia="Calibri" w:hAnsiTheme="majorBidi" w:cstheme="majorBidi"/>
          <w:sz w:val="24"/>
          <w:szCs w:val="24"/>
        </w:rPr>
        <w:t>souche</w:t>
      </w:r>
      <w:r>
        <w:rPr>
          <w:rFonts w:asciiTheme="majorBidi" w:eastAsia="Calibri" w:hAnsiTheme="majorBidi" w:cstheme="majorBidi"/>
          <w:sz w:val="24"/>
          <w:szCs w:val="24"/>
        </w:rPr>
        <w:t xml:space="preserve"> bactérienne.</w:t>
      </w:r>
    </w:p>
    <w:tbl>
      <w:tblPr>
        <w:tblStyle w:val="TableauGrille6Couleur-Accentuation31"/>
        <w:tblpPr w:leftFromText="141" w:rightFromText="141" w:vertAnchor="text" w:horzAnchor="margin" w:tblpXSpec="center" w:tblpY="122"/>
        <w:tblW w:w="0" w:type="auto"/>
        <w:tblLook w:val="04A0" w:firstRow="1" w:lastRow="0" w:firstColumn="1" w:lastColumn="0" w:noHBand="0" w:noVBand="1"/>
      </w:tblPr>
      <w:tblGrid>
        <w:gridCol w:w="3924"/>
        <w:gridCol w:w="3924"/>
      </w:tblGrid>
      <w:tr w:rsidR="003E3FB4" w14:paraId="237EB2AC" w14:textId="77777777" w:rsidTr="003E3FB4">
        <w:trPr>
          <w:cnfStyle w:val="100000000000" w:firstRow="1" w:lastRow="0" w:firstColumn="0" w:lastColumn="0" w:oddVBand="0" w:evenVBand="0" w:oddHBand="0" w:evenHBand="0" w:firstRowFirstColumn="0" w:firstRowLastColumn="0" w:lastRowFirstColumn="0" w:lastRowLastColumn="0"/>
          <w:trHeight w:val="292"/>
        </w:trPr>
        <w:tc>
          <w:tcPr>
            <w:cnfStyle w:val="001000000000" w:firstRow="0" w:lastRow="0" w:firstColumn="1" w:lastColumn="0" w:oddVBand="0" w:evenVBand="0" w:oddHBand="0" w:evenHBand="0" w:firstRowFirstColumn="0" w:firstRowLastColumn="0" w:lastRowFirstColumn="0" w:lastRowLastColumn="0"/>
            <w:tcW w:w="3924" w:type="dxa"/>
          </w:tcPr>
          <w:p w14:paraId="7AD29309" w14:textId="77777777" w:rsidR="003E3FB4" w:rsidRDefault="00385ED0">
            <w:pPr>
              <w:pStyle w:val="Paragraphedeliste1"/>
              <w:spacing w:line="360" w:lineRule="auto"/>
              <w:jc w:val="center"/>
              <w:rPr>
                <w:rFonts w:asciiTheme="majorBidi" w:eastAsia="Calibri" w:hAnsiTheme="majorBidi" w:cstheme="majorBidi"/>
                <w:b w:val="0"/>
                <w:bCs w:val="0"/>
                <w:color w:val="000000" w:themeColor="text1"/>
              </w:rPr>
            </w:pPr>
            <w:r>
              <w:rPr>
                <w:rFonts w:asciiTheme="majorBidi" w:eastAsia="Calibri" w:hAnsiTheme="majorBidi" w:cstheme="majorBidi"/>
                <w:color w:val="000000" w:themeColor="text1"/>
              </w:rPr>
              <w:t>Bactéries</w:t>
            </w:r>
          </w:p>
        </w:tc>
        <w:tc>
          <w:tcPr>
            <w:tcW w:w="3924" w:type="dxa"/>
          </w:tcPr>
          <w:p w14:paraId="7B5FC111" w14:textId="77777777" w:rsidR="003E3FB4" w:rsidRDefault="00385ED0">
            <w:pPr>
              <w:pStyle w:val="Paragraphedeliste1"/>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eastAsia="Calibri" w:hAnsiTheme="majorBidi" w:cstheme="majorBidi"/>
                <w:b w:val="0"/>
                <w:bCs w:val="0"/>
                <w:color w:val="000000" w:themeColor="text1"/>
              </w:rPr>
            </w:pPr>
            <w:r>
              <w:rPr>
                <w:rFonts w:asciiTheme="majorBidi" w:eastAsia="Calibri" w:hAnsiTheme="majorBidi" w:cstheme="majorBidi"/>
                <w:color w:val="000000" w:themeColor="text1"/>
              </w:rPr>
              <w:t>Antibiotiques</w:t>
            </w:r>
          </w:p>
        </w:tc>
      </w:tr>
      <w:tr w:rsidR="003E3FB4" w14:paraId="2A2A9588" w14:textId="77777777" w:rsidTr="003E3FB4">
        <w:trPr>
          <w:trHeight w:val="292"/>
        </w:trPr>
        <w:tc>
          <w:tcPr>
            <w:cnfStyle w:val="001000000000" w:firstRow="0" w:lastRow="0" w:firstColumn="1" w:lastColumn="0" w:oddVBand="0" w:evenVBand="0" w:oddHBand="0" w:evenHBand="0" w:firstRowFirstColumn="0" w:firstRowLastColumn="0" w:lastRowFirstColumn="0" w:lastRowLastColumn="0"/>
            <w:tcW w:w="3924" w:type="dxa"/>
            <w:shd w:val="clear" w:color="auto" w:fill="EDEDED" w:themeFill="accent3" w:themeFillTint="33"/>
          </w:tcPr>
          <w:p w14:paraId="4E992FF3" w14:textId="77777777" w:rsidR="003E3FB4" w:rsidRDefault="00385ED0">
            <w:pPr>
              <w:pStyle w:val="Paragraphedeliste1"/>
              <w:spacing w:line="360" w:lineRule="auto"/>
              <w:jc w:val="center"/>
              <w:rPr>
                <w:rFonts w:asciiTheme="majorBidi" w:eastAsia="Calibri" w:hAnsiTheme="majorBidi" w:cstheme="majorBidi"/>
                <w:i/>
                <w:iCs/>
                <w:color w:val="000000" w:themeColor="text1"/>
              </w:rPr>
            </w:pPr>
            <w:r>
              <w:rPr>
                <w:rFonts w:asciiTheme="majorBidi" w:eastAsia="Calibri" w:hAnsiTheme="majorBidi" w:cstheme="majorBidi"/>
                <w:i/>
                <w:iCs/>
                <w:color w:val="000000" w:themeColor="text1"/>
              </w:rPr>
              <w:t>Escherichia coli</w:t>
            </w:r>
          </w:p>
        </w:tc>
        <w:tc>
          <w:tcPr>
            <w:tcW w:w="3924" w:type="dxa"/>
            <w:shd w:val="clear" w:color="auto" w:fill="EDEDED" w:themeFill="accent3" w:themeFillTint="33"/>
          </w:tcPr>
          <w:p w14:paraId="65D15158" w14:textId="77777777" w:rsidR="003E3FB4" w:rsidRDefault="00385ED0">
            <w:pPr>
              <w:pStyle w:val="Paragraphedeliste1"/>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color w:val="000000" w:themeColor="text1"/>
                <w:highlight w:val="yellow"/>
              </w:rPr>
            </w:pPr>
            <w:r>
              <w:rPr>
                <w:rFonts w:asciiTheme="majorBidi" w:hAnsiTheme="majorBidi" w:cstheme="majorBidi"/>
                <w:color w:val="000000" w:themeColor="text1"/>
              </w:rPr>
              <w:t>Pénicilline G</w:t>
            </w:r>
          </w:p>
        </w:tc>
      </w:tr>
      <w:tr w:rsidR="003E3FB4" w14:paraId="3EA8B8C7" w14:textId="77777777" w:rsidTr="003E3FB4">
        <w:trPr>
          <w:trHeight w:val="288"/>
        </w:trPr>
        <w:tc>
          <w:tcPr>
            <w:cnfStyle w:val="001000000000" w:firstRow="0" w:lastRow="0" w:firstColumn="1" w:lastColumn="0" w:oddVBand="0" w:evenVBand="0" w:oddHBand="0" w:evenHBand="0" w:firstRowFirstColumn="0" w:firstRowLastColumn="0" w:lastRowFirstColumn="0" w:lastRowLastColumn="0"/>
            <w:tcW w:w="3924" w:type="dxa"/>
          </w:tcPr>
          <w:p w14:paraId="3EB73FD9" w14:textId="77777777" w:rsidR="003E3FB4" w:rsidRDefault="00385ED0">
            <w:pPr>
              <w:pStyle w:val="Paragraphedeliste1"/>
              <w:spacing w:line="360" w:lineRule="auto"/>
              <w:jc w:val="center"/>
              <w:rPr>
                <w:rFonts w:asciiTheme="majorBidi" w:eastAsia="Calibri" w:hAnsiTheme="majorBidi" w:cstheme="majorBidi"/>
                <w:i/>
                <w:iCs/>
                <w:color w:val="000000" w:themeColor="text1"/>
              </w:rPr>
            </w:pPr>
            <w:r>
              <w:rPr>
                <w:rFonts w:asciiTheme="majorBidi" w:eastAsia="Calibri" w:hAnsiTheme="majorBidi" w:cstheme="majorBidi"/>
                <w:i/>
                <w:iCs/>
                <w:color w:val="000000" w:themeColor="text1"/>
              </w:rPr>
              <w:t>Pseudomonas aeruginosa</w:t>
            </w:r>
          </w:p>
        </w:tc>
        <w:tc>
          <w:tcPr>
            <w:tcW w:w="3924" w:type="dxa"/>
          </w:tcPr>
          <w:p w14:paraId="17193F93" w14:textId="77777777" w:rsidR="003E3FB4" w:rsidRDefault="00385ED0">
            <w:pPr>
              <w:pStyle w:val="Paragraphedeliste1"/>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color w:val="000000" w:themeColor="text1"/>
                <w:highlight w:val="yellow"/>
              </w:rPr>
            </w:pPr>
            <w:r>
              <w:rPr>
                <w:rFonts w:asciiTheme="majorBidi" w:hAnsiTheme="majorBidi" w:cstheme="majorBidi"/>
                <w:color w:val="000000" w:themeColor="text1"/>
              </w:rPr>
              <w:t>Rifampicine</w:t>
            </w:r>
          </w:p>
        </w:tc>
      </w:tr>
      <w:tr w:rsidR="003E3FB4" w14:paraId="174791CA" w14:textId="77777777" w:rsidTr="003E3FB4">
        <w:trPr>
          <w:trHeight w:val="283"/>
        </w:trPr>
        <w:tc>
          <w:tcPr>
            <w:cnfStyle w:val="001000000000" w:firstRow="0" w:lastRow="0" w:firstColumn="1" w:lastColumn="0" w:oddVBand="0" w:evenVBand="0" w:oddHBand="0" w:evenHBand="0" w:firstRowFirstColumn="0" w:firstRowLastColumn="0" w:lastRowFirstColumn="0" w:lastRowLastColumn="0"/>
            <w:tcW w:w="3924" w:type="dxa"/>
            <w:shd w:val="clear" w:color="auto" w:fill="EDEDED" w:themeFill="accent3" w:themeFillTint="33"/>
          </w:tcPr>
          <w:p w14:paraId="69C583FB" w14:textId="77777777" w:rsidR="003E3FB4" w:rsidRDefault="00385ED0">
            <w:pPr>
              <w:pStyle w:val="Paragraphedeliste1"/>
              <w:spacing w:line="360" w:lineRule="auto"/>
              <w:jc w:val="center"/>
              <w:rPr>
                <w:rFonts w:asciiTheme="majorBidi" w:eastAsia="Calibri" w:hAnsiTheme="majorBidi" w:cstheme="majorBidi"/>
                <w:i/>
                <w:iCs/>
                <w:color w:val="000000" w:themeColor="text1"/>
              </w:rPr>
            </w:pPr>
            <w:r>
              <w:rPr>
                <w:rFonts w:asciiTheme="majorBidi" w:eastAsia="Calibri" w:hAnsiTheme="majorBidi" w:cstheme="majorBidi"/>
                <w:i/>
                <w:iCs/>
                <w:color w:val="000000" w:themeColor="text1"/>
              </w:rPr>
              <w:t>Staphylococcus aureus</w:t>
            </w:r>
          </w:p>
        </w:tc>
        <w:tc>
          <w:tcPr>
            <w:tcW w:w="3924" w:type="dxa"/>
            <w:shd w:val="clear" w:color="auto" w:fill="EDEDED" w:themeFill="accent3" w:themeFillTint="33"/>
          </w:tcPr>
          <w:p w14:paraId="59651E48" w14:textId="77777777" w:rsidR="003E3FB4" w:rsidRDefault="00385ED0">
            <w:pPr>
              <w:pStyle w:val="Paragraphedeliste1"/>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color w:val="000000" w:themeColor="text1"/>
                <w:highlight w:val="yellow"/>
              </w:rPr>
            </w:pPr>
            <w:r>
              <w:rPr>
                <w:rFonts w:asciiTheme="majorBidi" w:hAnsiTheme="majorBidi" w:cstheme="majorBidi"/>
                <w:color w:val="000000" w:themeColor="text1"/>
              </w:rPr>
              <w:t>Oxacilline</w:t>
            </w:r>
          </w:p>
        </w:tc>
      </w:tr>
      <w:tr w:rsidR="003E3FB4" w14:paraId="368FBAAB" w14:textId="77777777" w:rsidTr="003E3FB4">
        <w:trPr>
          <w:trHeight w:val="294"/>
        </w:trPr>
        <w:tc>
          <w:tcPr>
            <w:cnfStyle w:val="001000000000" w:firstRow="0" w:lastRow="0" w:firstColumn="1" w:lastColumn="0" w:oddVBand="0" w:evenVBand="0" w:oddHBand="0" w:evenHBand="0" w:firstRowFirstColumn="0" w:firstRowLastColumn="0" w:lastRowFirstColumn="0" w:lastRowLastColumn="0"/>
            <w:tcW w:w="3924" w:type="dxa"/>
          </w:tcPr>
          <w:p w14:paraId="2FB0BFDC" w14:textId="77777777" w:rsidR="003E3FB4" w:rsidRDefault="00385ED0">
            <w:pPr>
              <w:pStyle w:val="Paragraphedeliste1"/>
              <w:spacing w:line="360" w:lineRule="auto"/>
              <w:jc w:val="center"/>
              <w:rPr>
                <w:rFonts w:asciiTheme="majorBidi" w:eastAsia="Calibri" w:hAnsiTheme="majorBidi" w:cstheme="majorBidi"/>
                <w:i/>
                <w:iCs/>
                <w:color w:val="000000" w:themeColor="text1"/>
              </w:rPr>
            </w:pPr>
            <w:r>
              <w:rPr>
                <w:rFonts w:asciiTheme="majorBidi" w:eastAsia="Calibri" w:hAnsiTheme="majorBidi" w:cstheme="majorBidi"/>
                <w:i/>
                <w:iCs/>
                <w:color w:val="000000" w:themeColor="text1"/>
              </w:rPr>
              <w:t>Staphylococcus epidermidis</w:t>
            </w:r>
          </w:p>
        </w:tc>
        <w:tc>
          <w:tcPr>
            <w:tcW w:w="3924" w:type="dxa"/>
          </w:tcPr>
          <w:p w14:paraId="2ABD2DB8" w14:textId="77777777" w:rsidR="003E3FB4" w:rsidRDefault="00385ED0">
            <w:pPr>
              <w:pStyle w:val="Paragraphedeliste1"/>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color w:val="000000" w:themeColor="text1"/>
                <w:highlight w:val="yellow"/>
              </w:rPr>
            </w:pPr>
            <w:r>
              <w:rPr>
                <w:rFonts w:asciiTheme="majorBidi" w:hAnsiTheme="majorBidi" w:cstheme="majorBidi"/>
                <w:color w:val="000000" w:themeColor="text1"/>
              </w:rPr>
              <w:t>Gentamicine</w:t>
            </w:r>
          </w:p>
        </w:tc>
      </w:tr>
      <w:tr w:rsidR="003E3FB4" w14:paraId="77D7C235" w14:textId="77777777" w:rsidTr="003E3FB4">
        <w:trPr>
          <w:trHeight w:val="283"/>
        </w:trPr>
        <w:tc>
          <w:tcPr>
            <w:cnfStyle w:val="001000000000" w:firstRow="0" w:lastRow="0" w:firstColumn="1" w:lastColumn="0" w:oddVBand="0" w:evenVBand="0" w:oddHBand="0" w:evenHBand="0" w:firstRowFirstColumn="0" w:firstRowLastColumn="0" w:lastRowFirstColumn="0" w:lastRowLastColumn="0"/>
            <w:tcW w:w="3924" w:type="dxa"/>
            <w:shd w:val="clear" w:color="auto" w:fill="EDEDED" w:themeFill="accent3" w:themeFillTint="33"/>
          </w:tcPr>
          <w:p w14:paraId="42F90F42" w14:textId="77777777" w:rsidR="003E3FB4" w:rsidRDefault="00385ED0">
            <w:pPr>
              <w:pStyle w:val="Paragraphedeliste1"/>
              <w:spacing w:line="360" w:lineRule="auto"/>
              <w:jc w:val="center"/>
              <w:rPr>
                <w:rFonts w:asciiTheme="majorBidi" w:eastAsia="Calibri" w:hAnsiTheme="majorBidi" w:cstheme="majorBidi"/>
                <w:i/>
                <w:iCs/>
                <w:color w:val="000000" w:themeColor="text1"/>
              </w:rPr>
            </w:pPr>
            <w:r>
              <w:rPr>
                <w:rFonts w:asciiTheme="majorBidi" w:eastAsia="Calibri" w:hAnsiTheme="majorBidi" w:cstheme="majorBidi"/>
                <w:i/>
                <w:iCs/>
                <w:color w:val="000000" w:themeColor="text1"/>
              </w:rPr>
              <w:t>Bacillus subtilis</w:t>
            </w:r>
            <w:r>
              <w:rPr>
                <w:rFonts w:asciiTheme="majorBidi" w:eastAsia="Calibri" w:hAnsiTheme="majorBidi" w:cstheme="majorBidi"/>
                <w:i/>
                <w:iCs/>
                <w:color w:val="000000" w:themeColor="text1"/>
              </w:rPr>
              <w:tab/>
              <w:t xml:space="preserve"> </w:t>
            </w:r>
          </w:p>
        </w:tc>
        <w:tc>
          <w:tcPr>
            <w:tcW w:w="3924" w:type="dxa"/>
            <w:shd w:val="clear" w:color="auto" w:fill="EDEDED" w:themeFill="accent3" w:themeFillTint="33"/>
          </w:tcPr>
          <w:p w14:paraId="67CB2859" w14:textId="77777777" w:rsidR="003E3FB4" w:rsidRDefault="00385ED0">
            <w:pPr>
              <w:pStyle w:val="Paragraphedeliste1"/>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color w:val="000000" w:themeColor="text1"/>
                <w:highlight w:val="yellow"/>
              </w:rPr>
            </w:pPr>
            <w:r>
              <w:rPr>
                <w:rFonts w:asciiTheme="majorBidi" w:hAnsiTheme="majorBidi" w:cstheme="majorBidi"/>
                <w:color w:val="000000" w:themeColor="text1"/>
              </w:rPr>
              <w:t>Ceftazidime</w:t>
            </w:r>
          </w:p>
        </w:tc>
      </w:tr>
      <w:tr w:rsidR="003E3FB4" w14:paraId="4B7C2FA1" w14:textId="77777777" w:rsidTr="003E3FB4">
        <w:trPr>
          <w:trHeight w:val="283"/>
        </w:trPr>
        <w:tc>
          <w:tcPr>
            <w:cnfStyle w:val="001000000000" w:firstRow="0" w:lastRow="0" w:firstColumn="1" w:lastColumn="0" w:oddVBand="0" w:evenVBand="0" w:oddHBand="0" w:evenHBand="0" w:firstRowFirstColumn="0" w:firstRowLastColumn="0" w:lastRowFirstColumn="0" w:lastRowLastColumn="0"/>
            <w:tcW w:w="3924" w:type="dxa"/>
          </w:tcPr>
          <w:p w14:paraId="2B427054" w14:textId="77777777" w:rsidR="003E3FB4" w:rsidRDefault="00385ED0">
            <w:pPr>
              <w:pStyle w:val="Paragraphedeliste1"/>
              <w:spacing w:line="360" w:lineRule="auto"/>
              <w:jc w:val="center"/>
              <w:rPr>
                <w:rFonts w:asciiTheme="majorBidi" w:eastAsia="Calibri" w:hAnsiTheme="majorBidi" w:cstheme="majorBidi"/>
                <w:i/>
                <w:iCs/>
                <w:color w:val="000000" w:themeColor="text1"/>
              </w:rPr>
            </w:pPr>
            <w:r>
              <w:rPr>
                <w:rFonts w:asciiTheme="majorBidi" w:eastAsia="Calibri" w:hAnsiTheme="majorBidi" w:cstheme="majorBidi"/>
                <w:i/>
                <w:iCs/>
                <w:color w:val="000000" w:themeColor="text1"/>
              </w:rPr>
              <w:t>Salmonella typhimurium</w:t>
            </w:r>
          </w:p>
        </w:tc>
        <w:tc>
          <w:tcPr>
            <w:tcW w:w="3924" w:type="dxa"/>
          </w:tcPr>
          <w:p w14:paraId="2EDC10C5" w14:textId="77777777" w:rsidR="003E3FB4" w:rsidRDefault="00385ED0">
            <w:pPr>
              <w:pStyle w:val="Paragraphedeliste1"/>
              <w:spacing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themeColor="text1"/>
                <w:highlight w:val="yellow"/>
              </w:rPr>
            </w:pPr>
            <w:r>
              <w:rPr>
                <w:rFonts w:asciiTheme="majorBidi" w:hAnsiTheme="majorBidi" w:cstheme="majorBidi"/>
                <w:color w:val="000000" w:themeColor="text1"/>
              </w:rPr>
              <w:t>Ciprofloxacine</w:t>
            </w:r>
          </w:p>
        </w:tc>
      </w:tr>
    </w:tbl>
    <w:p w14:paraId="763C1A10" w14:textId="77777777" w:rsidR="003E3FB4" w:rsidRDefault="003E3FB4">
      <w:pPr>
        <w:pStyle w:val="Paragraphedeliste1"/>
        <w:spacing w:line="360" w:lineRule="auto"/>
        <w:rPr>
          <w:rFonts w:asciiTheme="majorBidi" w:eastAsia="Calibri" w:hAnsiTheme="majorBidi" w:cstheme="majorBidi"/>
        </w:rPr>
      </w:pPr>
    </w:p>
    <w:p w14:paraId="7AC0CB33" w14:textId="77777777" w:rsidR="003E3FB4" w:rsidRDefault="003E3FB4">
      <w:pPr>
        <w:spacing w:line="360" w:lineRule="auto"/>
        <w:jc w:val="lowKashida"/>
        <w:rPr>
          <w:rFonts w:asciiTheme="majorBidi" w:hAnsiTheme="majorBidi" w:cstheme="majorBidi"/>
          <w:sz w:val="24"/>
          <w:szCs w:val="24"/>
        </w:rPr>
      </w:pPr>
    </w:p>
    <w:p w14:paraId="5140593D" w14:textId="77777777" w:rsidR="003E3FB4" w:rsidRDefault="003E3FB4">
      <w:pPr>
        <w:spacing w:line="360" w:lineRule="auto"/>
        <w:jc w:val="lowKashida"/>
        <w:rPr>
          <w:rFonts w:asciiTheme="majorBidi" w:hAnsiTheme="majorBidi" w:cstheme="majorBidi"/>
          <w:sz w:val="24"/>
          <w:szCs w:val="24"/>
        </w:rPr>
      </w:pPr>
    </w:p>
    <w:p w14:paraId="2CAC60CA" w14:textId="77777777" w:rsidR="003E3FB4" w:rsidRDefault="003E3FB4">
      <w:pPr>
        <w:spacing w:line="360" w:lineRule="auto"/>
        <w:jc w:val="lowKashida"/>
        <w:rPr>
          <w:rFonts w:asciiTheme="majorBidi" w:hAnsiTheme="majorBidi" w:cstheme="majorBidi"/>
          <w:sz w:val="24"/>
          <w:szCs w:val="24"/>
        </w:rPr>
      </w:pPr>
    </w:p>
    <w:p w14:paraId="6C09E0E0" w14:textId="77777777" w:rsidR="003E3FB4" w:rsidRDefault="003E3FB4">
      <w:pPr>
        <w:spacing w:line="360" w:lineRule="auto"/>
        <w:jc w:val="lowKashida"/>
        <w:rPr>
          <w:rFonts w:asciiTheme="majorBidi" w:hAnsiTheme="majorBidi" w:cstheme="majorBidi"/>
          <w:sz w:val="24"/>
          <w:szCs w:val="24"/>
        </w:rPr>
      </w:pPr>
    </w:p>
    <w:p w14:paraId="5204D3C1" w14:textId="77777777" w:rsidR="003E3FB4" w:rsidRDefault="003E3FB4">
      <w:pPr>
        <w:spacing w:line="360" w:lineRule="auto"/>
        <w:jc w:val="lowKashida"/>
        <w:rPr>
          <w:rFonts w:asciiTheme="majorBidi" w:hAnsiTheme="majorBidi" w:cstheme="majorBidi"/>
          <w:sz w:val="24"/>
          <w:szCs w:val="24"/>
        </w:rPr>
      </w:pPr>
    </w:p>
    <w:p w14:paraId="1E3C7FFD" w14:textId="77777777" w:rsidR="003E3FB4" w:rsidRDefault="00385ED0">
      <w:pPr>
        <w:spacing w:line="360" w:lineRule="auto"/>
        <w:ind w:firstLine="708"/>
        <w:jc w:val="lowKashida"/>
        <w:rPr>
          <w:rFonts w:asciiTheme="majorBidi" w:hAnsiTheme="majorBidi" w:cstheme="majorBidi"/>
          <w:sz w:val="24"/>
          <w:szCs w:val="24"/>
        </w:rPr>
      </w:pPr>
      <w:r>
        <w:rPr>
          <w:rFonts w:asciiTheme="majorBidi" w:hAnsiTheme="majorBidi" w:cstheme="majorBidi"/>
          <w:sz w:val="24"/>
          <w:szCs w:val="24"/>
        </w:rPr>
        <w:t xml:space="preserve">Les boîtes de pétri sont fermées et mises dans une étuve pour une incubation de 24 heures à une température de 37°C. Chaque essai est répété trois fois </w:t>
      </w:r>
      <w:r>
        <w:rPr>
          <w:rFonts w:asciiTheme="majorBidi" w:hAnsiTheme="majorBidi" w:cstheme="majorBidi"/>
          <w:b/>
          <w:bCs/>
          <w:sz w:val="24"/>
          <w:szCs w:val="24"/>
        </w:rPr>
        <w:t>(Figure II.7.)</w:t>
      </w:r>
      <w:r>
        <w:rPr>
          <w:rFonts w:asciiTheme="majorBidi" w:hAnsiTheme="majorBidi" w:cstheme="majorBidi"/>
          <w:sz w:val="24"/>
          <w:szCs w:val="24"/>
        </w:rPr>
        <w:t>.</w:t>
      </w:r>
    </w:p>
    <w:p w14:paraId="1206BD78" w14:textId="77777777" w:rsidR="003E3FB4" w:rsidRDefault="00385ED0">
      <w:pPr>
        <w:tabs>
          <w:tab w:val="left" w:pos="6173"/>
        </w:tabs>
        <w:spacing w:line="360" w:lineRule="auto"/>
        <w:jc w:val="center"/>
        <w:rPr>
          <w:rFonts w:asciiTheme="majorBidi" w:hAnsiTheme="majorBidi" w:cstheme="majorBidi"/>
          <w:b/>
          <w:bCs/>
          <w:sz w:val="24"/>
          <w:szCs w:val="24"/>
          <w:lang w:bidi="ar-DZ"/>
        </w:rPr>
      </w:pPr>
      <w:r>
        <w:rPr>
          <w:rFonts w:asciiTheme="majorBidi" w:hAnsiTheme="majorBidi" w:cstheme="majorBidi"/>
          <w:noProof/>
          <w:sz w:val="24"/>
          <w:szCs w:val="24"/>
        </w:rPr>
        <w:drawing>
          <wp:inline distT="0" distB="0" distL="0" distR="0" wp14:anchorId="61EBC378" wp14:editId="233C445C">
            <wp:extent cx="5771407" cy="3027680"/>
            <wp:effectExtent l="0" t="0" r="1270" b="1270"/>
            <wp:docPr id="274077158"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4077158" name="Image 1"/>
                    <pic:cNvPicPr>
                      <a:picLocks noChangeAspect="1"/>
                    </pic:cNvPicPr>
                  </pic:nvPicPr>
                  <pic:blipFill>
                    <a:blip r:embed="rId33"/>
                    <a:stretch>
                      <a:fillRect/>
                    </a:stretch>
                  </pic:blipFill>
                  <pic:spPr>
                    <a:xfrm>
                      <a:off x="0" y="0"/>
                      <a:ext cx="5795468" cy="3040303"/>
                    </a:xfrm>
                    <a:prstGeom prst="rect">
                      <a:avLst/>
                    </a:prstGeom>
                  </pic:spPr>
                </pic:pic>
              </a:graphicData>
            </a:graphic>
          </wp:inline>
        </w:drawing>
      </w:r>
    </w:p>
    <w:p w14:paraId="279F4CAF" w14:textId="77777777" w:rsidR="003E3FB4" w:rsidRDefault="00385ED0">
      <w:pPr>
        <w:spacing w:line="360" w:lineRule="auto"/>
        <w:jc w:val="center"/>
        <w:rPr>
          <w:rFonts w:asciiTheme="majorBidi" w:hAnsiTheme="majorBidi" w:cstheme="majorBidi"/>
          <w:sz w:val="24"/>
          <w:szCs w:val="24"/>
        </w:rPr>
      </w:pPr>
      <w:r>
        <w:rPr>
          <w:rFonts w:asciiTheme="majorBidi" w:hAnsiTheme="majorBidi" w:cstheme="majorBidi"/>
          <w:b/>
          <w:bCs/>
          <w:sz w:val="24"/>
          <w:szCs w:val="24"/>
        </w:rPr>
        <w:t>Figure II.5.</w:t>
      </w:r>
      <w:r>
        <w:rPr>
          <w:rFonts w:asciiTheme="majorBidi" w:hAnsiTheme="majorBidi" w:cstheme="majorBidi"/>
          <w:sz w:val="24"/>
          <w:szCs w:val="24"/>
        </w:rPr>
        <w:t xml:space="preserve"> Evaluation de l’activité antibactérienne par la méthode des disques</w:t>
      </w:r>
    </w:p>
    <w:p w14:paraId="254D8FDF" w14:textId="029D3DEB" w:rsidR="003E3FB4" w:rsidRDefault="00385ED0">
      <w:pPr>
        <w:spacing w:line="360" w:lineRule="auto"/>
        <w:rPr>
          <w:rFonts w:asciiTheme="majorBidi" w:hAnsiTheme="majorBidi" w:cstheme="majorBidi"/>
          <w:b/>
          <w:bCs/>
          <w:sz w:val="24"/>
          <w:szCs w:val="24"/>
        </w:rPr>
      </w:pPr>
      <w:r>
        <w:rPr>
          <w:rFonts w:asciiTheme="majorBidi" w:hAnsiTheme="majorBidi" w:cstheme="majorBidi"/>
          <w:b/>
          <w:bCs/>
          <w:sz w:val="24"/>
          <w:szCs w:val="24"/>
        </w:rPr>
        <w:t xml:space="preserve">II.5.3.1.4. Lecture </w:t>
      </w:r>
      <w:r w:rsidR="001472A6">
        <w:rPr>
          <w:rFonts w:asciiTheme="majorBidi" w:hAnsiTheme="majorBidi" w:cstheme="majorBidi"/>
          <w:b/>
          <w:bCs/>
          <w:sz w:val="24"/>
          <w:szCs w:val="24"/>
        </w:rPr>
        <w:t>d’aromatogramme</w:t>
      </w:r>
    </w:p>
    <w:p w14:paraId="2B951DA1" w14:textId="77777777" w:rsidR="003E3FB4" w:rsidRDefault="00385ED0">
      <w:pPr>
        <w:spacing w:line="360" w:lineRule="auto"/>
        <w:ind w:firstLine="557"/>
        <w:jc w:val="both"/>
        <w:rPr>
          <w:rFonts w:asciiTheme="majorBidi" w:hAnsiTheme="majorBidi" w:cstheme="majorBidi"/>
          <w:b/>
          <w:bCs/>
          <w:sz w:val="24"/>
          <w:szCs w:val="24"/>
        </w:rPr>
      </w:pPr>
      <w:r>
        <w:rPr>
          <w:rFonts w:asciiTheme="majorBidi" w:hAnsiTheme="majorBidi" w:cstheme="majorBidi"/>
          <w:sz w:val="24"/>
          <w:szCs w:val="24"/>
        </w:rPr>
        <w:t>La lecture des antibiogrammes a été effectuée en mesurant les diamètres des halos d’inhibition formés autour des disques imprégnés d’extraits, à l’aide d’un pied à coulisse. L’apparition ou non d’une zone d’inhibition, ainsi que la mesure de son diamètre (en millimètres), permettent d’évaluer l’efficacité de l’extrait éthanolique ou aqueux vis-à-vis des souches bactériennes testées. Les résultats obtenus sont présentés dans</w:t>
      </w:r>
      <w:r>
        <w:rPr>
          <w:rFonts w:asciiTheme="majorBidi" w:hAnsiTheme="majorBidi" w:cstheme="majorBidi"/>
          <w:b/>
          <w:bCs/>
          <w:sz w:val="24"/>
          <w:szCs w:val="24"/>
        </w:rPr>
        <w:t xml:space="preserve"> le Tableau II.4.</w:t>
      </w:r>
    </w:p>
    <w:p w14:paraId="09070D93" w14:textId="77777777" w:rsidR="009347FE" w:rsidRDefault="009347FE" w:rsidP="00C63CEF">
      <w:pPr>
        <w:spacing w:line="360" w:lineRule="auto"/>
        <w:jc w:val="both"/>
        <w:rPr>
          <w:rFonts w:asciiTheme="majorBidi" w:hAnsiTheme="majorBidi" w:cstheme="majorBidi"/>
          <w:b/>
          <w:bCs/>
          <w:sz w:val="24"/>
          <w:szCs w:val="24"/>
        </w:rPr>
      </w:pPr>
    </w:p>
    <w:p w14:paraId="1FB4EBF1" w14:textId="77777777" w:rsidR="009347FE" w:rsidRDefault="009347FE">
      <w:pPr>
        <w:spacing w:line="360" w:lineRule="auto"/>
        <w:ind w:firstLine="557"/>
        <w:jc w:val="both"/>
        <w:rPr>
          <w:rFonts w:asciiTheme="majorBidi" w:hAnsiTheme="majorBidi" w:cstheme="majorBidi"/>
          <w:b/>
          <w:bCs/>
          <w:sz w:val="24"/>
          <w:szCs w:val="24"/>
        </w:rPr>
      </w:pPr>
    </w:p>
    <w:p w14:paraId="129E6522" w14:textId="77777777" w:rsidR="003E3FB4" w:rsidRDefault="00385ED0">
      <w:pPr>
        <w:pStyle w:val="Paragraphedeliste"/>
        <w:spacing w:after="200" w:line="276" w:lineRule="auto"/>
        <w:ind w:left="0"/>
        <w:jc w:val="both"/>
        <w:rPr>
          <w:rFonts w:asciiTheme="majorBidi" w:eastAsiaTheme="minorEastAsia" w:hAnsiTheme="majorBidi" w:cstheme="majorBidi"/>
          <w:b/>
          <w:bCs/>
          <w:sz w:val="24"/>
          <w:szCs w:val="24"/>
        </w:rPr>
      </w:pPr>
      <w:r>
        <w:rPr>
          <w:rFonts w:asciiTheme="majorBidi" w:eastAsia="Calibri" w:hAnsiTheme="majorBidi" w:cstheme="majorBidi"/>
          <w:b/>
          <w:bCs/>
          <w:color w:val="000000" w:themeColor="text1"/>
          <w:sz w:val="24"/>
          <w:szCs w:val="24"/>
        </w:rPr>
        <w:t>Tableau II.4.</w:t>
      </w:r>
      <w:r>
        <w:rPr>
          <w:rFonts w:asciiTheme="majorBidi" w:eastAsia="Calibri" w:hAnsiTheme="majorBidi" w:cstheme="majorBidi"/>
          <w:color w:val="000000" w:themeColor="text1"/>
          <w:sz w:val="24"/>
          <w:szCs w:val="24"/>
        </w:rPr>
        <w:t xml:space="preserve"> </w:t>
      </w:r>
      <w:r>
        <w:rPr>
          <w:rFonts w:asciiTheme="majorBidi" w:hAnsiTheme="majorBidi" w:cstheme="majorBidi"/>
          <w:color w:val="000000" w:themeColor="text1"/>
          <w:sz w:val="24"/>
          <w:szCs w:val="24"/>
        </w:rPr>
        <w:t>Sensibilité et degré d’activité selon le diamètre d’inhibition.</w:t>
      </w:r>
      <w:r>
        <w:rPr>
          <w:rFonts w:asciiTheme="majorBidi" w:hAnsiTheme="majorBidi" w:cstheme="majorBidi"/>
          <w:b/>
          <w:bCs/>
          <w:sz w:val="28"/>
          <w:szCs w:val="28"/>
          <w:lang w:bidi="ar-DZ"/>
        </w:rPr>
        <w:t xml:space="preserve"> </w:t>
      </w:r>
      <w:r>
        <w:rPr>
          <w:rFonts w:asciiTheme="majorBidi" w:hAnsiTheme="majorBidi" w:cstheme="majorBidi"/>
          <w:b/>
          <w:bCs/>
          <w:color w:val="000000" w:themeColor="text1"/>
          <w:sz w:val="24"/>
          <w:szCs w:val="24"/>
        </w:rPr>
        <w:t xml:space="preserve">(Ponce et </w:t>
      </w:r>
      <w:r>
        <w:rPr>
          <w:rFonts w:asciiTheme="majorBidi" w:hAnsiTheme="majorBidi" w:cstheme="majorBidi"/>
          <w:b/>
          <w:bCs/>
          <w:i/>
          <w:iCs/>
          <w:color w:val="000000" w:themeColor="text1"/>
          <w:sz w:val="24"/>
          <w:szCs w:val="24"/>
        </w:rPr>
        <w:t>al</w:t>
      </w:r>
      <w:r>
        <w:rPr>
          <w:rFonts w:asciiTheme="majorBidi" w:hAnsiTheme="majorBidi" w:cstheme="majorBidi"/>
          <w:b/>
          <w:bCs/>
          <w:color w:val="000000" w:themeColor="text1"/>
          <w:sz w:val="24"/>
          <w:szCs w:val="24"/>
        </w:rPr>
        <w:t>., 2003)</w:t>
      </w:r>
    </w:p>
    <w:tbl>
      <w:tblPr>
        <w:tblStyle w:val="TableauGrille6Couleur-Accentuation31"/>
        <w:tblW w:w="9067" w:type="dxa"/>
        <w:jc w:val="center"/>
        <w:tblLook w:val="04A0" w:firstRow="1" w:lastRow="0" w:firstColumn="1" w:lastColumn="0" w:noHBand="0" w:noVBand="1"/>
      </w:tblPr>
      <w:tblGrid>
        <w:gridCol w:w="3950"/>
        <w:gridCol w:w="3529"/>
        <w:gridCol w:w="1588"/>
      </w:tblGrid>
      <w:tr w:rsidR="003E3FB4" w14:paraId="1FE14893" w14:textId="77777777" w:rsidTr="003E3FB4">
        <w:trPr>
          <w:cnfStyle w:val="100000000000" w:firstRow="1" w:lastRow="0" w:firstColumn="0" w:lastColumn="0" w:oddVBand="0" w:evenVBand="0" w:oddHBand="0" w:evenHBand="0" w:firstRowFirstColumn="0" w:firstRowLastColumn="0" w:lastRowFirstColumn="0" w:lastRowLastColumn="0"/>
          <w:trHeight w:val="399"/>
          <w:jc w:val="center"/>
        </w:trPr>
        <w:tc>
          <w:tcPr>
            <w:cnfStyle w:val="001000000000" w:firstRow="0" w:lastRow="0" w:firstColumn="1" w:lastColumn="0" w:oddVBand="0" w:evenVBand="0" w:oddHBand="0" w:evenHBand="0" w:firstRowFirstColumn="0" w:firstRowLastColumn="0" w:lastRowFirstColumn="0" w:lastRowLastColumn="0"/>
            <w:tcW w:w="3950" w:type="dxa"/>
          </w:tcPr>
          <w:p w14:paraId="619A934E" w14:textId="77777777" w:rsidR="003E3FB4" w:rsidRDefault="00385ED0">
            <w:pPr>
              <w:spacing w:after="0" w:line="276" w:lineRule="auto"/>
              <w:jc w:val="center"/>
              <w:rPr>
                <w:rFonts w:asciiTheme="majorBidi" w:eastAsia="Calibri" w:hAnsiTheme="majorBidi" w:cstheme="majorBidi"/>
                <w:b w:val="0"/>
                <w:bCs w:val="0"/>
                <w:color w:val="000000" w:themeColor="text1"/>
                <w:sz w:val="24"/>
                <w:szCs w:val="24"/>
              </w:rPr>
            </w:pPr>
            <w:r>
              <w:rPr>
                <w:rFonts w:asciiTheme="majorBidi" w:eastAsia="Calibri" w:hAnsiTheme="majorBidi" w:cstheme="majorBidi"/>
                <w:color w:val="000000" w:themeColor="text1"/>
                <w:sz w:val="24"/>
                <w:szCs w:val="24"/>
              </w:rPr>
              <w:t>Diamètre du halo d’inhibition (Ø)</w:t>
            </w:r>
          </w:p>
        </w:tc>
        <w:tc>
          <w:tcPr>
            <w:tcW w:w="3529" w:type="dxa"/>
          </w:tcPr>
          <w:p w14:paraId="0211FBE5" w14:textId="77777777" w:rsidR="003E3FB4" w:rsidRDefault="00385ED0">
            <w:pPr>
              <w:spacing w:after="0" w:line="276" w:lineRule="auto"/>
              <w:jc w:val="center"/>
              <w:cnfStyle w:val="100000000000" w:firstRow="1" w:lastRow="0" w:firstColumn="0" w:lastColumn="0" w:oddVBand="0" w:evenVBand="0" w:oddHBand="0" w:evenHBand="0" w:firstRowFirstColumn="0" w:firstRowLastColumn="0" w:lastRowFirstColumn="0" w:lastRowLastColumn="0"/>
              <w:rPr>
                <w:rFonts w:asciiTheme="majorBidi" w:eastAsia="Calibri" w:hAnsiTheme="majorBidi" w:cstheme="majorBidi"/>
                <w:b w:val="0"/>
                <w:bCs w:val="0"/>
                <w:color w:val="000000" w:themeColor="text1"/>
                <w:sz w:val="24"/>
                <w:szCs w:val="24"/>
              </w:rPr>
            </w:pPr>
            <w:r>
              <w:rPr>
                <w:rFonts w:asciiTheme="majorBidi" w:eastAsia="Calibri" w:hAnsiTheme="majorBidi" w:cstheme="majorBidi"/>
                <w:color w:val="000000" w:themeColor="text1"/>
                <w:sz w:val="24"/>
                <w:szCs w:val="24"/>
              </w:rPr>
              <w:t>Degré de sensibilité des germes</w:t>
            </w:r>
          </w:p>
        </w:tc>
        <w:tc>
          <w:tcPr>
            <w:tcW w:w="1588" w:type="dxa"/>
          </w:tcPr>
          <w:p w14:paraId="06F92A88" w14:textId="77777777" w:rsidR="003E3FB4" w:rsidRDefault="00385ED0">
            <w:pPr>
              <w:spacing w:after="0" w:line="276" w:lineRule="auto"/>
              <w:jc w:val="center"/>
              <w:cnfStyle w:val="100000000000" w:firstRow="1" w:lastRow="0" w:firstColumn="0" w:lastColumn="0" w:oddVBand="0" w:evenVBand="0" w:oddHBand="0" w:evenHBand="0" w:firstRowFirstColumn="0" w:firstRowLastColumn="0" w:lastRowFirstColumn="0" w:lastRowLastColumn="0"/>
              <w:rPr>
                <w:rFonts w:asciiTheme="majorBidi" w:eastAsia="Calibri" w:hAnsiTheme="majorBidi" w:cstheme="majorBidi"/>
                <w:b w:val="0"/>
                <w:bCs w:val="0"/>
                <w:color w:val="000000" w:themeColor="text1"/>
                <w:sz w:val="24"/>
                <w:szCs w:val="24"/>
              </w:rPr>
            </w:pPr>
            <w:r>
              <w:rPr>
                <w:rFonts w:asciiTheme="majorBidi" w:eastAsia="Calibri" w:hAnsiTheme="majorBidi" w:cstheme="majorBidi"/>
                <w:color w:val="000000" w:themeColor="text1"/>
                <w:sz w:val="24"/>
                <w:szCs w:val="24"/>
              </w:rPr>
              <w:t>Résultat</w:t>
            </w:r>
          </w:p>
        </w:tc>
      </w:tr>
      <w:tr w:rsidR="003E3FB4" w14:paraId="0E63ED31" w14:textId="77777777" w:rsidTr="003E3FB4">
        <w:trPr>
          <w:trHeight w:val="399"/>
          <w:jc w:val="center"/>
        </w:trPr>
        <w:tc>
          <w:tcPr>
            <w:cnfStyle w:val="001000000000" w:firstRow="0" w:lastRow="0" w:firstColumn="1" w:lastColumn="0" w:oddVBand="0" w:evenVBand="0" w:oddHBand="0" w:evenHBand="0" w:firstRowFirstColumn="0" w:firstRowLastColumn="0" w:lastRowFirstColumn="0" w:lastRowLastColumn="0"/>
            <w:tcW w:w="3950" w:type="dxa"/>
            <w:shd w:val="clear" w:color="auto" w:fill="EDEDED" w:themeFill="accent3" w:themeFillTint="33"/>
          </w:tcPr>
          <w:p w14:paraId="20A9FD78" w14:textId="77777777" w:rsidR="003E3FB4" w:rsidRDefault="00385ED0">
            <w:pPr>
              <w:spacing w:after="0" w:line="276" w:lineRule="auto"/>
              <w:jc w:val="center"/>
              <w:rPr>
                <w:rFonts w:asciiTheme="majorBidi" w:eastAsia="Calibri" w:hAnsiTheme="majorBidi" w:cstheme="majorBidi"/>
                <w:b w:val="0"/>
                <w:bCs w:val="0"/>
                <w:color w:val="000000" w:themeColor="text1"/>
                <w:sz w:val="24"/>
                <w:szCs w:val="24"/>
              </w:rPr>
            </w:pPr>
            <w:r>
              <w:rPr>
                <w:rFonts w:asciiTheme="majorBidi" w:eastAsia="Calibri" w:hAnsiTheme="majorBidi" w:cstheme="majorBidi"/>
                <w:color w:val="000000" w:themeColor="text1"/>
                <w:sz w:val="24"/>
                <w:szCs w:val="24"/>
              </w:rPr>
              <w:t>Ø &lt; 08 mm</w:t>
            </w:r>
          </w:p>
        </w:tc>
        <w:tc>
          <w:tcPr>
            <w:tcW w:w="3529" w:type="dxa"/>
            <w:shd w:val="clear" w:color="auto" w:fill="EDEDED" w:themeFill="accent3" w:themeFillTint="33"/>
          </w:tcPr>
          <w:p w14:paraId="346DB987" w14:textId="77777777" w:rsidR="003E3FB4" w:rsidRDefault="00385ED0">
            <w:pPr>
              <w:spacing w:after="0" w:line="276" w:lineRule="auto"/>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color w:val="000000" w:themeColor="text1"/>
                <w:sz w:val="24"/>
                <w:szCs w:val="24"/>
              </w:rPr>
            </w:pPr>
            <w:r>
              <w:rPr>
                <w:rFonts w:asciiTheme="majorBidi" w:eastAsia="Calibri" w:hAnsiTheme="majorBidi" w:cstheme="majorBidi"/>
                <w:color w:val="000000" w:themeColor="text1"/>
                <w:sz w:val="24"/>
                <w:szCs w:val="24"/>
              </w:rPr>
              <w:t>Non sensible ou résistant</w:t>
            </w:r>
          </w:p>
        </w:tc>
        <w:tc>
          <w:tcPr>
            <w:tcW w:w="1588" w:type="dxa"/>
            <w:shd w:val="clear" w:color="auto" w:fill="EDEDED" w:themeFill="accent3" w:themeFillTint="33"/>
          </w:tcPr>
          <w:p w14:paraId="70733277" w14:textId="77777777" w:rsidR="003E3FB4" w:rsidRDefault="00385ED0">
            <w:pPr>
              <w:spacing w:after="0" w:line="276" w:lineRule="auto"/>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color w:val="000000" w:themeColor="text1"/>
                <w:sz w:val="24"/>
                <w:szCs w:val="24"/>
              </w:rPr>
            </w:pPr>
            <w:r>
              <w:rPr>
                <w:rFonts w:asciiTheme="majorBidi" w:eastAsia="Calibri" w:hAnsiTheme="majorBidi" w:cstheme="majorBidi"/>
                <w:color w:val="000000" w:themeColor="text1"/>
                <w:sz w:val="24"/>
                <w:szCs w:val="24"/>
              </w:rPr>
              <w:t>-</w:t>
            </w:r>
          </w:p>
        </w:tc>
      </w:tr>
      <w:tr w:rsidR="003E3FB4" w14:paraId="1CC6CF13" w14:textId="77777777" w:rsidTr="003E3FB4">
        <w:trPr>
          <w:trHeight w:val="396"/>
          <w:jc w:val="center"/>
        </w:trPr>
        <w:tc>
          <w:tcPr>
            <w:cnfStyle w:val="001000000000" w:firstRow="0" w:lastRow="0" w:firstColumn="1" w:lastColumn="0" w:oddVBand="0" w:evenVBand="0" w:oddHBand="0" w:evenHBand="0" w:firstRowFirstColumn="0" w:firstRowLastColumn="0" w:lastRowFirstColumn="0" w:lastRowLastColumn="0"/>
            <w:tcW w:w="3950" w:type="dxa"/>
          </w:tcPr>
          <w:p w14:paraId="2A8F2687" w14:textId="77777777" w:rsidR="003E3FB4" w:rsidRDefault="00385ED0">
            <w:pPr>
              <w:spacing w:after="0" w:line="276" w:lineRule="auto"/>
              <w:jc w:val="center"/>
              <w:rPr>
                <w:rFonts w:asciiTheme="majorBidi" w:eastAsia="Calibri" w:hAnsiTheme="majorBidi" w:cstheme="majorBidi"/>
                <w:b w:val="0"/>
                <w:bCs w:val="0"/>
                <w:color w:val="000000" w:themeColor="text1"/>
                <w:sz w:val="24"/>
                <w:szCs w:val="24"/>
              </w:rPr>
            </w:pPr>
            <w:r>
              <w:rPr>
                <w:rFonts w:asciiTheme="majorBidi" w:eastAsia="Calibri" w:hAnsiTheme="majorBidi" w:cstheme="majorBidi"/>
                <w:color w:val="000000" w:themeColor="text1"/>
                <w:sz w:val="24"/>
                <w:szCs w:val="24"/>
              </w:rPr>
              <w:t>09 &lt; Ø &lt;14 mm</w:t>
            </w:r>
          </w:p>
        </w:tc>
        <w:tc>
          <w:tcPr>
            <w:tcW w:w="3529" w:type="dxa"/>
          </w:tcPr>
          <w:p w14:paraId="50C5C596" w14:textId="77777777" w:rsidR="003E3FB4" w:rsidRDefault="00385ED0">
            <w:pPr>
              <w:spacing w:after="0" w:line="276" w:lineRule="auto"/>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color w:val="000000" w:themeColor="text1"/>
                <w:sz w:val="24"/>
                <w:szCs w:val="24"/>
              </w:rPr>
            </w:pPr>
            <w:r>
              <w:rPr>
                <w:rFonts w:asciiTheme="majorBidi" w:eastAsia="Calibri" w:hAnsiTheme="majorBidi" w:cstheme="majorBidi"/>
                <w:color w:val="000000" w:themeColor="text1"/>
                <w:sz w:val="24"/>
                <w:szCs w:val="24"/>
              </w:rPr>
              <w:t>Sensible</w:t>
            </w:r>
          </w:p>
        </w:tc>
        <w:tc>
          <w:tcPr>
            <w:tcW w:w="1588" w:type="dxa"/>
          </w:tcPr>
          <w:p w14:paraId="4E39DC57" w14:textId="77777777" w:rsidR="003E3FB4" w:rsidRDefault="00385ED0">
            <w:pPr>
              <w:spacing w:after="0" w:line="276" w:lineRule="auto"/>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color w:val="000000" w:themeColor="text1"/>
                <w:sz w:val="24"/>
                <w:szCs w:val="24"/>
              </w:rPr>
            </w:pPr>
            <w:r>
              <w:rPr>
                <w:rFonts w:asciiTheme="majorBidi" w:eastAsia="Calibri" w:hAnsiTheme="majorBidi" w:cstheme="majorBidi"/>
                <w:color w:val="000000" w:themeColor="text1"/>
                <w:sz w:val="24"/>
                <w:szCs w:val="24"/>
              </w:rPr>
              <w:t>+</w:t>
            </w:r>
          </w:p>
        </w:tc>
      </w:tr>
      <w:tr w:rsidR="003E3FB4" w14:paraId="523653EC" w14:textId="77777777" w:rsidTr="003E3FB4">
        <w:trPr>
          <w:trHeight w:val="417"/>
          <w:jc w:val="center"/>
        </w:trPr>
        <w:tc>
          <w:tcPr>
            <w:cnfStyle w:val="001000000000" w:firstRow="0" w:lastRow="0" w:firstColumn="1" w:lastColumn="0" w:oddVBand="0" w:evenVBand="0" w:oddHBand="0" w:evenHBand="0" w:firstRowFirstColumn="0" w:firstRowLastColumn="0" w:lastRowFirstColumn="0" w:lastRowLastColumn="0"/>
            <w:tcW w:w="3950" w:type="dxa"/>
            <w:shd w:val="clear" w:color="auto" w:fill="EDEDED" w:themeFill="accent3" w:themeFillTint="33"/>
          </w:tcPr>
          <w:p w14:paraId="1202BABC" w14:textId="77777777" w:rsidR="003E3FB4" w:rsidRDefault="00385ED0">
            <w:pPr>
              <w:spacing w:after="0" w:line="276" w:lineRule="auto"/>
              <w:jc w:val="center"/>
              <w:rPr>
                <w:rFonts w:asciiTheme="majorBidi" w:eastAsia="Calibri" w:hAnsiTheme="majorBidi" w:cstheme="majorBidi"/>
                <w:b w:val="0"/>
                <w:bCs w:val="0"/>
                <w:color w:val="000000" w:themeColor="text1"/>
                <w:sz w:val="24"/>
                <w:szCs w:val="24"/>
              </w:rPr>
            </w:pPr>
            <w:r>
              <w:rPr>
                <w:rFonts w:asciiTheme="majorBidi" w:eastAsia="Calibri" w:hAnsiTheme="majorBidi" w:cstheme="majorBidi"/>
                <w:color w:val="000000" w:themeColor="text1"/>
                <w:sz w:val="24"/>
                <w:szCs w:val="24"/>
              </w:rPr>
              <w:t>15 &lt; Ø &lt;19 mm</w:t>
            </w:r>
          </w:p>
        </w:tc>
        <w:tc>
          <w:tcPr>
            <w:tcW w:w="3529" w:type="dxa"/>
            <w:shd w:val="clear" w:color="auto" w:fill="EDEDED" w:themeFill="accent3" w:themeFillTint="33"/>
          </w:tcPr>
          <w:p w14:paraId="0DC285EF" w14:textId="77777777" w:rsidR="003E3FB4" w:rsidRDefault="00385ED0">
            <w:pPr>
              <w:spacing w:after="0" w:line="276" w:lineRule="auto"/>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color w:val="000000" w:themeColor="text1"/>
                <w:sz w:val="24"/>
                <w:szCs w:val="24"/>
              </w:rPr>
            </w:pPr>
            <w:r>
              <w:rPr>
                <w:rFonts w:asciiTheme="majorBidi" w:eastAsia="Calibri" w:hAnsiTheme="majorBidi" w:cstheme="majorBidi"/>
                <w:color w:val="000000" w:themeColor="text1"/>
                <w:sz w:val="24"/>
                <w:szCs w:val="24"/>
              </w:rPr>
              <w:t>Très sensible</w:t>
            </w:r>
          </w:p>
        </w:tc>
        <w:tc>
          <w:tcPr>
            <w:tcW w:w="1588" w:type="dxa"/>
            <w:shd w:val="clear" w:color="auto" w:fill="EDEDED" w:themeFill="accent3" w:themeFillTint="33"/>
          </w:tcPr>
          <w:p w14:paraId="7A98C7CF" w14:textId="77777777" w:rsidR="003E3FB4" w:rsidRDefault="00385ED0">
            <w:pPr>
              <w:spacing w:after="0" w:line="276" w:lineRule="auto"/>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color w:val="000000" w:themeColor="text1"/>
                <w:sz w:val="24"/>
                <w:szCs w:val="24"/>
              </w:rPr>
            </w:pPr>
            <w:r>
              <w:rPr>
                <w:rFonts w:asciiTheme="majorBidi" w:eastAsia="Calibri" w:hAnsiTheme="majorBidi" w:cstheme="majorBidi"/>
                <w:color w:val="000000" w:themeColor="text1"/>
                <w:sz w:val="24"/>
                <w:szCs w:val="24"/>
              </w:rPr>
              <w:t>++</w:t>
            </w:r>
          </w:p>
        </w:tc>
      </w:tr>
      <w:tr w:rsidR="003E3FB4" w14:paraId="3F858E89" w14:textId="77777777" w:rsidTr="003E3FB4">
        <w:trPr>
          <w:trHeight w:val="423"/>
          <w:jc w:val="center"/>
        </w:trPr>
        <w:tc>
          <w:tcPr>
            <w:cnfStyle w:val="001000000000" w:firstRow="0" w:lastRow="0" w:firstColumn="1" w:lastColumn="0" w:oddVBand="0" w:evenVBand="0" w:oddHBand="0" w:evenHBand="0" w:firstRowFirstColumn="0" w:firstRowLastColumn="0" w:lastRowFirstColumn="0" w:lastRowLastColumn="0"/>
            <w:tcW w:w="3950" w:type="dxa"/>
          </w:tcPr>
          <w:p w14:paraId="093E6B2A" w14:textId="77777777" w:rsidR="003E3FB4" w:rsidRDefault="00385ED0">
            <w:pPr>
              <w:spacing w:after="0" w:line="276" w:lineRule="auto"/>
              <w:jc w:val="center"/>
              <w:rPr>
                <w:rFonts w:asciiTheme="majorBidi" w:eastAsia="Calibri" w:hAnsiTheme="majorBidi" w:cstheme="majorBidi"/>
                <w:b w:val="0"/>
                <w:bCs w:val="0"/>
                <w:color w:val="000000" w:themeColor="text1"/>
                <w:sz w:val="24"/>
                <w:szCs w:val="24"/>
              </w:rPr>
            </w:pPr>
            <w:r>
              <w:rPr>
                <w:rFonts w:asciiTheme="majorBidi" w:eastAsia="Calibri" w:hAnsiTheme="majorBidi" w:cstheme="majorBidi"/>
                <w:color w:val="000000" w:themeColor="text1"/>
                <w:sz w:val="24"/>
                <w:szCs w:val="24"/>
              </w:rPr>
              <w:t xml:space="preserve">20 mm &lt; Ø </w:t>
            </w:r>
          </w:p>
        </w:tc>
        <w:tc>
          <w:tcPr>
            <w:tcW w:w="3529" w:type="dxa"/>
          </w:tcPr>
          <w:p w14:paraId="3AA1E959" w14:textId="77777777" w:rsidR="003E3FB4" w:rsidRDefault="00385ED0">
            <w:pPr>
              <w:spacing w:after="0" w:line="276" w:lineRule="auto"/>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color w:val="000000" w:themeColor="text1"/>
                <w:sz w:val="24"/>
                <w:szCs w:val="24"/>
              </w:rPr>
            </w:pPr>
            <w:r>
              <w:rPr>
                <w:rFonts w:asciiTheme="majorBidi" w:eastAsia="Calibri" w:hAnsiTheme="majorBidi" w:cstheme="majorBidi"/>
                <w:color w:val="000000" w:themeColor="text1"/>
                <w:sz w:val="24"/>
                <w:szCs w:val="24"/>
              </w:rPr>
              <w:t>Extrêmement sensible</w:t>
            </w:r>
          </w:p>
        </w:tc>
        <w:tc>
          <w:tcPr>
            <w:tcW w:w="1588" w:type="dxa"/>
          </w:tcPr>
          <w:p w14:paraId="7081D2EC" w14:textId="77777777" w:rsidR="003E3FB4" w:rsidRDefault="00385ED0">
            <w:pPr>
              <w:spacing w:after="0" w:line="276" w:lineRule="auto"/>
              <w:jc w:val="center"/>
              <w:cnfStyle w:val="000000000000" w:firstRow="0" w:lastRow="0" w:firstColumn="0" w:lastColumn="0" w:oddVBand="0" w:evenVBand="0" w:oddHBand="0" w:evenHBand="0" w:firstRowFirstColumn="0" w:firstRowLastColumn="0" w:lastRowFirstColumn="0" w:lastRowLastColumn="0"/>
              <w:rPr>
                <w:rFonts w:asciiTheme="majorBidi" w:eastAsia="Calibri" w:hAnsiTheme="majorBidi" w:cstheme="majorBidi"/>
                <w:color w:val="000000" w:themeColor="text1"/>
                <w:sz w:val="24"/>
                <w:szCs w:val="24"/>
              </w:rPr>
            </w:pPr>
            <w:r>
              <w:rPr>
                <w:rFonts w:asciiTheme="majorBidi" w:eastAsia="Calibri" w:hAnsiTheme="majorBidi" w:cstheme="majorBidi"/>
                <w:color w:val="000000" w:themeColor="text1"/>
                <w:sz w:val="24"/>
                <w:szCs w:val="24"/>
              </w:rPr>
              <w:t>+++</w:t>
            </w:r>
          </w:p>
        </w:tc>
      </w:tr>
    </w:tbl>
    <w:p w14:paraId="01B9FFB4" w14:textId="77777777" w:rsidR="003E3FB4" w:rsidRDefault="003E3FB4">
      <w:pPr>
        <w:spacing w:after="0" w:line="360" w:lineRule="auto"/>
        <w:rPr>
          <w:rFonts w:asciiTheme="majorBidi" w:hAnsiTheme="majorBidi" w:cstheme="majorBidi"/>
          <w:b/>
          <w:bCs/>
          <w:sz w:val="26"/>
          <w:szCs w:val="26"/>
        </w:rPr>
      </w:pPr>
    </w:p>
    <w:p w14:paraId="57935F60" w14:textId="77777777" w:rsidR="003E3FB4" w:rsidRDefault="00385ED0">
      <w:pPr>
        <w:spacing w:after="0" w:line="360" w:lineRule="auto"/>
        <w:rPr>
          <w:rFonts w:asciiTheme="majorBidi" w:hAnsiTheme="majorBidi" w:cstheme="majorBidi"/>
          <w:b/>
          <w:bCs/>
          <w:sz w:val="24"/>
          <w:szCs w:val="24"/>
        </w:rPr>
      </w:pPr>
      <w:r>
        <w:rPr>
          <w:rFonts w:asciiTheme="majorBidi" w:hAnsiTheme="majorBidi" w:cstheme="majorBidi"/>
          <w:b/>
          <w:bCs/>
          <w:sz w:val="24"/>
          <w:szCs w:val="24"/>
        </w:rPr>
        <w:t xml:space="preserve">II.5.3.2. Activité antifongique </w:t>
      </w:r>
    </w:p>
    <w:p w14:paraId="4BBECE8D" w14:textId="77777777" w:rsidR="003E3FB4" w:rsidRDefault="00385ED0">
      <w:pPr>
        <w:spacing w:after="120" w:line="360" w:lineRule="auto"/>
        <w:ind w:firstLine="557"/>
        <w:jc w:val="both"/>
        <w:rPr>
          <w:rFonts w:asciiTheme="majorBidi" w:hAnsiTheme="majorBidi" w:cstheme="majorBidi"/>
          <w:b/>
          <w:bCs/>
          <w:sz w:val="24"/>
          <w:szCs w:val="24"/>
        </w:rPr>
      </w:pPr>
      <w:r>
        <w:rPr>
          <w:rFonts w:asciiTheme="majorBidi" w:hAnsiTheme="majorBidi" w:cstheme="majorBidi"/>
          <w:sz w:val="24"/>
          <w:szCs w:val="24"/>
        </w:rPr>
        <w:t xml:space="preserve">L’efficacité des extraits aqueux et éthanolique des graines de </w:t>
      </w:r>
      <w:r>
        <w:rPr>
          <w:rFonts w:asciiTheme="majorBidi" w:hAnsiTheme="majorBidi" w:cstheme="majorBidi"/>
          <w:i/>
          <w:iCs/>
          <w:sz w:val="24"/>
          <w:szCs w:val="24"/>
        </w:rPr>
        <w:t>Trigonella foenum-graecum</w:t>
      </w:r>
      <w:r>
        <w:rPr>
          <w:rFonts w:asciiTheme="majorBidi" w:hAnsiTheme="majorBidi" w:cstheme="majorBidi"/>
          <w:sz w:val="24"/>
          <w:szCs w:val="24"/>
        </w:rPr>
        <w:t xml:space="preserve"> L. contre différentes souches fongiques a été évaluée à l’aide de deux méthodes distinctes : la méthode de diffusion sur disque (citer avant dans l’activité antibactérienne) a été utilisée pour </w:t>
      </w:r>
      <w:r>
        <w:rPr>
          <w:rFonts w:asciiTheme="majorBidi" w:hAnsiTheme="majorBidi" w:cstheme="majorBidi"/>
          <w:i/>
          <w:iCs/>
          <w:sz w:val="24"/>
          <w:szCs w:val="24"/>
        </w:rPr>
        <w:t>Candida albicans</w:t>
      </w:r>
      <w:r>
        <w:t xml:space="preserve"> </w:t>
      </w:r>
      <w:r>
        <w:rPr>
          <w:rFonts w:asciiTheme="majorBidi" w:hAnsiTheme="majorBidi" w:cstheme="majorBidi"/>
          <w:sz w:val="24"/>
          <w:szCs w:val="24"/>
        </w:rPr>
        <w:t>ATCC  10231</w:t>
      </w:r>
      <w:r>
        <w:rPr>
          <w:rFonts w:asciiTheme="majorBidi" w:hAnsiTheme="majorBidi" w:cstheme="majorBidi"/>
          <w:i/>
          <w:iCs/>
          <w:sz w:val="24"/>
          <w:szCs w:val="24"/>
        </w:rPr>
        <w:t>,</w:t>
      </w:r>
      <w:r>
        <w:rPr>
          <w:rFonts w:asciiTheme="majorBidi" w:hAnsiTheme="majorBidi" w:cstheme="majorBidi"/>
          <w:sz w:val="24"/>
          <w:szCs w:val="24"/>
        </w:rPr>
        <w:t xml:space="preserve"> tandis que la méthode de contact direct a été appliquée pour </w:t>
      </w:r>
      <w:r>
        <w:rPr>
          <w:rFonts w:asciiTheme="majorBidi" w:hAnsiTheme="majorBidi" w:cstheme="majorBidi"/>
          <w:i/>
          <w:iCs/>
          <w:sz w:val="24"/>
          <w:szCs w:val="24"/>
        </w:rPr>
        <w:t>Aspergillus brasiliensis</w:t>
      </w:r>
      <w:r>
        <w:t xml:space="preserve"> </w:t>
      </w:r>
      <w:r>
        <w:rPr>
          <w:rFonts w:asciiTheme="majorBidi" w:hAnsiTheme="majorBidi" w:cstheme="majorBidi"/>
          <w:sz w:val="24"/>
          <w:szCs w:val="24"/>
        </w:rPr>
        <w:t xml:space="preserve">ATCC 16404, </w:t>
      </w:r>
      <w:r>
        <w:rPr>
          <w:rFonts w:asciiTheme="majorBidi" w:hAnsiTheme="majorBidi" w:cstheme="majorBidi"/>
          <w:i/>
          <w:iCs/>
          <w:sz w:val="24"/>
          <w:szCs w:val="24"/>
        </w:rPr>
        <w:t>Monilinia sp</w:t>
      </w:r>
      <w:r>
        <w:rPr>
          <w:rFonts w:asciiTheme="majorBidi" w:hAnsiTheme="majorBidi" w:cstheme="majorBidi"/>
          <w:sz w:val="24"/>
          <w:szCs w:val="24"/>
        </w:rPr>
        <w:t xml:space="preserve">., </w:t>
      </w:r>
      <w:r>
        <w:rPr>
          <w:rFonts w:asciiTheme="majorBidi" w:hAnsiTheme="majorBidi" w:cstheme="majorBidi"/>
          <w:i/>
          <w:iCs/>
          <w:sz w:val="24"/>
          <w:szCs w:val="24"/>
        </w:rPr>
        <w:t>Colletotrichum sp</w:t>
      </w:r>
      <w:r>
        <w:rPr>
          <w:rFonts w:asciiTheme="majorBidi" w:hAnsiTheme="majorBidi" w:cstheme="majorBidi"/>
          <w:sz w:val="24"/>
          <w:szCs w:val="24"/>
        </w:rPr>
        <w:t xml:space="preserve">. </w:t>
      </w:r>
      <w:proofErr w:type="gramStart"/>
      <w:r>
        <w:rPr>
          <w:rFonts w:asciiTheme="majorBidi" w:hAnsiTheme="majorBidi" w:cstheme="majorBidi"/>
          <w:sz w:val="24"/>
          <w:szCs w:val="24"/>
        </w:rPr>
        <w:t>et</w:t>
      </w:r>
      <w:proofErr w:type="gramEnd"/>
      <w:r>
        <w:rPr>
          <w:rFonts w:asciiTheme="majorBidi" w:hAnsiTheme="majorBidi" w:cstheme="majorBidi"/>
          <w:sz w:val="24"/>
          <w:szCs w:val="24"/>
        </w:rPr>
        <w:t xml:space="preserve"> Botrytis</w:t>
      </w:r>
      <w:r>
        <w:rPr>
          <w:rFonts w:asciiTheme="majorBidi" w:hAnsiTheme="majorBidi" w:cstheme="majorBidi"/>
          <w:i/>
          <w:iCs/>
          <w:sz w:val="24"/>
          <w:szCs w:val="24"/>
        </w:rPr>
        <w:t xml:space="preserve"> cinerea</w:t>
      </w:r>
      <w:r>
        <w:rPr>
          <w:rFonts w:asciiTheme="majorBidi" w:hAnsiTheme="majorBidi" w:cstheme="majorBidi"/>
          <w:sz w:val="24"/>
          <w:szCs w:val="24"/>
        </w:rPr>
        <w:t xml:space="preserve"> (</w:t>
      </w:r>
      <w:r>
        <w:rPr>
          <w:rFonts w:asciiTheme="majorBidi" w:hAnsiTheme="majorBidi" w:cstheme="majorBidi"/>
          <w:b/>
          <w:bCs/>
          <w:sz w:val="24"/>
          <w:szCs w:val="24"/>
        </w:rPr>
        <w:t xml:space="preserve">Debib et </w:t>
      </w:r>
      <w:r>
        <w:rPr>
          <w:rFonts w:asciiTheme="majorBidi" w:hAnsiTheme="majorBidi" w:cstheme="majorBidi"/>
          <w:b/>
          <w:bCs/>
          <w:i/>
          <w:iCs/>
          <w:sz w:val="24"/>
          <w:szCs w:val="24"/>
        </w:rPr>
        <w:t>al.</w:t>
      </w:r>
      <w:r>
        <w:rPr>
          <w:rFonts w:asciiTheme="majorBidi" w:hAnsiTheme="majorBidi" w:cstheme="majorBidi"/>
          <w:b/>
          <w:bCs/>
          <w:sz w:val="24"/>
          <w:szCs w:val="24"/>
        </w:rPr>
        <w:t>, 2014).</w:t>
      </w:r>
    </w:p>
    <w:p w14:paraId="39F9F6E8" w14:textId="77777777" w:rsidR="003E3FB4" w:rsidRDefault="00385ED0">
      <w:pPr>
        <w:spacing w:after="120"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II.5.3.2.1. Repiquage des champignons  </w:t>
      </w:r>
    </w:p>
    <w:p w14:paraId="4581F527" w14:textId="77777777" w:rsidR="003E3FB4" w:rsidRDefault="00385ED0">
      <w:pPr>
        <w:spacing w:after="0" w:line="360" w:lineRule="auto"/>
        <w:ind w:firstLine="557"/>
        <w:jc w:val="both"/>
        <w:rPr>
          <w:rFonts w:asciiTheme="majorBidi" w:hAnsiTheme="majorBidi" w:cstheme="majorBidi"/>
          <w:b/>
          <w:bCs/>
          <w:sz w:val="24"/>
          <w:szCs w:val="24"/>
        </w:rPr>
      </w:pPr>
      <w:r>
        <w:rPr>
          <w:rFonts w:asciiTheme="majorBidi" w:hAnsiTheme="majorBidi" w:cstheme="majorBidi"/>
          <w:sz w:val="24"/>
          <w:szCs w:val="24"/>
        </w:rPr>
        <w:t>Les souches fongiques étudiées ont été repiquées sur milieu Sabouraud afin d’obtenir des cultures jeunes et actives. À l’aide d’un écouvillon stérile, les prélèvements ont été effectués puis ensemencés en conditions aseptiques à la surface du milieu de culture. Les boîtes de Pétri ainsi préparées ont été hermétiquement fermées, puis incubées dans une étuve à 30 °C pendant une période de cinq jours</w:t>
      </w:r>
      <w:r>
        <w:rPr>
          <w:rFonts w:asciiTheme="majorBidi" w:hAnsiTheme="majorBidi" w:cstheme="majorBidi"/>
          <w:b/>
          <w:bCs/>
          <w:sz w:val="24"/>
          <w:szCs w:val="24"/>
        </w:rPr>
        <w:t xml:space="preserve"> (Figure II.6).</w:t>
      </w:r>
    </w:p>
    <w:p w14:paraId="25A6AEF6" w14:textId="77777777" w:rsidR="003E3FB4" w:rsidRDefault="00385ED0">
      <w:pPr>
        <w:spacing w:after="0" w:line="360" w:lineRule="auto"/>
        <w:ind w:firstLine="557"/>
        <w:rPr>
          <w:rFonts w:asciiTheme="majorBidi" w:hAnsiTheme="majorBidi" w:cstheme="majorBidi"/>
          <w:sz w:val="24"/>
          <w:szCs w:val="24"/>
        </w:rPr>
      </w:pPr>
      <w:r>
        <w:rPr>
          <w:rFonts w:asciiTheme="majorBidi" w:hAnsiTheme="majorBidi" w:cstheme="majorBidi"/>
          <w:sz w:val="24"/>
          <w:szCs w:val="24"/>
        </w:rPr>
        <w:lastRenderedPageBreak/>
        <w:t xml:space="preserve"> </w:t>
      </w:r>
      <w:r>
        <w:rPr>
          <w:rFonts w:asciiTheme="majorBidi" w:hAnsiTheme="majorBidi" w:cstheme="majorBidi"/>
          <w:noProof/>
          <w:sz w:val="24"/>
          <w:szCs w:val="24"/>
        </w:rPr>
        <w:drawing>
          <wp:inline distT="0" distB="0" distL="0" distR="0" wp14:anchorId="7804A45B" wp14:editId="032E01D9">
            <wp:extent cx="5743183" cy="4785756"/>
            <wp:effectExtent l="0" t="0" r="0" b="0"/>
            <wp:docPr id="1917537996" name="Imag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7537996" name="Image 2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a:xfrm>
                      <a:off x="0" y="0"/>
                      <a:ext cx="5763959" cy="4803068"/>
                    </a:xfrm>
                    <a:prstGeom prst="rect">
                      <a:avLst/>
                    </a:prstGeom>
                    <a:noFill/>
                  </pic:spPr>
                </pic:pic>
              </a:graphicData>
            </a:graphic>
          </wp:inline>
        </w:drawing>
      </w:r>
    </w:p>
    <w:p w14:paraId="0692EC63" w14:textId="77777777" w:rsidR="003E3FB4" w:rsidRDefault="00385ED0">
      <w:pPr>
        <w:tabs>
          <w:tab w:val="left" w:pos="6173"/>
        </w:tabs>
        <w:spacing w:line="360" w:lineRule="auto"/>
        <w:jc w:val="center"/>
        <w:rPr>
          <w:rFonts w:asciiTheme="majorBidi" w:hAnsiTheme="majorBidi" w:cstheme="majorBidi"/>
          <w:sz w:val="24"/>
          <w:szCs w:val="24"/>
        </w:rPr>
      </w:pPr>
      <w:r>
        <w:rPr>
          <w:rFonts w:asciiTheme="majorBidi" w:hAnsiTheme="majorBidi" w:cstheme="majorBidi"/>
          <w:b/>
          <w:bCs/>
          <w:sz w:val="24"/>
          <w:szCs w:val="24"/>
        </w:rPr>
        <w:t xml:space="preserve">Figure II.6.  </w:t>
      </w:r>
      <w:r>
        <w:rPr>
          <w:rFonts w:asciiTheme="majorBidi" w:eastAsia="Calibri" w:hAnsiTheme="majorBidi" w:cstheme="majorBidi"/>
          <w:sz w:val="24"/>
          <w:szCs w:val="24"/>
        </w:rPr>
        <w:t>Repiquage des souches fongiques</w:t>
      </w:r>
    </w:p>
    <w:p w14:paraId="4D833D59" w14:textId="77777777" w:rsidR="003E3FB4" w:rsidRDefault="00385ED0">
      <w:pPr>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II.5.3.2.2. Ensemencement des champignons</w:t>
      </w:r>
    </w:p>
    <w:p w14:paraId="3ED55FB1" w14:textId="77777777" w:rsidR="003E3FB4" w:rsidRDefault="00385ED0">
      <w:pPr>
        <w:spacing w:after="0"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 À l’aide d’une micropipette, un volume de 1 ml d’extrait aqueux ou éthanolique des graines de </w:t>
      </w:r>
      <w:r>
        <w:rPr>
          <w:rFonts w:asciiTheme="majorBidi" w:hAnsiTheme="majorBidi" w:cstheme="majorBidi"/>
          <w:i/>
          <w:iCs/>
          <w:sz w:val="24"/>
          <w:szCs w:val="24"/>
        </w:rPr>
        <w:t>Trigonella foenum-graecum</w:t>
      </w:r>
      <w:r>
        <w:rPr>
          <w:rFonts w:asciiTheme="majorBidi" w:hAnsiTheme="majorBidi" w:cstheme="majorBidi"/>
          <w:sz w:val="24"/>
          <w:szCs w:val="24"/>
        </w:rPr>
        <w:t xml:space="preserve"> L. est mélangé à 9 ml de gélose Sabouraud encore chaude (à l’état liquide), puis versé dans une boîte de Pétri stérile. Le mélange est soigneusement homogénéisé, puis laissé à température ambiante afin de permettre la solidification du milieu.</w:t>
      </w:r>
    </w:p>
    <w:p w14:paraId="1AC4D368" w14:textId="77777777" w:rsidR="003E3FB4" w:rsidRDefault="00385ED0">
      <w:pPr>
        <w:spacing w:after="0" w:line="360" w:lineRule="auto"/>
        <w:ind w:firstLine="567"/>
        <w:jc w:val="both"/>
        <w:rPr>
          <w:rFonts w:asciiTheme="majorBidi" w:hAnsiTheme="majorBidi" w:cstheme="majorBidi"/>
          <w:sz w:val="24"/>
          <w:szCs w:val="24"/>
        </w:rPr>
      </w:pPr>
      <w:r>
        <w:rPr>
          <w:rFonts w:asciiTheme="majorBidi" w:hAnsiTheme="majorBidi" w:cstheme="majorBidi"/>
          <w:sz w:val="24"/>
          <w:szCs w:val="24"/>
        </w:rPr>
        <w:t>L’ensemencement est réalisé par dépôt, au centre de chaque boîte, d’un fragment mycélien d’environ 1 cm de diamètre, prélevé à la périphérie d’une culture fongique active. Un témoin positif est constitué en plaçant un fragment fongique de même taille sur de la gélose Sabouraud sans extrait.</w:t>
      </w:r>
    </w:p>
    <w:p w14:paraId="0BEF08E9" w14:textId="77777777" w:rsidR="003E3FB4" w:rsidRDefault="00385ED0">
      <w:pPr>
        <w:spacing w:after="0"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Les boîtes sont ensuite incubées à 30 °C pendant 48 heures. Chaque test est effectué en triplicata pour assurer la reproductibilité des résultats </w:t>
      </w:r>
      <w:r>
        <w:rPr>
          <w:rFonts w:asciiTheme="majorBidi" w:hAnsiTheme="majorBidi" w:cstheme="majorBidi"/>
          <w:b/>
          <w:bCs/>
          <w:sz w:val="24"/>
          <w:szCs w:val="24"/>
        </w:rPr>
        <w:t>(Figure II.7).</w:t>
      </w:r>
    </w:p>
    <w:p w14:paraId="6C359B19" w14:textId="77777777" w:rsidR="003E3FB4" w:rsidRDefault="00385ED0">
      <w:pPr>
        <w:tabs>
          <w:tab w:val="left" w:pos="3240"/>
        </w:tabs>
        <w:spacing w:after="0" w:line="360" w:lineRule="auto"/>
        <w:jc w:val="center"/>
        <w:rPr>
          <w:rFonts w:asciiTheme="majorBidi" w:hAnsiTheme="majorBidi" w:cstheme="majorBidi"/>
          <w:sz w:val="24"/>
          <w:szCs w:val="24"/>
        </w:rPr>
      </w:pPr>
      <w:r>
        <w:rPr>
          <w:rFonts w:asciiTheme="majorBidi" w:hAnsiTheme="majorBidi" w:cstheme="majorBidi"/>
          <w:noProof/>
          <w:sz w:val="24"/>
          <w:szCs w:val="24"/>
        </w:rPr>
        <w:lastRenderedPageBreak/>
        <w:drawing>
          <wp:inline distT="0" distB="0" distL="0" distR="0" wp14:anchorId="68C68417" wp14:editId="22C65567">
            <wp:extent cx="5800725" cy="4133850"/>
            <wp:effectExtent l="0" t="0" r="9525" b="0"/>
            <wp:docPr id="1046910897"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6910897" name="Image 2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a:xfrm>
                      <a:off x="0" y="0"/>
                      <a:ext cx="5800725" cy="4133850"/>
                    </a:xfrm>
                    <a:prstGeom prst="rect">
                      <a:avLst/>
                    </a:prstGeom>
                    <a:noFill/>
                    <a:ln>
                      <a:noFill/>
                    </a:ln>
                  </pic:spPr>
                </pic:pic>
              </a:graphicData>
            </a:graphic>
          </wp:inline>
        </w:drawing>
      </w:r>
    </w:p>
    <w:p w14:paraId="5F8C00B9" w14:textId="77777777" w:rsidR="003E3FB4" w:rsidRDefault="00385ED0">
      <w:pPr>
        <w:tabs>
          <w:tab w:val="left" w:pos="6173"/>
        </w:tabs>
        <w:spacing w:line="360" w:lineRule="auto"/>
        <w:jc w:val="center"/>
        <w:rPr>
          <w:rFonts w:asciiTheme="majorBidi" w:hAnsiTheme="majorBidi" w:cstheme="majorBidi"/>
          <w:sz w:val="24"/>
          <w:szCs w:val="24"/>
          <w:lang w:bidi="ar-DZ"/>
        </w:rPr>
      </w:pPr>
      <w:r>
        <w:rPr>
          <w:rFonts w:asciiTheme="majorBidi" w:hAnsiTheme="majorBidi" w:cstheme="majorBidi"/>
          <w:b/>
          <w:bCs/>
          <w:sz w:val="24"/>
          <w:szCs w:val="24"/>
          <w:lang w:bidi="ar-DZ"/>
        </w:rPr>
        <w:t xml:space="preserve">Figure II.7. </w:t>
      </w:r>
      <w:r>
        <w:rPr>
          <w:rFonts w:asciiTheme="majorBidi" w:hAnsiTheme="majorBidi" w:cstheme="majorBidi"/>
          <w:sz w:val="24"/>
          <w:szCs w:val="24"/>
          <w:lang w:bidi="ar-DZ"/>
        </w:rPr>
        <w:t>Evaluation de l’activité antifongique par la méthode de contact direct.</w:t>
      </w:r>
    </w:p>
    <w:p w14:paraId="19048FC0" w14:textId="1FD50D70" w:rsidR="003E3FB4" w:rsidRDefault="00385ED0">
      <w:pPr>
        <w:spacing w:line="360" w:lineRule="auto"/>
        <w:rPr>
          <w:rFonts w:asciiTheme="majorBidi" w:hAnsiTheme="majorBidi" w:cstheme="majorBidi"/>
          <w:b/>
          <w:bCs/>
          <w:sz w:val="24"/>
          <w:szCs w:val="24"/>
        </w:rPr>
      </w:pPr>
      <w:r>
        <w:rPr>
          <w:rFonts w:asciiTheme="majorBidi" w:hAnsiTheme="majorBidi" w:cstheme="majorBidi"/>
          <w:b/>
          <w:bCs/>
          <w:sz w:val="24"/>
          <w:szCs w:val="24"/>
        </w:rPr>
        <w:t xml:space="preserve">II.5.3.2.3. Lecture </w:t>
      </w:r>
      <w:r w:rsidR="001472A6">
        <w:rPr>
          <w:rFonts w:asciiTheme="majorBidi" w:hAnsiTheme="majorBidi" w:cstheme="majorBidi"/>
          <w:b/>
          <w:bCs/>
          <w:sz w:val="24"/>
          <w:szCs w:val="24"/>
        </w:rPr>
        <w:t xml:space="preserve">de l’activité antifongique </w:t>
      </w:r>
    </w:p>
    <w:p w14:paraId="5F0B8AB8" w14:textId="77777777" w:rsidR="003E3FB4" w:rsidRDefault="00385ED0">
      <w:pPr>
        <w:spacing w:line="360" w:lineRule="auto"/>
        <w:ind w:firstLine="567"/>
        <w:jc w:val="both"/>
        <w:rPr>
          <w:rFonts w:asciiTheme="majorBidi" w:hAnsiTheme="majorBidi" w:cstheme="majorBidi"/>
          <w:sz w:val="24"/>
          <w:szCs w:val="24"/>
        </w:rPr>
      </w:pPr>
      <w:r>
        <w:rPr>
          <w:rFonts w:asciiTheme="majorBidi" w:hAnsiTheme="majorBidi" w:cstheme="majorBidi"/>
          <w:sz w:val="24"/>
          <w:szCs w:val="24"/>
        </w:rPr>
        <w:t>Après le temps d’incubation requis, les diamètres des différentes colonies de champignons sont mesurés à l’aide d’un pied à coulisse. Le taux d’inhibition est calculé à partir de l’équation :</w:t>
      </w:r>
    </w:p>
    <w:p w14:paraId="58D5AA1B" w14:textId="77777777" w:rsidR="003E3FB4" w:rsidRDefault="00385ED0">
      <w:pPr>
        <w:pBdr>
          <w:top w:val="single" w:sz="4" w:space="7" w:color="auto"/>
          <w:left w:val="single" w:sz="4" w:space="4" w:color="auto"/>
          <w:bottom w:val="single" w:sz="4" w:space="1" w:color="auto"/>
          <w:right w:val="single" w:sz="4" w:space="0" w:color="auto"/>
        </w:pBdr>
        <w:spacing w:line="360" w:lineRule="auto"/>
        <w:jc w:val="center"/>
        <w:rPr>
          <w:rFonts w:asciiTheme="majorBidi" w:hAnsiTheme="majorBidi" w:cstheme="majorBidi"/>
          <w:b/>
          <w:sz w:val="24"/>
          <w:szCs w:val="24"/>
        </w:rPr>
      </w:pPr>
      <w:r>
        <w:rPr>
          <w:rFonts w:asciiTheme="majorBidi" w:hAnsiTheme="majorBidi" w:cstheme="majorBidi"/>
          <w:b/>
          <w:sz w:val="24"/>
          <w:szCs w:val="24"/>
        </w:rPr>
        <w:t>I (%) = (dC-dE) / dC x 100</w:t>
      </w:r>
    </w:p>
    <w:p w14:paraId="17EBB1EA" w14:textId="77777777" w:rsidR="003E3FB4" w:rsidRDefault="00385ED0">
      <w:pPr>
        <w:spacing w:after="0" w:line="240" w:lineRule="auto"/>
        <w:rPr>
          <w:rFonts w:asciiTheme="majorBidi" w:hAnsiTheme="majorBidi" w:cstheme="majorBidi"/>
        </w:rPr>
      </w:pPr>
      <w:r>
        <w:rPr>
          <w:rFonts w:asciiTheme="majorBidi" w:hAnsiTheme="majorBidi" w:cstheme="majorBidi"/>
        </w:rPr>
        <w:t xml:space="preserve">I (%) : Taux d’inhibition exprimé en pourcentage. </w:t>
      </w:r>
    </w:p>
    <w:p w14:paraId="48152B42" w14:textId="77777777" w:rsidR="003E3FB4" w:rsidRDefault="00385ED0">
      <w:pPr>
        <w:spacing w:after="0" w:line="240" w:lineRule="auto"/>
        <w:rPr>
          <w:rFonts w:asciiTheme="majorBidi" w:hAnsiTheme="majorBidi" w:cstheme="majorBidi"/>
        </w:rPr>
      </w:pPr>
      <w:proofErr w:type="gramStart"/>
      <w:r>
        <w:rPr>
          <w:rFonts w:asciiTheme="majorBidi" w:hAnsiTheme="majorBidi" w:cstheme="majorBidi"/>
        </w:rPr>
        <w:t>dC</w:t>
      </w:r>
      <w:proofErr w:type="gramEnd"/>
      <w:r>
        <w:rPr>
          <w:rFonts w:asciiTheme="majorBidi" w:hAnsiTheme="majorBidi" w:cstheme="majorBidi"/>
        </w:rPr>
        <w:t xml:space="preserve"> : Diamètre des colonies dans les boîtes « témoins positifs ». </w:t>
      </w:r>
    </w:p>
    <w:p w14:paraId="6F29673A" w14:textId="77777777" w:rsidR="003E3FB4" w:rsidRDefault="00385ED0">
      <w:pPr>
        <w:spacing w:after="0" w:line="240" w:lineRule="auto"/>
        <w:rPr>
          <w:rFonts w:asciiTheme="majorBidi" w:hAnsiTheme="majorBidi" w:cstheme="majorBidi"/>
        </w:rPr>
      </w:pPr>
      <w:proofErr w:type="gramStart"/>
      <w:r>
        <w:rPr>
          <w:rFonts w:asciiTheme="majorBidi" w:hAnsiTheme="majorBidi" w:cstheme="majorBidi"/>
        </w:rPr>
        <w:t>dE</w:t>
      </w:r>
      <w:proofErr w:type="gramEnd"/>
      <w:r>
        <w:rPr>
          <w:rFonts w:asciiTheme="majorBidi" w:hAnsiTheme="majorBidi" w:cstheme="majorBidi"/>
        </w:rPr>
        <w:t xml:space="preserve"> : Diamètre de colonies dans les boîtes contenant l’extrait de plante.</w:t>
      </w:r>
    </w:p>
    <w:p w14:paraId="226A1DA0" w14:textId="77777777" w:rsidR="003E3FB4" w:rsidRDefault="003E3FB4">
      <w:pPr>
        <w:spacing w:after="0"/>
        <w:rPr>
          <w:rFonts w:asciiTheme="majorBidi" w:hAnsiTheme="majorBidi" w:cstheme="majorBidi"/>
          <w:sz w:val="24"/>
          <w:szCs w:val="24"/>
        </w:rPr>
      </w:pPr>
    </w:p>
    <w:p w14:paraId="5BFF38D9" w14:textId="77777777" w:rsidR="003E3FB4" w:rsidRDefault="00385ED0">
      <w:pPr>
        <w:spacing w:after="120" w:line="360" w:lineRule="auto"/>
        <w:rPr>
          <w:rFonts w:asciiTheme="majorBidi" w:hAnsiTheme="majorBidi" w:cstheme="majorBidi"/>
          <w:b/>
          <w:bCs/>
          <w:sz w:val="24"/>
          <w:szCs w:val="24"/>
        </w:rPr>
      </w:pPr>
      <w:r>
        <w:rPr>
          <w:rFonts w:asciiTheme="majorBidi" w:hAnsiTheme="majorBidi" w:cstheme="majorBidi"/>
          <w:b/>
          <w:bCs/>
          <w:sz w:val="24"/>
          <w:szCs w:val="24"/>
        </w:rPr>
        <w:t xml:space="preserve">L’extrait de plante est dit : </w:t>
      </w:r>
    </w:p>
    <w:p w14:paraId="6934BFBC" w14:textId="77777777" w:rsidR="003E3FB4" w:rsidRDefault="00385ED0">
      <w:pPr>
        <w:pStyle w:val="Paragraphedeliste"/>
        <w:numPr>
          <w:ilvl w:val="0"/>
          <w:numId w:val="8"/>
        </w:numPr>
        <w:spacing w:after="120" w:line="360" w:lineRule="auto"/>
        <w:ind w:left="714" w:hanging="357"/>
        <w:jc w:val="both"/>
        <w:rPr>
          <w:rFonts w:asciiTheme="majorBidi" w:hAnsiTheme="majorBidi" w:cstheme="majorBidi"/>
          <w:sz w:val="24"/>
          <w:szCs w:val="24"/>
        </w:rPr>
      </w:pPr>
      <w:r>
        <w:rPr>
          <w:rFonts w:asciiTheme="majorBidi" w:hAnsiTheme="majorBidi" w:cstheme="majorBidi"/>
          <w:sz w:val="24"/>
          <w:szCs w:val="24"/>
        </w:rPr>
        <w:t>Très actif lorsqu’il possède une inhibition comprise entre 75% et 100%, la souche fongique est dite très sensible.</w:t>
      </w:r>
    </w:p>
    <w:p w14:paraId="27AC8682" w14:textId="77777777" w:rsidR="003E3FB4" w:rsidRDefault="00385ED0">
      <w:pPr>
        <w:pStyle w:val="Paragraphedeliste"/>
        <w:numPr>
          <w:ilvl w:val="0"/>
          <w:numId w:val="8"/>
        </w:numPr>
        <w:spacing w:after="120" w:line="360" w:lineRule="auto"/>
        <w:ind w:left="714" w:hanging="357"/>
        <w:jc w:val="both"/>
        <w:rPr>
          <w:rFonts w:asciiTheme="majorBidi" w:hAnsiTheme="majorBidi" w:cstheme="majorBidi"/>
          <w:sz w:val="24"/>
          <w:szCs w:val="24"/>
        </w:rPr>
      </w:pPr>
      <w:r>
        <w:rPr>
          <w:rFonts w:asciiTheme="majorBidi" w:hAnsiTheme="majorBidi" w:cstheme="majorBidi"/>
          <w:sz w:val="24"/>
          <w:szCs w:val="24"/>
        </w:rPr>
        <w:t xml:space="preserve">Actif lorsqu’il possède une inhibition comprise entre 50% et 75%, la souche fongique est dite sensible.  </w:t>
      </w:r>
    </w:p>
    <w:p w14:paraId="20B102B1" w14:textId="572D25CF" w:rsidR="003E3FB4" w:rsidRPr="001472A6" w:rsidRDefault="00385ED0">
      <w:pPr>
        <w:pStyle w:val="Paragraphedeliste"/>
        <w:numPr>
          <w:ilvl w:val="0"/>
          <w:numId w:val="8"/>
        </w:numPr>
        <w:spacing w:after="120" w:line="360" w:lineRule="auto"/>
        <w:ind w:left="714" w:hanging="357"/>
        <w:jc w:val="both"/>
        <w:rPr>
          <w:rFonts w:asciiTheme="majorBidi" w:hAnsiTheme="majorBidi" w:cstheme="majorBidi"/>
          <w:b/>
          <w:bCs/>
          <w:sz w:val="24"/>
          <w:szCs w:val="24"/>
        </w:rPr>
      </w:pPr>
      <w:r>
        <w:rPr>
          <w:rFonts w:asciiTheme="majorBidi" w:hAnsiTheme="majorBidi" w:cstheme="majorBidi"/>
          <w:sz w:val="24"/>
          <w:szCs w:val="24"/>
        </w:rPr>
        <w:t xml:space="preserve">Moyennement actif lorsqu’il possède une inhibition comprise entre 25% et 50%, la souche fongique est dite limitée. Peu ou pas actif lorsqu’il possède une inhibition </w:t>
      </w:r>
      <w:r>
        <w:rPr>
          <w:rFonts w:asciiTheme="majorBidi" w:hAnsiTheme="majorBidi" w:cstheme="majorBidi"/>
          <w:sz w:val="24"/>
          <w:szCs w:val="24"/>
        </w:rPr>
        <w:lastRenderedPageBreak/>
        <w:t>comprise entre 0% et 25%, la souche fongique est dite peu sensible ou résistante</w:t>
      </w:r>
      <w:r w:rsidR="001472A6">
        <w:rPr>
          <w:rFonts w:asciiTheme="majorBidi" w:hAnsiTheme="majorBidi" w:cstheme="majorBidi"/>
          <w:sz w:val="24"/>
          <w:szCs w:val="24"/>
        </w:rPr>
        <w:t xml:space="preserve"> </w:t>
      </w:r>
      <w:r w:rsidR="001472A6" w:rsidRPr="001472A6">
        <w:rPr>
          <w:rFonts w:asciiTheme="majorBidi" w:hAnsiTheme="majorBidi" w:cstheme="majorBidi"/>
          <w:b/>
          <w:bCs/>
          <w:sz w:val="24"/>
          <w:szCs w:val="24"/>
        </w:rPr>
        <w:t>(Debib et al., 2014)</w:t>
      </w:r>
      <w:r w:rsidRPr="001472A6">
        <w:rPr>
          <w:rFonts w:asciiTheme="majorBidi" w:hAnsiTheme="majorBidi" w:cstheme="majorBidi"/>
          <w:b/>
          <w:bCs/>
          <w:sz w:val="24"/>
          <w:szCs w:val="24"/>
        </w:rPr>
        <w:t>.</w:t>
      </w:r>
    </w:p>
    <w:p w14:paraId="276270C5" w14:textId="77777777" w:rsidR="003E3FB4" w:rsidRDefault="00385ED0">
      <w:pPr>
        <w:spacing w:after="120" w:line="360" w:lineRule="auto"/>
        <w:rPr>
          <w:rFonts w:asciiTheme="majorBidi" w:hAnsiTheme="majorBidi" w:cstheme="majorBidi"/>
          <w:b/>
          <w:bCs/>
          <w:sz w:val="26"/>
          <w:szCs w:val="26"/>
        </w:rPr>
      </w:pPr>
      <w:r>
        <w:rPr>
          <w:rFonts w:asciiTheme="majorBidi" w:hAnsiTheme="majorBidi" w:cstheme="majorBidi"/>
          <w:b/>
          <w:bCs/>
          <w:sz w:val="26"/>
          <w:szCs w:val="26"/>
        </w:rPr>
        <w:t xml:space="preserve">II.6. Les analyses statistiques </w:t>
      </w:r>
    </w:p>
    <w:p w14:paraId="068D01EC" w14:textId="77777777" w:rsidR="003E3FB4" w:rsidRDefault="00385ED0">
      <w:pPr>
        <w:spacing w:after="0"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Les résultats présentés sous forme de tableaux, ont été réalisés par l’application Excel. Les données sont représentées par les valeurs moyennes (±SD). L’ensemble des mesures ont été réalisées en 3 répétitions. Les analyses de la variance sont faites sur des moyennes homogènes adoptées sur la base d’un coefficient de variance (C.V. &lt;15%). </w:t>
      </w:r>
    </w:p>
    <w:p w14:paraId="6A8F71BB" w14:textId="77777777" w:rsidR="003E3FB4" w:rsidRDefault="00385ED0">
      <w:pPr>
        <w:spacing w:after="0" w:line="360" w:lineRule="auto"/>
        <w:ind w:firstLine="567"/>
        <w:jc w:val="both"/>
        <w:rPr>
          <w:rFonts w:asciiTheme="majorBidi" w:hAnsiTheme="majorBidi" w:cstheme="majorBidi"/>
          <w:sz w:val="24"/>
          <w:szCs w:val="24"/>
        </w:rPr>
      </w:pPr>
      <w:r>
        <w:rPr>
          <w:rFonts w:asciiTheme="majorBidi" w:hAnsiTheme="majorBidi" w:cstheme="majorBidi"/>
          <w:sz w:val="24"/>
          <w:szCs w:val="24"/>
        </w:rPr>
        <w:t>Les contributions significatives retenues sont inférieur au seuil d’une probabilité de 5%, les calculs ont été déroulés par le logiciel XLSTAT vers. 9.</w:t>
      </w:r>
    </w:p>
    <w:p w14:paraId="1C0AF937" w14:textId="77777777" w:rsidR="003E3FB4" w:rsidRDefault="00385ED0">
      <w:pPr>
        <w:spacing w:after="0"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 Les différences pour les divers paramètres ont été analysées en utilisant une analyse de la variance (ANOVA) et un test de Tuckey HSD (Honest Significant Difference) pour la comparaison des moyennes.</w:t>
      </w:r>
    </w:p>
    <w:p w14:paraId="6C076422" w14:textId="77777777" w:rsidR="003E3FB4" w:rsidRDefault="003E3FB4">
      <w:pPr>
        <w:tabs>
          <w:tab w:val="center" w:pos="4568"/>
        </w:tabs>
        <w:spacing w:after="278" w:line="360" w:lineRule="auto"/>
        <w:ind w:left="1"/>
        <w:jc w:val="both"/>
        <w:rPr>
          <w:rFonts w:asciiTheme="majorBidi" w:hAnsiTheme="majorBidi" w:cstheme="majorBidi"/>
          <w:b/>
          <w:bCs/>
          <w:sz w:val="24"/>
          <w:szCs w:val="24"/>
        </w:rPr>
      </w:pPr>
    </w:p>
    <w:p w14:paraId="72994C2F" w14:textId="77777777" w:rsidR="003E3FB4" w:rsidRDefault="003E3FB4">
      <w:pPr>
        <w:tabs>
          <w:tab w:val="center" w:pos="4568"/>
        </w:tabs>
        <w:spacing w:after="278" w:line="360" w:lineRule="auto"/>
        <w:ind w:left="1"/>
        <w:jc w:val="center"/>
        <w:rPr>
          <w:rFonts w:asciiTheme="majorBidi" w:hAnsiTheme="majorBidi" w:cstheme="majorBidi"/>
          <w:b/>
          <w:bCs/>
          <w:sz w:val="24"/>
          <w:szCs w:val="24"/>
        </w:rPr>
      </w:pPr>
    </w:p>
    <w:p w14:paraId="7E0C8D33" w14:textId="77777777" w:rsidR="003E3FB4" w:rsidRDefault="003E3FB4">
      <w:pPr>
        <w:tabs>
          <w:tab w:val="center" w:pos="4568"/>
        </w:tabs>
        <w:spacing w:after="278" w:line="360" w:lineRule="auto"/>
        <w:ind w:left="1"/>
        <w:jc w:val="center"/>
        <w:rPr>
          <w:rFonts w:asciiTheme="majorBidi" w:hAnsiTheme="majorBidi" w:cstheme="majorBidi"/>
          <w:b/>
          <w:bCs/>
          <w:sz w:val="24"/>
          <w:szCs w:val="24"/>
        </w:rPr>
      </w:pPr>
    </w:p>
    <w:p w14:paraId="4291CD8C" w14:textId="77777777" w:rsidR="003E3FB4" w:rsidRDefault="003E3FB4">
      <w:pPr>
        <w:tabs>
          <w:tab w:val="center" w:pos="4568"/>
        </w:tabs>
        <w:spacing w:after="278" w:line="360" w:lineRule="auto"/>
        <w:ind w:left="1"/>
        <w:jc w:val="center"/>
        <w:rPr>
          <w:rFonts w:asciiTheme="majorBidi" w:hAnsiTheme="majorBidi" w:cstheme="majorBidi"/>
          <w:b/>
          <w:bCs/>
          <w:sz w:val="24"/>
          <w:szCs w:val="24"/>
        </w:rPr>
      </w:pPr>
    </w:p>
    <w:p w14:paraId="308F9EB5" w14:textId="77777777" w:rsidR="00405959" w:rsidRDefault="00405959">
      <w:pPr>
        <w:tabs>
          <w:tab w:val="center" w:pos="4568"/>
        </w:tabs>
        <w:spacing w:after="278" w:line="360" w:lineRule="auto"/>
        <w:ind w:left="1"/>
        <w:jc w:val="center"/>
        <w:rPr>
          <w:rFonts w:asciiTheme="majorBidi" w:hAnsiTheme="majorBidi" w:cstheme="majorBidi"/>
          <w:b/>
          <w:bCs/>
          <w:sz w:val="96"/>
          <w:szCs w:val="96"/>
        </w:rPr>
        <w:sectPr w:rsidR="00405959" w:rsidSect="00405959">
          <w:headerReference w:type="default" r:id="rId36"/>
          <w:footerReference w:type="default" r:id="rId37"/>
          <w:pgSz w:w="11906" w:h="16838"/>
          <w:pgMar w:top="1418" w:right="1416" w:bottom="1418" w:left="1418" w:header="709" w:footer="709" w:gutter="0"/>
          <w:pgNumType w:start="20"/>
          <w:cols w:space="708"/>
          <w:docGrid w:linePitch="360"/>
        </w:sectPr>
      </w:pPr>
    </w:p>
    <w:p w14:paraId="10B538AC" w14:textId="2853C3EA" w:rsidR="003E3FB4" w:rsidRDefault="003E3FB4">
      <w:pPr>
        <w:tabs>
          <w:tab w:val="center" w:pos="4568"/>
        </w:tabs>
        <w:spacing w:after="278" w:line="360" w:lineRule="auto"/>
        <w:ind w:left="1"/>
        <w:jc w:val="center"/>
        <w:rPr>
          <w:rFonts w:asciiTheme="majorBidi" w:hAnsiTheme="majorBidi" w:cstheme="majorBidi"/>
          <w:b/>
          <w:bCs/>
          <w:sz w:val="96"/>
          <w:szCs w:val="96"/>
        </w:rPr>
      </w:pPr>
    </w:p>
    <w:p w14:paraId="2A0FC1B2" w14:textId="77777777" w:rsidR="00222EAE" w:rsidRPr="004A3F2A" w:rsidRDefault="00222EAE">
      <w:pPr>
        <w:tabs>
          <w:tab w:val="center" w:pos="4568"/>
        </w:tabs>
        <w:spacing w:after="278" w:line="360" w:lineRule="auto"/>
        <w:ind w:left="1"/>
        <w:jc w:val="center"/>
        <w:rPr>
          <w:rFonts w:asciiTheme="majorBidi" w:hAnsiTheme="majorBidi" w:cstheme="majorBidi"/>
          <w:b/>
          <w:bCs/>
          <w:sz w:val="96"/>
          <w:szCs w:val="96"/>
        </w:rPr>
      </w:pPr>
    </w:p>
    <w:p w14:paraId="134BE42C" w14:textId="33E564E4" w:rsidR="003E3FB4" w:rsidRPr="004A3F2A" w:rsidRDefault="004A3F2A">
      <w:pPr>
        <w:tabs>
          <w:tab w:val="center" w:pos="4568"/>
        </w:tabs>
        <w:spacing w:after="278" w:line="360" w:lineRule="auto"/>
        <w:ind w:left="1"/>
        <w:jc w:val="center"/>
        <w:rPr>
          <w:rFonts w:asciiTheme="majorBidi" w:hAnsiTheme="majorBidi" w:cstheme="majorBidi"/>
          <w:b/>
          <w:bCs/>
          <w:sz w:val="96"/>
          <w:szCs w:val="96"/>
        </w:rPr>
      </w:pPr>
      <w:r w:rsidRPr="004A3F2A">
        <w:rPr>
          <w:rFonts w:asciiTheme="majorBidi" w:hAnsiTheme="majorBidi" w:cstheme="majorBidi"/>
          <w:b/>
          <w:bCs/>
          <w:sz w:val="96"/>
          <w:szCs w:val="96"/>
        </w:rPr>
        <w:t>Résultats et discussion</w:t>
      </w:r>
    </w:p>
    <w:p w14:paraId="617D1C9C" w14:textId="77777777" w:rsidR="003E3FB4" w:rsidRDefault="003E3FB4">
      <w:pPr>
        <w:tabs>
          <w:tab w:val="center" w:pos="4568"/>
        </w:tabs>
        <w:spacing w:after="278" w:line="360" w:lineRule="auto"/>
        <w:ind w:left="1"/>
        <w:jc w:val="center"/>
        <w:rPr>
          <w:rFonts w:asciiTheme="majorBidi" w:hAnsiTheme="majorBidi" w:cstheme="majorBidi"/>
          <w:b/>
          <w:bCs/>
          <w:sz w:val="24"/>
          <w:szCs w:val="24"/>
        </w:rPr>
      </w:pPr>
    </w:p>
    <w:p w14:paraId="17BF8875" w14:textId="77777777" w:rsidR="003E3FB4" w:rsidRDefault="003E3FB4">
      <w:pPr>
        <w:tabs>
          <w:tab w:val="center" w:pos="4568"/>
        </w:tabs>
        <w:spacing w:after="278" w:line="360" w:lineRule="auto"/>
        <w:ind w:left="1"/>
        <w:jc w:val="center"/>
        <w:rPr>
          <w:rFonts w:asciiTheme="majorBidi" w:hAnsiTheme="majorBidi" w:cstheme="majorBidi"/>
          <w:b/>
          <w:bCs/>
          <w:sz w:val="24"/>
          <w:szCs w:val="24"/>
        </w:rPr>
      </w:pPr>
    </w:p>
    <w:p w14:paraId="29E2A6AE" w14:textId="77777777" w:rsidR="003E3FB4" w:rsidRDefault="003E3FB4">
      <w:pPr>
        <w:tabs>
          <w:tab w:val="center" w:pos="4568"/>
        </w:tabs>
        <w:spacing w:after="278" w:line="360" w:lineRule="auto"/>
        <w:ind w:left="1"/>
        <w:jc w:val="center"/>
        <w:rPr>
          <w:rFonts w:asciiTheme="majorBidi" w:hAnsiTheme="majorBidi" w:cstheme="majorBidi"/>
          <w:b/>
          <w:bCs/>
          <w:sz w:val="24"/>
          <w:szCs w:val="24"/>
        </w:rPr>
      </w:pPr>
    </w:p>
    <w:p w14:paraId="77212132" w14:textId="77777777" w:rsidR="003E3FB4" w:rsidRDefault="003E3FB4">
      <w:pPr>
        <w:tabs>
          <w:tab w:val="center" w:pos="4568"/>
        </w:tabs>
        <w:spacing w:after="278" w:line="360" w:lineRule="auto"/>
        <w:ind w:left="1"/>
        <w:jc w:val="center"/>
        <w:rPr>
          <w:rFonts w:asciiTheme="majorBidi" w:hAnsiTheme="majorBidi" w:cstheme="majorBidi"/>
          <w:b/>
          <w:bCs/>
          <w:sz w:val="24"/>
          <w:szCs w:val="24"/>
        </w:rPr>
      </w:pPr>
    </w:p>
    <w:p w14:paraId="4770D114" w14:textId="77777777" w:rsidR="009347FE" w:rsidRDefault="009347FE">
      <w:pPr>
        <w:tabs>
          <w:tab w:val="center" w:pos="4568"/>
        </w:tabs>
        <w:spacing w:after="278" w:line="360" w:lineRule="auto"/>
        <w:ind w:left="1"/>
        <w:jc w:val="center"/>
        <w:rPr>
          <w:rFonts w:asciiTheme="majorBidi" w:hAnsiTheme="majorBidi" w:cstheme="majorBidi"/>
          <w:b/>
          <w:bCs/>
          <w:sz w:val="24"/>
          <w:szCs w:val="24"/>
        </w:rPr>
      </w:pPr>
    </w:p>
    <w:p w14:paraId="4D038003" w14:textId="77777777" w:rsidR="003E3FB4" w:rsidRDefault="003E3FB4">
      <w:pPr>
        <w:tabs>
          <w:tab w:val="center" w:pos="4568"/>
        </w:tabs>
        <w:spacing w:after="278" w:line="360" w:lineRule="auto"/>
        <w:ind w:left="1"/>
        <w:jc w:val="center"/>
        <w:rPr>
          <w:rFonts w:asciiTheme="majorBidi" w:hAnsiTheme="majorBidi" w:cstheme="majorBidi"/>
          <w:b/>
          <w:bCs/>
          <w:sz w:val="24"/>
          <w:szCs w:val="24"/>
        </w:rPr>
      </w:pPr>
    </w:p>
    <w:p w14:paraId="1A52CEE1" w14:textId="77777777" w:rsidR="003E3FB4" w:rsidRDefault="003E3FB4">
      <w:pPr>
        <w:tabs>
          <w:tab w:val="center" w:pos="4568"/>
        </w:tabs>
        <w:spacing w:after="278" w:line="360" w:lineRule="auto"/>
        <w:ind w:left="1"/>
        <w:jc w:val="center"/>
        <w:rPr>
          <w:rFonts w:asciiTheme="majorBidi" w:hAnsiTheme="majorBidi" w:cstheme="majorBidi"/>
          <w:b/>
          <w:bCs/>
          <w:sz w:val="24"/>
          <w:szCs w:val="24"/>
        </w:rPr>
      </w:pPr>
    </w:p>
    <w:p w14:paraId="75D754C4" w14:textId="77777777" w:rsidR="003E3FB4" w:rsidRDefault="003E3FB4">
      <w:pPr>
        <w:tabs>
          <w:tab w:val="center" w:pos="4568"/>
        </w:tabs>
        <w:spacing w:after="278" w:line="360" w:lineRule="auto"/>
        <w:ind w:left="1"/>
        <w:jc w:val="center"/>
        <w:rPr>
          <w:rFonts w:asciiTheme="majorBidi" w:hAnsiTheme="majorBidi" w:cstheme="majorBidi"/>
          <w:b/>
          <w:bCs/>
          <w:sz w:val="24"/>
          <w:szCs w:val="24"/>
        </w:rPr>
      </w:pPr>
    </w:p>
    <w:p w14:paraId="3E50090B" w14:textId="77777777" w:rsidR="00EA4575" w:rsidRDefault="00EA4575">
      <w:pPr>
        <w:spacing w:after="0"/>
        <w:jc w:val="center"/>
        <w:rPr>
          <w:rFonts w:asciiTheme="majorBidi" w:hAnsiTheme="majorBidi" w:cstheme="majorBidi"/>
          <w:b/>
          <w:bCs/>
          <w:sz w:val="28"/>
          <w:szCs w:val="28"/>
        </w:rPr>
        <w:sectPr w:rsidR="00EA4575" w:rsidSect="00405959">
          <w:headerReference w:type="default" r:id="rId38"/>
          <w:footerReference w:type="default" r:id="rId39"/>
          <w:pgSz w:w="11906" w:h="16838"/>
          <w:pgMar w:top="1418" w:right="1416" w:bottom="1418" w:left="1418" w:header="709" w:footer="709" w:gutter="0"/>
          <w:pgNumType w:start="20"/>
          <w:cols w:space="708"/>
          <w:docGrid w:linePitch="360"/>
        </w:sectPr>
      </w:pPr>
    </w:p>
    <w:p w14:paraId="20791A0D" w14:textId="26EF1D9E" w:rsidR="003E3FB4" w:rsidRDefault="004A3F2A">
      <w:pPr>
        <w:spacing w:after="0"/>
        <w:jc w:val="center"/>
        <w:rPr>
          <w:rFonts w:asciiTheme="majorBidi" w:hAnsiTheme="majorBidi" w:cstheme="majorBidi"/>
          <w:b/>
          <w:bCs/>
          <w:sz w:val="28"/>
          <w:szCs w:val="28"/>
        </w:rPr>
      </w:pPr>
      <w:r>
        <w:rPr>
          <w:rFonts w:asciiTheme="majorBidi" w:hAnsiTheme="majorBidi" w:cstheme="majorBidi"/>
          <w:b/>
          <w:bCs/>
          <w:sz w:val="28"/>
          <w:szCs w:val="28"/>
        </w:rPr>
        <w:lastRenderedPageBreak/>
        <w:t>Chapitre III. Résultats et discussion</w:t>
      </w:r>
    </w:p>
    <w:p w14:paraId="60E93857" w14:textId="77777777" w:rsidR="003E3FB4" w:rsidRDefault="003E3FB4">
      <w:pPr>
        <w:spacing w:after="0"/>
        <w:jc w:val="center"/>
        <w:rPr>
          <w:rFonts w:asciiTheme="majorBidi" w:hAnsiTheme="majorBidi" w:cstheme="majorBidi"/>
          <w:b/>
          <w:bCs/>
          <w:sz w:val="28"/>
          <w:szCs w:val="28"/>
        </w:rPr>
      </w:pPr>
    </w:p>
    <w:p w14:paraId="6E2356B7" w14:textId="77777777" w:rsidR="003E3FB4" w:rsidRDefault="00385ED0">
      <w:pPr>
        <w:spacing w:after="120"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Ce chapitre présente les résultats de toutes les expérimentations menées dans cette étude, les activités antibactérienne, antifongique, antioxydante, anti inflammatoire </w:t>
      </w:r>
      <w:r>
        <w:rPr>
          <w:rFonts w:asciiTheme="majorBidi" w:hAnsiTheme="majorBidi" w:cstheme="majorBidi"/>
          <w:i/>
          <w:iCs/>
          <w:sz w:val="24"/>
          <w:szCs w:val="24"/>
        </w:rPr>
        <w:t>in vitro</w:t>
      </w:r>
      <w:r>
        <w:rPr>
          <w:rFonts w:asciiTheme="majorBidi" w:hAnsiTheme="majorBidi" w:cstheme="majorBidi"/>
          <w:sz w:val="24"/>
          <w:szCs w:val="24"/>
        </w:rPr>
        <w:t xml:space="preserve"> de fenugrec, le criblage phytochimique et le dosage des polyphénols, flavonoïdes et les tanins, ainsi que leur discussion.</w:t>
      </w:r>
    </w:p>
    <w:p w14:paraId="5CC2A703" w14:textId="46D3861C" w:rsidR="003E3FB4" w:rsidRDefault="00385ED0">
      <w:pPr>
        <w:spacing w:after="120"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III.1. </w:t>
      </w:r>
      <w:r w:rsidR="00A901D3">
        <w:rPr>
          <w:rFonts w:asciiTheme="majorBidi" w:hAnsiTheme="majorBidi" w:cstheme="majorBidi"/>
          <w:b/>
          <w:bCs/>
          <w:sz w:val="24"/>
          <w:szCs w:val="24"/>
        </w:rPr>
        <w:t>Rendement des extraits</w:t>
      </w:r>
      <w:r>
        <w:rPr>
          <w:rFonts w:asciiTheme="majorBidi" w:hAnsiTheme="majorBidi" w:cstheme="majorBidi"/>
          <w:b/>
          <w:bCs/>
          <w:sz w:val="24"/>
          <w:szCs w:val="24"/>
        </w:rPr>
        <w:t xml:space="preserve"> des graines de fenugrec</w:t>
      </w:r>
    </w:p>
    <w:p w14:paraId="328DF3BC" w14:textId="77777777" w:rsidR="003E3FB4" w:rsidRDefault="00385ED0">
      <w:pPr>
        <w:spacing w:after="120" w:line="360" w:lineRule="auto"/>
        <w:ind w:firstLine="708"/>
        <w:jc w:val="both"/>
        <w:rPr>
          <w:rFonts w:asciiTheme="majorBidi" w:hAnsiTheme="majorBidi" w:cstheme="majorBidi"/>
          <w:sz w:val="24"/>
          <w:szCs w:val="24"/>
        </w:rPr>
      </w:pPr>
      <w:r>
        <w:rPr>
          <w:rFonts w:asciiTheme="majorBidi" w:hAnsiTheme="majorBidi" w:cstheme="majorBidi"/>
          <w:sz w:val="24"/>
          <w:szCs w:val="24"/>
        </w:rPr>
        <w:t xml:space="preserve">Le rendement en extrait aqueux et en extrait éthanolique de fenugrec est représenté dans la </w:t>
      </w:r>
      <w:r>
        <w:rPr>
          <w:rFonts w:asciiTheme="majorBidi" w:hAnsiTheme="majorBidi" w:cstheme="majorBidi"/>
          <w:b/>
          <w:bCs/>
          <w:sz w:val="24"/>
          <w:szCs w:val="24"/>
        </w:rPr>
        <w:t>figure III.1.</w:t>
      </w:r>
    </w:p>
    <w:p w14:paraId="0ACC3E61" w14:textId="77777777" w:rsidR="003E3FB4" w:rsidRDefault="00385ED0">
      <w:pPr>
        <w:spacing w:after="120" w:line="360" w:lineRule="auto"/>
        <w:ind w:firstLine="708"/>
        <w:jc w:val="both"/>
        <w:rPr>
          <w:rFonts w:asciiTheme="majorBidi" w:hAnsiTheme="majorBidi" w:cstheme="majorBidi"/>
          <w:sz w:val="24"/>
          <w:szCs w:val="24"/>
        </w:rPr>
      </w:pPr>
      <w:bookmarkStart w:id="32" w:name="_Hlk196070548"/>
      <w:r>
        <w:rPr>
          <w:rFonts w:asciiTheme="majorBidi" w:hAnsiTheme="majorBidi" w:cstheme="majorBidi"/>
          <w:sz w:val="24"/>
          <w:szCs w:val="24"/>
        </w:rPr>
        <w:t>Les résultats de l’analyse de variance présentent une différence très significative entre les deux types d’extrait de fenugrec (</w:t>
      </w:r>
      <w:r>
        <w:rPr>
          <w:rFonts w:asciiTheme="majorBidi" w:hAnsiTheme="majorBidi" w:cstheme="majorBidi"/>
          <w:i/>
          <w:iCs/>
          <w:sz w:val="24"/>
          <w:szCs w:val="24"/>
        </w:rPr>
        <w:t>p</w:t>
      </w:r>
      <w:r>
        <w:rPr>
          <w:rFonts w:asciiTheme="majorBidi" w:hAnsiTheme="majorBidi" w:cstheme="majorBidi"/>
          <w:sz w:val="24"/>
          <w:szCs w:val="24"/>
        </w:rPr>
        <w:t>=4.2*10</w:t>
      </w:r>
      <w:r>
        <w:rPr>
          <w:rFonts w:asciiTheme="majorBidi" w:hAnsiTheme="majorBidi" w:cstheme="majorBidi"/>
          <w:sz w:val="24"/>
          <w:szCs w:val="24"/>
          <w:vertAlign w:val="superscript"/>
        </w:rPr>
        <w:t xml:space="preserve">-4  </w:t>
      </w:r>
      <w:r>
        <w:rPr>
          <w:rFonts w:asciiTheme="majorBidi" w:hAnsiTheme="majorBidi" w:cstheme="majorBidi"/>
          <w:sz w:val="24"/>
          <w:szCs w:val="24"/>
        </w:rPr>
        <w:t xml:space="preserve"> </w:t>
      </w:r>
      <w:r>
        <w:rPr>
          <w:rFonts w:asciiTheme="majorBidi" w:hAnsiTheme="majorBidi" w:cstheme="majorBidi"/>
          <w:i/>
          <w:iCs/>
          <w:sz w:val="24"/>
          <w:szCs w:val="24"/>
        </w:rPr>
        <w:t>p</w:t>
      </w:r>
      <w:r>
        <w:rPr>
          <w:rFonts w:asciiTheme="majorBidi" w:hAnsiTheme="majorBidi" w:cstheme="majorBidi"/>
          <w:sz w:val="24"/>
          <w:szCs w:val="24"/>
        </w:rPr>
        <w:t xml:space="preserve">&lt;0.05).  </w:t>
      </w:r>
    </w:p>
    <w:bookmarkEnd w:id="32"/>
    <w:p w14:paraId="5881C2DD" w14:textId="77777777" w:rsidR="003E3FB4" w:rsidRDefault="003E3FB4">
      <w:pPr>
        <w:spacing w:after="120"/>
        <w:jc w:val="both"/>
        <w:rPr>
          <w:rFonts w:asciiTheme="majorBidi" w:hAnsiTheme="majorBidi" w:cstheme="majorBidi"/>
          <w:sz w:val="24"/>
          <w:szCs w:val="24"/>
        </w:rPr>
      </w:pPr>
    </w:p>
    <w:p w14:paraId="051D77E6" w14:textId="77777777" w:rsidR="003E3FB4" w:rsidRDefault="00385ED0">
      <w:pPr>
        <w:jc w:val="center"/>
        <w:rPr>
          <w:rFonts w:asciiTheme="majorBidi" w:hAnsiTheme="majorBidi" w:cstheme="majorBidi"/>
          <w:sz w:val="24"/>
          <w:szCs w:val="24"/>
        </w:rPr>
      </w:pPr>
      <w:r>
        <w:rPr>
          <w:noProof/>
          <w:sz w:val="24"/>
          <w:szCs w:val="24"/>
        </w:rPr>
        <w:drawing>
          <wp:inline distT="0" distB="0" distL="0" distR="0" wp14:anchorId="4CC635F6" wp14:editId="6B10EAF1">
            <wp:extent cx="4010660" cy="2337435"/>
            <wp:effectExtent l="0" t="0" r="8890" b="5715"/>
            <wp:docPr id="1938511552"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568D5D56" w14:textId="77777777" w:rsidR="003E3FB4" w:rsidRDefault="00385ED0">
      <w:pPr>
        <w:spacing w:after="100" w:afterAutospacing="1"/>
        <w:jc w:val="center"/>
        <w:rPr>
          <w:rFonts w:asciiTheme="majorBidi" w:hAnsiTheme="majorBidi" w:cstheme="majorBidi"/>
          <w:sz w:val="24"/>
          <w:szCs w:val="24"/>
        </w:rPr>
      </w:pPr>
      <w:r>
        <w:rPr>
          <w:rFonts w:asciiTheme="majorBidi" w:hAnsiTheme="majorBidi" w:cstheme="majorBidi"/>
          <w:b/>
          <w:bCs/>
          <w:sz w:val="24"/>
          <w:szCs w:val="24"/>
        </w:rPr>
        <w:t>Figure III.1.</w:t>
      </w:r>
      <w:r>
        <w:rPr>
          <w:rFonts w:asciiTheme="majorBidi" w:hAnsiTheme="majorBidi" w:cstheme="majorBidi"/>
          <w:sz w:val="24"/>
          <w:szCs w:val="24"/>
        </w:rPr>
        <w:t xml:space="preserve"> Le rendement de l’extrait aqueux et éthanolique de fenugrec.</w:t>
      </w:r>
    </w:p>
    <w:p w14:paraId="0842A195" w14:textId="77777777" w:rsidR="003E3FB4" w:rsidRDefault="00385ED0">
      <w:pPr>
        <w:spacing w:after="100" w:afterAutospacing="1" w:line="360" w:lineRule="auto"/>
        <w:ind w:firstLine="567"/>
        <w:jc w:val="both"/>
        <w:rPr>
          <w:rFonts w:asciiTheme="majorBidi" w:hAnsiTheme="majorBidi" w:cstheme="majorBidi"/>
          <w:sz w:val="24"/>
          <w:szCs w:val="24"/>
        </w:rPr>
      </w:pPr>
      <w:r>
        <w:rPr>
          <w:rFonts w:asciiTheme="majorBidi" w:hAnsiTheme="majorBidi" w:cstheme="majorBidi"/>
          <w:sz w:val="24"/>
          <w:szCs w:val="24"/>
        </w:rPr>
        <w:t>Il a été observé que le rendement de l’extrait aqueux des graines de fenugrec contient (3,88%) et l’extrait éthanolique des graines de la même plante (13,25%). Cependant, l’extrait éthanolique fenugrec présente un rendement supérieur par rapport au rendement de l’extrait aqueux de la même plante.</w:t>
      </w:r>
    </w:p>
    <w:p w14:paraId="7F3D95D6" w14:textId="2F9EBB7D" w:rsidR="003E3FB4" w:rsidRDefault="00385ED0">
      <w:pPr>
        <w:spacing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En comparant ces résultats avec ceux rapportés dans les études précédentes, on observe une variation notable.  </w:t>
      </w:r>
      <w:r>
        <w:rPr>
          <w:rFonts w:asciiTheme="majorBidi" w:hAnsiTheme="majorBidi" w:cstheme="majorBidi"/>
          <w:b/>
          <w:bCs/>
          <w:sz w:val="24"/>
          <w:szCs w:val="24"/>
        </w:rPr>
        <w:t xml:space="preserve">Chalghoumi et </w:t>
      </w:r>
      <w:r>
        <w:rPr>
          <w:rFonts w:asciiTheme="majorBidi" w:hAnsiTheme="majorBidi" w:cstheme="majorBidi"/>
          <w:b/>
          <w:bCs/>
          <w:i/>
          <w:iCs/>
          <w:sz w:val="24"/>
          <w:szCs w:val="24"/>
        </w:rPr>
        <w:t>al.,</w:t>
      </w:r>
      <w:r>
        <w:rPr>
          <w:rFonts w:asciiTheme="majorBidi" w:hAnsiTheme="majorBidi" w:cstheme="majorBidi"/>
          <w:b/>
          <w:bCs/>
          <w:sz w:val="24"/>
          <w:szCs w:val="24"/>
        </w:rPr>
        <w:t xml:space="preserve"> (2020)</w:t>
      </w:r>
      <w:r>
        <w:rPr>
          <w:rFonts w:asciiTheme="majorBidi" w:hAnsiTheme="majorBidi" w:cstheme="majorBidi"/>
          <w:sz w:val="24"/>
          <w:szCs w:val="24"/>
        </w:rPr>
        <w:t xml:space="preserve"> ont rapporté un rendement d’extraction aqueuse de 27,08 %, nettement supérieur à celui obtenu dans notre étude. De même</w:t>
      </w:r>
      <w:r>
        <w:rPr>
          <w:rFonts w:asciiTheme="majorBidi" w:hAnsiTheme="majorBidi" w:cstheme="majorBidi"/>
          <w:b/>
          <w:bCs/>
          <w:sz w:val="24"/>
          <w:szCs w:val="24"/>
        </w:rPr>
        <w:t xml:space="preserve">, Chalghoumi et </w:t>
      </w:r>
      <w:r>
        <w:rPr>
          <w:rFonts w:asciiTheme="majorBidi" w:hAnsiTheme="majorBidi" w:cstheme="majorBidi"/>
          <w:b/>
          <w:bCs/>
          <w:i/>
          <w:iCs/>
          <w:sz w:val="24"/>
          <w:szCs w:val="24"/>
        </w:rPr>
        <w:t>al.,</w:t>
      </w:r>
      <w:r>
        <w:rPr>
          <w:rFonts w:asciiTheme="majorBidi" w:hAnsiTheme="majorBidi" w:cstheme="majorBidi"/>
          <w:b/>
          <w:bCs/>
          <w:sz w:val="24"/>
          <w:szCs w:val="24"/>
        </w:rPr>
        <w:t xml:space="preserve"> (2016</w:t>
      </w:r>
      <w:r>
        <w:rPr>
          <w:rFonts w:asciiTheme="majorBidi" w:hAnsiTheme="majorBidi" w:cstheme="majorBidi"/>
          <w:sz w:val="24"/>
          <w:szCs w:val="24"/>
        </w:rPr>
        <w:t xml:space="preserve">) ont mentionné un rendement de 25,29 % pour l’extrait aqueux, ce </w:t>
      </w:r>
      <w:r>
        <w:rPr>
          <w:rFonts w:asciiTheme="majorBidi" w:hAnsiTheme="majorBidi" w:cstheme="majorBidi"/>
          <w:sz w:val="24"/>
          <w:szCs w:val="24"/>
        </w:rPr>
        <w:lastRenderedPageBreak/>
        <w:t>qui indique que l’eau peut parfois être plus efficace que l’éthanol, ce qui est contraire à nos observations.</w:t>
      </w:r>
    </w:p>
    <w:p w14:paraId="78AA223B" w14:textId="77777777" w:rsidR="003E3FB4" w:rsidRDefault="00385ED0">
      <w:pPr>
        <w:spacing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 En outre, </w:t>
      </w:r>
      <w:r>
        <w:rPr>
          <w:rFonts w:asciiTheme="majorBidi" w:hAnsiTheme="majorBidi" w:cstheme="majorBidi"/>
          <w:b/>
          <w:bCs/>
          <w:sz w:val="24"/>
          <w:szCs w:val="24"/>
        </w:rPr>
        <w:t>Benziane Mohammed et Issam, (2020)</w:t>
      </w:r>
      <w:r>
        <w:rPr>
          <w:rFonts w:asciiTheme="majorBidi" w:hAnsiTheme="majorBidi" w:cstheme="majorBidi"/>
          <w:sz w:val="24"/>
          <w:szCs w:val="24"/>
        </w:rPr>
        <w:t xml:space="preserve"> ont signalé un rendement de 45 % pour l’extrait aqueux de graines de fenugrec algériennes préparé par macération, tandis que </w:t>
      </w:r>
      <w:r>
        <w:rPr>
          <w:rFonts w:asciiTheme="majorBidi" w:hAnsiTheme="majorBidi" w:cstheme="majorBidi"/>
          <w:b/>
          <w:bCs/>
          <w:sz w:val="24"/>
          <w:szCs w:val="24"/>
        </w:rPr>
        <w:t>Meddour Bouchra, (2022)</w:t>
      </w:r>
      <w:r>
        <w:rPr>
          <w:rFonts w:asciiTheme="majorBidi" w:hAnsiTheme="majorBidi" w:cstheme="majorBidi"/>
          <w:sz w:val="24"/>
          <w:szCs w:val="24"/>
        </w:rPr>
        <w:t xml:space="preserve"> a rapporté des rendements de 19,56 % et 14,20 % respectivement pour les extraits aqueux et éthanolique, des valeurs supérieures à celles obtenues dans notre étude.</w:t>
      </w:r>
    </w:p>
    <w:p w14:paraId="31F03C6D" w14:textId="77777777" w:rsidR="003E3FB4" w:rsidRDefault="00385ED0">
      <w:pPr>
        <w:spacing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Concernant l’extrait éthanolique de fenugrec, les valeurs rapportées dans la littérature se révèlent comparables ou légèrement inférieures à celle obtenue dans notre étude. En effet, des rendements de 9,71 %, 10,18 %, et environ 10 % ont été respectivement rapportés par </w:t>
      </w:r>
      <w:r>
        <w:rPr>
          <w:rFonts w:asciiTheme="majorBidi" w:hAnsiTheme="majorBidi" w:cstheme="majorBidi"/>
          <w:b/>
          <w:bCs/>
          <w:sz w:val="24"/>
          <w:szCs w:val="24"/>
        </w:rPr>
        <w:t>Divikar, (2024)</w:t>
      </w:r>
      <w:r>
        <w:rPr>
          <w:rFonts w:asciiTheme="majorBidi" w:hAnsiTheme="majorBidi" w:cstheme="majorBidi"/>
          <w:sz w:val="24"/>
          <w:szCs w:val="24"/>
        </w:rPr>
        <w:t> ;</w:t>
      </w:r>
      <w:r>
        <w:rPr>
          <w:rFonts w:asciiTheme="majorBidi" w:hAnsiTheme="majorBidi" w:cstheme="majorBidi"/>
          <w:b/>
          <w:bCs/>
          <w:sz w:val="24"/>
          <w:szCs w:val="24"/>
        </w:rPr>
        <w:t xml:space="preserve"> Song et </w:t>
      </w:r>
      <w:r>
        <w:rPr>
          <w:rFonts w:asciiTheme="majorBidi" w:hAnsiTheme="majorBidi" w:cstheme="majorBidi"/>
          <w:b/>
          <w:bCs/>
          <w:i/>
          <w:iCs/>
          <w:sz w:val="24"/>
          <w:szCs w:val="24"/>
        </w:rPr>
        <w:t>al.</w:t>
      </w:r>
      <w:r>
        <w:rPr>
          <w:rFonts w:asciiTheme="majorBidi" w:hAnsiTheme="majorBidi" w:cstheme="majorBidi"/>
          <w:b/>
          <w:bCs/>
          <w:sz w:val="24"/>
          <w:szCs w:val="24"/>
        </w:rPr>
        <w:t>, (2024)</w:t>
      </w:r>
      <w:r>
        <w:rPr>
          <w:rFonts w:asciiTheme="majorBidi" w:hAnsiTheme="majorBidi" w:cstheme="majorBidi"/>
          <w:sz w:val="24"/>
          <w:szCs w:val="24"/>
        </w:rPr>
        <w:t xml:space="preserve">, et </w:t>
      </w:r>
      <w:r>
        <w:rPr>
          <w:rFonts w:asciiTheme="majorBidi" w:hAnsiTheme="majorBidi" w:cstheme="majorBidi"/>
          <w:b/>
          <w:bCs/>
          <w:sz w:val="24"/>
          <w:szCs w:val="24"/>
        </w:rPr>
        <w:t xml:space="preserve">Lohvina et </w:t>
      </w:r>
      <w:r>
        <w:rPr>
          <w:rFonts w:asciiTheme="majorBidi" w:hAnsiTheme="majorBidi" w:cstheme="majorBidi"/>
          <w:b/>
          <w:bCs/>
          <w:i/>
          <w:iCs/>
          <w:sz w:val="24"/>
          <w:szCs w:val="24"/>
        </w:rPr>
        <w:t>al</w:t>
      </w:r>
      <w:r>
        <w:rPr>
          <w:rFonts w:asciiTheme="majorBidi" w:hAnsiTheme="majorBidi" w:cstheme="majorBidi"/>
          <w:b/>
          <w:bCs/>
          <w:sz w:val="24"/>
          <w:szCs w:val="24"/>
        </w:rPr>
        <w:t>., (2022)</w:t>
      </w:r>
      <w:r>
        <w:rPr>
          <w:rFonts w:asciiTheme="majorBidi" w:hAnsiTheme="majorBidi" w:cstheme="majorBidi"/>
          <w:sz w:val="24"/>
          <w:szCs w:val="24"/>
        </w:rPr>
        <w:t>. Ainsi, le rendement éthanolique obtenu dans notre étude (13,25 %) se situe dans la tranche supérieure des valeurs précédemment rapportées.</w:t>
      </w:r>
    </w:p>
    <w:p w14:paraId="684AF956" w14:textId="77777777" w:rsidR="003E3FB4" w:rsidRDefault="00385ED0">
      <w:pPr>
        <w:spacing w:line="360" w:lineRule="auto"/>
        <w:ind w:firstLine="567"/>
        <w:jc w:val="both"/>
        <w:rPr>
          <w:rFonts w:asciiTheme="majorBidi" w:hAnsiTheme="majorBidi" w:cstheme="majorBidi"/>
          <w:sz w:val="24"/>
          <w:szCs w:val="24"/>
        </w:rPr>
      </w:pPr>
      <w:r>
        <w:rPr>
          <w:rFonts w:asciiTheme="majorBidi" w:hAnsiTheme="majorBidi" w:cstheme="majorBidi"/>
          <w:sz w:val="24"/>
          <w:szCs w:val="24"/>
        </w:rPr>
        <w:t>Ces divergences entre les résultats peuvent être attribuées à divers facteurs expérimentaux, notamment le rapport masse de matière solide/volume de solvant, la durée et la température d’extraction, ainsi que la méthode employée (macération, extraction assistée par ultrasons, Soxhlet, etc.). Ces paramètres influencent considérablement l’efficacité de l’extraction, et par conséquent, le rendement final obtenu.</w:t>
      </w:r>
    </w:p>
    <w:p w14:paraId="1F4C4CFC" w14:textId="77777777" w:rsidR="003E3FB4" w:rsidRDefault="00385ED0">
      <w:pPr>
        <w:spacing w:after="0" w:line="360" w:lineRule="auto"/>
        <w:jc w:val="both"/>
        <w:rPr>
          <w:rFonts w:asciiTheme="majorBidi" w:hAnsiTheme="majorBidi" w:cstheme="majorBidi"/>
          <w:sz w:val="24"/>
          <w:szCs w:val="24"/>
        </w:rPr>
      </w:pPr>
      <w:r>
        <w:rPr>
          <w:rFonts w:asciiTheme="majorBidi" w:hAnsiTheme="majorBidi" w:cstheme="majorBidi"/>
          <w:b/>
          <w:bCs/>
          <w:sz w:val="24"/>
          <w:szCs w:val="24"/>
        </w:rPr>
        <w:t>III.2. Etude phytochimique</w:t>
      </w:r>
    </w:p>
    <w:p w14:paraId="4D3212DF" w14:textId="77777777" w:rsidR="003E3FB4" w:rsidRDefault="00385ED0">
      <w:pPr>
        <w:spacing w:after="0"/>
        <w:jc w:val="both"/>
        <w:rPr>
          <w:rFonts w:asciiTheme="majorBidi" w:hAnsiTheme="majorBidi" w:cstheme="majorBidi"/>
          <w:b/>
          <w:bCs/>
          <w:sz w:val="24"/>
          <w:szCs w:val="24"/>
        </w:rPr>
      </w:pPr>
      <w:r>
        <w:rPr>
          <w:rFonts w:asciiTheme="majorBidi" w:hAnsiTheme="majorBidi" w:cstheme="majorBidi"/>
          <w:b/>
          <w:bCs/>
          <w:sz w:val="24"/>
          <w:szCs w:val="24"/>
        </w:rPr>
        <w:t xml:space="preserve">III.2.1. Screening phytochimique </w:t>
      </w:r>
    </w:p>
    <w:p w14:paraId="150ADF1D" w14:textId="77777777" w:rsidR="003E3FB4" w:rsidRDefault="003E3FB4">
      <w:pPr>
        <w:spacing w:after="0"/>
        <w:ind w:firstLine="567"/>
        <w:jc w:val="both"/>
        <w:rPr>
          <w:rFonts w:asciiTheme="majorBidi" w:hAnsiTheme="majorBidi" w:cstheme="majorBidi"/>
          <w:b/>
          <w:bCs/>
          <w:sz w:val="24"/>
          <w:szCs w:val="24"/>
        </w:rPr>
      </w:pPr>
    </w:p>
    <w:p w14:paraId="5D1E16CD" w14:textId="77777777" w:rsidR="003E3FB4" w:rsidRDefault="00385ED0">
      <w:pPr>
        <w:spacing w:line="360" w:lineRule="auto"/>
        <w:ind w:firstLine="567"/>
        <w:jc w:val="both"/>
        <w:rPr>
          <w:rFonts w:asciiTheme="majorBidi" w:hAnsiTheme="majorBidi" w:cstheme="majorBidi"/>
          <w:b/>
          <w:bCs/>
          <w:sz w:val="24"/>
          <w:szCs w:val="24"/>
        </w:rPr>
      </w:pPr>
      <w:r>
        <w:rPr>
          <w:rFonts w:asciiTheme="majorBidi" w:hAnsiTheme="majorBidi" w:cstheme="majorBidi"/>
          <w:sz w:val="24"/>
          <w:szCs w:val="24"/>
        </w:rPr>
        <w:t xml:space="preserve">Le criblage phytochimique permet d’identifier certains constituants des graines de </w:t>
      </w:r>
      <w:r>
        <w:rPr>
          <w:rFonts w:asciiTheme="majorBidi" w:hAnsiTheme="majorBidi" w:cstheme="majorBidi"/>
          <w:i/>
          <w:iCs/>
          <w:sz w:val="24"/>
          <w:szCs w:val="24"/>
        </w:rPr>
        <w:t>Trigonella foenum-graecum</w:t>
      </w:r>
      <w:r>
        <w:rPr>
          <w:rFonts w:asciiTheme="majorBidi" w:hAnsiTheme="majorBidi" w:cstheme="majorBidi"/>
          <w:sz w:val="24"/>
          <w:szCs w:val="24"/>
        </w:rPr>
        <w:t xml:space="preserve"> L. cette analyse repose sur des tests utilisant des réactions phytochimique, ces réactions sont basées sur des changements de couleur révélant la présence ou l’absence de ces composés. Les résultats du criblage phytochimique de l’extrait aqueux et éthanolique des graines de </w:t>
      </w:r>
      <w:r>
        <w:rPr>
          <w:rFonts w:asciiTheme="majorBidi" w:hAnsiTheme="majorBidi" w:cstheme="majorBidi"/>
          <w:i/>
          <w:iCs/>
          <w:sz w:val="24"/>
          <w:szCs w:val="24"/>
        </w:rPr>
        <w:t>Trigonella foenum-graecum</w:t>
      </w:r>
      <w:r>
        <w:rPr>
          <w:rFonts w:asciiTheme="majorBidi" w:hAnsiTheme="majorBidi" w:cstheme="majorBidi"/>
          <w:sz w:val="24"/>
          <w:szCs w:val="24"/>
        </w:rPr>
        <w:t xml:space="preserve"> L sont présentés dans le </w:t>
      </w:r>
      <w:r>
        <w:rPr>
          <w:rFonts w:asciiTheme="majorBidi" w:hAnsiTheme="majorBidi" w:cstheme="majorBidi"/>
          <w:b/>
          <w:bCs/>
          <w:sz w:val="24"/>
          <w:szCs w:val="24"/>
        </w:rPr>
        <w:t>tableau III.1</w:t>
      </w:r>
    </w:p>
    <w:p w14:paraId="665DAA4F" w14:textId="77777777" w:rsidR="003E3FB4" w:rsidRDefault="00385ED0">
      <w:pPr>
        <w:spacing w:line="360" w:lineRule="auto"/>
        <w:jc w:val="both"/>
        <w:rPr>
          <w:rFonts w:asciiTheme="majorBidi" w:hAnsiTheme="majorBidi" w:cstheme="majorBidi"/>
          <w:sz w:val="24"/>
          <w:szCs w:val="24"/>
        </w:rPr>
      </w:pPr>
      <w:r>
        <w:rPr>
          <w:rFonts w:asciiTheme="majorBidi" w:hAnsiTheme="majorBidi" w:cstheme="majorBidi"/>
          <w:sz w:val="24"/>
          <w:szCs w:val="24"/>
        </w:rPr>
        <w:t>Les résultats indiquent que les composés présents dans l’extrait aqueux et l’extrait éthanolique des graines de fenugrec sont les Alcaloïdes, les tanins catéchiques et les quinones libres, suivi les flavonoïdes et les saponines (stéroïdes).</w:t>
      </w:r>
    </w:p>
    <w:p w14:paraId="325B91DC" w14:textId="77777777" w:rsidR="003E3FB4" w:rsidRDefault="003E3FB4">
      <w:pPr>
        <w:spacing w:line="360" w:lineRule="auto"/>
        <w:jc w:val="both"/>
        <w:rPr>
          <w:rFonts w:asciiTheme="majorBidi" w:hAnsiTheme="majorBidi" w:cstheme="majorBidi"/>
          <w:sz w:val="24"/>
          <w:szCs w:val="24"/>
        </w:rPr>
      </w:pPr>
    </w:p>
    <w:p w14:paraId="7DF773BE" w14:textId="77777777" w:rsidR="003E3FB4" w:rsidRDefault="003E3FB4">
      <w:pPr>
        <w:spacing w:line="360" w:lineRule="auto"/>
        <w:jc w:val="both"/>
        <w:rPr>
          <w:rFonts w:asciiTheme="majorBidi" w:hAnsiTheme="majorBidi" w:cstheme="majorBidi"/>
          <w:sz w:val="24"/>
          <w:szCs w:val="24"/>
        </w:rPr>
      </w:pPr>
    </w:p>
    <w:p w14:paraId="19204386" w14:textId="77777777" w:rsidR="003E3FB4" w:rsidRDefault="00385ED0">
      <w:pPr>
        <w:spacing w:line="360" w:lineRule="auto"/>
        <w:rPr>
          <w:rFonts w:asciiTheme="majorBidi" w:hAnsiTheme="majorBidi" w:cstheme="majorBidi"/>
          <w:sz w:val="24"/>
          <w:szCs w:val="24"/>
        </w:rPr>
      </w:pPr>
      <w:r>
        <w:rPr>
          <w:rFonts w:asciiTheme="majorBidi" w:hAnsiTheme="majorBidi" w:cstheme="majorBidi"/>
          <w:b/>
          <w:bCs/>
          <w:sz w:val="24"/>
          <w:szCs w:val="24"/>
        </w:rPr>
        <w:lastRenderedPageBreak/>
        <w:t xml:space="preserve">Tableau III.1. </w:t>
      </w:r>
      <w:r>
        <w:rPr>
          <w:rFonts w:asciiTheme="majorBidi" w:hAnsiTheme="majorBidi" w:cstheme="majorBidi"/>
          <w:sz w:val="24"/>
          <w:szCs w:val="24"/>
        </w:rPr>
        <w:t xml:space="preserve">Criblage phytochimique des graines de </w:t>
      </w:r>
      <w:r>
        <w:rPr>
          <w:rFonts w:asciiTheme="majorBidi" w:hAnsiTheme="majorBidi" w:cstheme="majorBidi"/>
          <w:i/>
          <w:iCs/>
          <w:sz w:val="24"/>
          <w:szCs w:val="24"/>
        </w:rPr>
        <w:t>Trigonella foenum-graecum</w:t>
      </w:r>
      <w:r>
        <w:rPr>
          <w:rFonts w:asciiTheme="majorBidi" w:hAnsiTheme="majorBidi" w:cstheme="majorBidi"/>
          <w:sz w:val="24"/>
          <w:szCs w:val="24"/>
        </w:rPr>
        <w:t xml:space="preserve"> L.</w:t>
      </w:r>
    </w:p>
    <w:tbl>
      <w:tblPr>
        <w:tblStyle w:val="TableauGrille1Clair1"/>
        <w:tblW w:w="0" w:type="auto"/>
        <w:tblLook w:val="04A0" w:firstRow="1" w:lastRow="0" w:firstColumn="1" w:lastColumn="0" w:noHBand="0" w:noVBand="1"/>
      </w:tblPr>
      <w:tblGrid>
        <w:gridCol w:w="1443"/>
        <w:gridCol w:w="1417"/>
        <w:gridCol w:w="1563"/>
        <w:gridCol w:w="1565"/>
        <w:gridCol w:w="1738"/>
        <w:gridCol w:w="1336"/>
      </w:tblGrid>
      <w:tr w:rsidR="003E3FB4" w14:paraId="262DD0F0" w14:textId="77777777" w:rsidTr="003E3FB4">
        <w:trPr>
          <w:cnfStyle w:val="100000000000" w:firstRow="1" w:lastRow="0" w:firstColumn="0" w:lastColumn="0" w:oddVBand="0" w:evenVBand="0" w:oddHBand="0" w:evenHBand="0" w:firstRowFirstColumn="0" w:firstRowLastColumn="0" w:lastRowFirstColumn="0" w:lastRowLastColumn="0"/>
          <w:trHeight w:val="829"/>
        </w:trPr>
        <w:tc>
          <w:tcPr>
            <w:cnfStyle w:val="001000000000" w:firstRow="0" w:lastRow="0" w:firstColumn="1" w:lastColumn="0" w:oddVBand="0" w:evenVBand="0" w:oddHBand="0" w:evenHBand="0" w:firstRowFirstColumn="0" w:firstRowLastColumn="0" w:lastRowFirstColumn="0" w:lastRowLastColumn="0"/>
            <w:tcW w:w="1443" w:type="dxa"/>
          </w:tcPr>
          <w:p w14:paraId="05CB3D21" w14:textId="77777777" w:rsidR="003E3FB4" w:rsidRDefault="00385ED0">
            <w:pPr>
              <w:spacing w:after="0" w:line="240" w:lineRule="auto"/>
              <w:jc w:val="center"/>
              <w:rPr>
                <w:rFonts w:asciiTheme="majorBidi" w:hAnsiTheme="majorBidi" w:cstheme="majorBidi"/>
                <w:b w:val="0"/>
                <w:bCs w:val="0"/>
                <w:kern w:val="0"/>
                <w:sz w:val="24"/>
                <w:szCs w:val="24"/>
                <w:lang w:eastAsia="fr-FR"/>
                <w14:ligatures w14:val="none"/>
              </w:rPr>
            </w:pPr>
            <w:r>
              <w:rPr>
                <w:rFonts w:asciiTheme="majorBidi" w:hAnsiTheme="majorBidi" w:cstheme="majorBidi"/>
                <w:kern w:val="0"/>
                <w:sz w:val="24"/>
                <w:szCs w:val="24"/>
                <w:lang w:eastAsia="fr-FR"/>
                <w14:ligatures w14:val="none"/>
              </w:rPr>
              <w:t>Composées chimiques</w:t>
            </w:r>
          </w:p>
        </w:tc>
        <w:tc>
          <w:tcPr>
            <w:tcW w:w="989" w:type="dxa"/>
          </w:tcPr>
          <w:p w14:paraId="60F4DF79" w14:textId="77777777" w:rsidR="003E3FB4" w:rsidRDefault="00385ED0">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kern w:val="0"/>
                <w:sz w:val="24"/>
                <w:szCs w:val="24"/>
                <w:lang w:eastAsia="fr-FR"/>
                <w14:ligatures w14:val="none"/>
              </w:rPr>
            </w:pPr>
            <w:r>
              <w:rPr>
                <w:rFonts w:asciiTheme="majorBidi" w:hAnsiTheme="majorBidi" w:cstheme="majorBidi"/>
                <w:kern w:val="0"/>
                <w:sz w:val="24"/>
                <w:szCs w:val="24"/>
                <w:lang w:eastAsia="fr-FR"/>
                <w14:ligatures w14:val="none"/>
              </w:rPr>
              <w:t>Les extraits</w:t>
            </w:r>
          </w:p>
        </w:tc>
        <w:tc>
          <w:tcPr>
            <w:tcW w:w="1563" w:type="dxa"/>
          </w:tcPr>
          <w:p w14:paraId="2D2DFF8C" w14:textId="77777777" w:rsidR="003E3FB4" w:rsidRDefault="00385ED0">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kern w:val="0"/>
                <w:sz w:val="24"/>
                <w:szCs w:val="24"/>
                <w:lang w:eastAsia="fr-FR"/>
                <w14:ligatures w14:val="none"/>
              </w:rPr>
            </w:pPr>
            <w:r>
              <w:rPr>
                <w:rFonts w:asciiTheme="majorBidi" w:hAnsiTheme="majorBidi" w:cstheme="majorBidi"/>
                <w:kern w:val="0"/>
                <w:sz w:val="24"/>
                <w:szCs w:val="24"/>
                <w:lang w:eastAsia="fr-FR"/>
                <w14:ligatures w14:val="none"/>
              </w:rPr>
              <w:t>Réactifs</w:t>
            </w:r>
          </w:p>
        </w:tc>
        <w:tc>
          <w:tcPr>
            <w:tcW w:w="1796" w:type="dxa"/>
          </w:tcPr>
          <w:p w14:paraId="58B1687D" w14:textId="77777777" w:rsidR="003E3FB4" w:rsidRDefault="00385ED0">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kern w:val="0"/>
                <w:sz w:val="24"/>
                <w:szCs w:val="24"/>
                <w:lang w:eastAsia="fr-FR"/>
                <w14:ligatures w14:val="none"/>
              </w:rPr>
            </w:pPr>
            <w:r>
              <w:rPr>
                <w:rFonts w:asciiTheme="majorBidi" w:hAnsiTheme="majorBidi" w:cstheme="majorBidi"/>
                <w:kern w:val="0"/>
                <w:sz w:val="24"/>
                <w:szCs w:val="24"/>
                <w:lang w:eastAsia="fr-FR"/>
                <w14:ligatures w14:val="none"/>
              </w:rPr>
              <w:t>Couleurs</w:t>
            </w:r>
          </w:p>
        </w:tc>
        <w:tc>
          <w:tcPr>
            <w:tcW w:w="2028" w:type="dxa"/>
          </w:tcPr>
          <w:p w14:paraId="290259F4" w14:textId="77777777" w:rsidR="003E3FB4" w:rsidRDefault="003E3FB4">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kern w:val="0"/>
                <w:sz w:val="24"/>
                <w:szCs w:val="24"/>
                <w:lang w:eastAsia="fr-FR"/>
                <w14:ligatures w14:val="none"/>
              </w:rPr>
            </w:pPr>
          </w:p>
        </w:tc>
        <w:tc>
          <w:tcPr>
            <w:tcW w:w="1243" w:type="dxa"/>
          </w:tcPr>
          <w:p w14:paraId="5A41B79C" w14:textId="77777777" w:rsidR="003E3FB4" w:rsidRDefault="00385ED0">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kern w:val="0"/>
                <w:sz w:val="24"/>
                <w:szCs w:val="24"/>
                <w:lang w:eastAsia="fr-FR"/>
                <w14:ligatures w14:val="none"/>
              </w:rPr>
            </w:pPr>
            <w:r>
              <w:rPr>
                <w:rFonts w:asciiTheme="majorBidi" w:hAnsiTheme="majorBidi" w:cstheme="majorBidi"/>
                <w:kern w:val="0"/>
                <w:sz w:val="24"/>
                <w:szCs w:val="24"/>
                <w:lang w:eastAsia="fr-FR"/>
                <w14:ligatures w14:val="none"/>
              </w:rPr>
              <w:t>Résultats</w:t>
            </w:r>
          </w:p>
        </w:tc>
      </w:tr>
      <w:tr w:rsidR="003E3FB4" w14:paraId="5D0335DA" w14:textId="77777777" w:rsidTr="003E3FB4">
        <w:trPr>
          <w:trHeight w:val="1243"/>
        </w:trPr>
        <w:tc>
          <w:tcPr>
            <w:cnfStyle w:val="001000000000" w:firstRow="0" w:lastRow="0" w:firstColumn="1" w:lastColumn="0" w:oddVBand="0" w:evenVBand="0" w:oddHBand="0" w:evenHBand="0" w:firstRowFirstColumn="0" w:firstRowLastColumn="0" w:lastRowFirstColumn="0" w:lastRowLastColumn="0"/>
            <w:tcW w:w="1443" w:type="dxa"/>
            <w:vMerge w:val="restart"/>
          </w:tcPr>
          <w:p w14:paraId="46B544EE" w14:textId="77777777" w:rsidR="003E3FB4" w:rsidRDefault="003E3FB4">
            <w:pPr>
              <w:spacing w:after="0" w:line="240" w:lineRule="auto"/>
              <w:rPr>
                <w:rFonts w:asciiTheme="majorBidi" w:hAnsiTheme="majorBidi" w:cstheme="majorBidi"/>
                <w:kern w:val="0"/>
                <w:sz w:val="24"/>
                <w:szCs w:val="24"/>
                <w:lang w:eastAsia="fr-FR"/>
                <w14:ligatures w14:val="none"/>
              </w:rPr>
            </w:pPr>
          </w:p>
          <w:p w14:paraId="33222BB7" w14:textId="77777777" w:rsidR="003E3FB4" w:rsidRDefault="003E3FB4">
            <w:pPr>
              <w:spacing w:after="0" w:line="240" w:lineRule="auto"/>
              <w:jc w:val="center"/>
              <w:rPr>
                <w:rFonts w:asciiTheme="majorBidi" w:hAnsiTheme="majorBidi" w:cstheme="majorBidi"/>
                <w:kern w:val="0"/>
                <w:sz w:val="24"/>
                <w:szCs w:val="24"/>
                <w:lang w:eastAsia="fr-FR"/>
                <w14:ligatures w14:val="none"/>
              </w:rPr>
            </w:pPr>
          </w:p>
          <w:p w14:paraId="40F3C95F" w14:textId="77777777" w:rsidR="003E3FB4" w:rsidRDefault="00385ED0">
            <w:pPr>
              <w:spacing w:after="0" w:line="240" w:lineRule="auto"/>
              <w:jc w:val="center"/>
              <w:rPr>
                <w:rFonts w:asciiTheme="majorBidi" w:hAnsiTheme="majorBidi" w:cstheme="majorBidi"/>
                <w:b w:val="0"/>
                <w:bCs w:val="0"/>
                <w:kern w:val="0"/>
                <w:sz w:val="24"/>
                <w:szCs w:val="24"/>
                <w:lang w:eastAsia="fr-FR"/>
                <w14:ligatures w14:val="none"/>
              </w:rPr>
            </w:pPr>
            <w:r>
              <w:rPr>
                <w:rFonts w:asciiTheme="majorBidi" w:hAnsiTheme="majorBidi" w:cstheme="majorBidi"/>
                <w:kern w:val="0"/>
                <w:sz w:val="24"/>
                <w:szCs w:val="24"/>
                <w:lang w:eastAsia="fr-FR"/>
                <w14:ligatures w14:val="none"/>
              </w:rPr>
              <w:t>Flavonoïdes</w:t>
            </w:r>
          </w:p>
        </w:tc>
        <w:tc>
          <w:tcPr>
            <w:tcW w:w="989" w:type="dxa"/>
          </w:tcPr>
          <w:p w14:paraId="63811CB3"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kern w:val="0"/>
                <w:sz w:val="24"/>
                <w:szCs w:val="24"/>
                <w:lang w:eastAsia="fr-FR"/>
                <w14:ligatures w14:val="none"/>
              </w:rPr>
            </w:pPr>
          </w:p>
          <w:p w14:paraId="6B36DB09" w14:textId="77777777" w:rsidR="003E3FB4" w:rsidRDefault="00385ED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kern w:val="0"/>
                <w:sz w:val="24"/>
                <w:szCs w:val="24"/>
                <w:lang w:eastAsia="fr-FR"/>
                <w14:ligatures w14:val="none"/>
              </w:rPr>
            </w:pPr>
            <w:r>
              <w:rPr>
                <w:rFonts w:asciiTheme="majorBidi" w:hAnsiTheme="majorBidi" w:cstheme="majorBidi"/>
                <w:b/>
                <w:bCs/>
                <w:kern w:val="0"/>
                <w:sz w:val="24"/>
                <w:szCs w:val="24"/>
                <w:lang w:eastAsia="fr-FR"/>
                <w14:ligatures w14:val="none"/>
              </w:rPr>
              <w:t>Extrait aqueux</w:t>
            </w:r>
          </w:p>
        </w:tc>
        <w:tc>
          <w:tcPr>
            <w:tcW w:w="1563" w:type="dxa"/>
            <w:vMerge w:val="restart"/>
          </w:tcPr>
          <w:p w14:paraId="327DEA92"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p w14:paraId="239CB816"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p w14:paraId="4E4EDDB0" w14:textId="77777777" w:rsidR="003E3FB4" w:rsidRDefault="00385ED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r>
              <w:rPr>
                <w:rFonts w:asciiTheme="majorBidi" w:hAnsiTheme="majorBidi" w:cstheme="majorBidi"/>
                <w:kern w:val="0"/>
                <w:sz w:val="24"/>
                <w:szCs w:val="24"/>
                <w:lang w:eastAsia="fr-FR"/>
                <w14:ligatures w14:val="none"/>
              </w:rPr>
              <w:t>Acide chlorhydrique (HCl) et magnésium (Mg)</w:t>
            </w:r>
          </w:p>
          <w:p w14:paraId="429B7D88"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tc>
        <w:tc>
          <w:tcPr>
            <w:tcW w:w="1796" w:type="dxa"/>
            <w:vMerge w:val="restart"/>
          </w:tcPr>
          <w:p w14:paraId="622BA704"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p w14:paraId="3FB331C6"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p w14:paraId="5889534B"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p w14:paraId="274D4056"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p w14:paraId="59A9DFC8" w14:textId="77777777" w:rsidR="003E3FB4" w:rsidRDefault="00385ED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r>
              <w:rPr>
                <w:rFonts w:asciiTheme="majorBidi" w:hAnsiTheme="majorBidi" w:cstheme="majorBidi"/>
                <w:kern w:val="0"/>
                <w:sz w:val="24"/>
                <w:szCs w:val="24"/>
                <w:lang w:eastAsia="fr-FR"/>
                <w14:ligatures w14:val="none"/>
              </w:rPr>
              <w:t>Orange</w:t>
            </w:r>
          </w:p>
          <w:p w14:paraId="64FAF2DD"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p w14:paraId="0A44081E"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tc>
        <w:tc>
          <w:tcPr>
            <w:tcW w:w="2028" w:type="dxa"/>
          </w:tcPr>
          <w:p w14:paraId="6EF815BA" w14:textId="77777777" w:rsidR="003E3FB4" w:rsidRDefault="00385ED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r>
              <w:rPr>
                <w:noProof/>
                <w:kern w:val="0"/>
                <w:sz w:val="24"/>
                <w:szCs w:val="24"/>
                <w:lang w:eastAsia="fr-FR"/>
                <w14:ligatures w14:val="none"/>
              </w:rPr>
              <w:drawing>
                <wp:inline distT="0" distB="0" distL="0" distR="0" wp14:anchorId="031211D2" wp14:editId="674258EA">
                  <wp:extent cx="409575" cy="685800"/>
                  <wp:effectExtent l="0" t="0" r="9525" b="0"/>
                  <wp:docPr id="226002629"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6002629" name="Image 1"/>
                          <pic:cNvPicPr>
                            <a:picLocks noChangeAspect="1"/>
                          </pic:cNvPicPr>
                        </pic:nvPicPr>
                        <pic:blipFill>
                          <a:blip r:embed="rId41"/>
                          <a:stretch>
                            <a:fillRect/>
                          </a:stretch>
                        </pic:blipFill>
                        <pic:spPr>
                          <a:xfrm>
                            <a:off x="0" y="0"/>
                            <a:ext cx="434170" cy="726982"/>
                          </a:xfrm>
                          <a:prstGeom prst="rect">
                            <a:avLst/>
                          </a:prstGeom>
                        </pic:spPr>
                      </pic:pic>
                    </a:graphicData>
                  </a:graphic>
                </wp:inline>
              </w:drawing>
            </w:r>
          </w:p>
          <w:p w14:paraId="3E666E91"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tc>
        <w:tc>
          <w:tcPr>
            <w:tcW w:w="1243" w:type="dxa"/>
            <w:vMerge w:val="restart"/>
          </w:tcPr>
          <w:p w14:paraId="7AAC7D06"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p w14:paraId="464552E7"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p w14:paraId="6C8A4E58"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p w14:paraId="10EC6B6D"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p w14:paraId="58E1E5F9"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p w14:paraId="6D407631" w14:textId="77777777" w:rsidR="003E3FB4" w:rsidRDefault="00385ED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r>
              <w:rPr>
                <w:rFonts w:asciiTheme="majorBidi" w:hAnsiTheme="majorBidi" w:cstheme="majorBidi"/>
                <w:kern w:val="0"/>
                <w:sz w:val="24"/>
                <w:szCs w:val="24"/>
                <w:lang w:eastAsia="fr-FR"/>
                <w14:ligatures w14:val="none"/>
              </w:rPr>
              <w:t>+++</w:t>
            </w:r>
          </w:p>
        </w:tc>
      </w:tr>
      <w:tr w:rsidR="003E3FB4" w14:paraId="224F7462" w14:textId="77777777" w:rsidTr="003E3FB4">
        <w:tc>
          <w:tcPr>
            <w:cnfStyle w:val="001000000000" w:firstRow="0" w:lastRow="0" w:firstColumn="1" w:lastColumn="0" w:oddVBand="0" w:evenVBand="0" w:oddHBand="0" w:evenHBand="0" w:firstRowFirstColumn="0" w:firstRowLastColumn="0" w:lastRowFirstColumn="0" w:lastRowLastColumn="0"/>
            <w:tcW w:w="1443" w:type="dxa"/>
            <w:vMerge/>
          </w:tcPr>
          <w:p w14:paraId="5F35D65E" w14:textId="77777777" w:rsidR="003E3FB4" w:rsidRDefault="003E3FB4">
            <w:pPr>
              <w:spacing w:after="0" w:line="240" w:lineRule="auto"/>
              <w:jc w:val="center"/>
              <w:rPr>
                <w:rFonts w:asciiTheme="majorBidi" w:hAnsiTheme="majorBidi" w:cstheme="majorBidi"/>
                <w:b w:val="0"/>
                <w:bCs w:val="0"/>
                <w:kern w:val="0"/>
                <w:sz w:val="24"/>
                <w:szCs w:val="24"/>
                <w:lang w:eastAsia="fr-FR"/>
                <w14:ligatures w14:val="none"/>
              </w:rPr>
            </w:pPr>
          </w:p>
        </w:tc>
        <w:tc>
          <w:tcPr>
            <w:tcW w:w="989" w:type="dxa"/>
          </w:tcPr>
          <w:p w14:paraId="2F6DBCC0"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kern w:val="0"/>
                <w:sz w:val="24"/>
                <w:szCs w:val="24"/>
                <w:lang w:eastAsia="fr-FR"/>
                <w14:ligatures w14:val="none"/>
              </w:rPr>
            </w:pPr>
          </w:p>
          <w:p w14:paraId="1FEEDB1B" w14:textId="77777777" w:rsidR="003E3FB4" w:rsidRDefault="00385ED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kern w:val="0"/>
                <w:sz w:val="24"/>
                <w:szCs w:val="24"/>
                <w:lang w:eastAsia="fr-FR"/>
                <w14:ligatures w14:val="none"/>
              </w:rPr>
            </w:pPr>
            <w:r>
              <w:rPr>
                <w:rFonts w:asciiTheme="majorBidi" w:hAnsiTheme="majorBidi" w:cstheme="majorBidi"/>
                <w:b/>
                <w:bCs/>
                <w:kern w:val="0"/>
                <w:sz w:val="24"/>
                <w:szCs w:val="24"/>
                <w:lang w:eastAsia="fr-FR"/>
                <w14:ligatures w14:val="none"/>
              </w:rPr>
              <w:t>Extrait éthanolique</w:t>
            </w:r>
          </w:p>
        </w:tc>
        <w:tc>
          <w:tcPr>
            <w:tcW w:w="1563" w:type="dxa"/>
            <w:vMerge/>
          </w:tcPr>
          <w:p w14:paraId="29586DFB"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tc>
        <w:tc>
          <w:tcPr>
            <w:tcW w:w="1796" w:type="dxa"/>
            <w:vMerge/>
          </w:tcPr>
          <w:p w14:paraId="4080017D"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tc>
        <w:tc>
          <w:tcPr>
            <w:tcW w:w="2028" w:type="dxa"/>
          </w:tcPr>
          <w:p w14:paraId="09C5E0F2" w14:textId="77777777" w:rsidR="003E3FB4" w:rsidRDefault="00385ED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r>
              <w:rPr>
                <w:noProof/>
                <w:kern w:val="0"/>
                <w:sz w:val="24"/>
                <w:szCs w:val="24"/>
                <w:lang w:eastAsia="fr-FR"/>
                <w14:ligatures w14:val="none"/>
              </w:rPr>
              <w:drawing>
                <wp:inline distT="0" distB="0" distL="0" distR="0" wp14:anchorId="7759E89E" wp14:editId="4F3DDD8C">
                  <wp:extent cx="333375" cy="808355"/>
                  <wp:effectExtent l="0" t="0" r="9525" b="0"/>
                  <wp:docPr id="410634657"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0634657" name="Image 1"/>
                          <pic:cNvPicPr>
                            <a:picLocks noChangeAspect="1"/>
                          </pic:cNvPicPr>
                        </pic:nvPicPr>
                        <pic:blipFill>
                          <a:blip r:embed="rId42"/>
                          <a:stretch>
                            <a:fillRect/>
                          </a:stretch>
                        </pic:blipFill>
                        <pic:spPr>
                          <a:xfrm>
                            <a:off x="0" y="0"/>
                            <a:ext cx="346635" cy="840508"/>
                          </a:xfrm>
                          <a:prstGeom prst="rect">
                            <a:avLst/>
                          </a:prstGeom>
                        </pic:spPr>
                      </pic:pic>
                    </a:graphicData>
                  </a:graphic>
                </wp:inline>
              </w:drawing>
            </w:r>
          </w:p>
        </w:tc>
        <w:tc>
          <w:tcPr>
            <w:tcW w:w="1243" w:type="dxa"/>
            <w:vMerge/>
          </w:tcPr>
          <w:p w14:paraId="075350CD"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tc>
      </w:tr>
      <w:tr w:rsidR="003E3FB4" w14:paraId="1652DF17" w14:textId="77777777" w:rsidTr="003E3FB4">
        <w:trPr>
          <w:trHeight w:val="895"/>
        </w:trPr>
        <w:tc>
          <w:tcPr>
            <w:cnfStyle w:val="001000000000" w:firstRow="0" w:lastRow="0" w:firstColumn="1" w:lastColumn="0" w:oddVBand="0" w:evenVBand="0" w:oddHBand="0" w:evenHBand="0" w:firstRowFirstColumn="0" w:firstRowLastColumn="0" w:lastRowFirstColumn="0" w:lastRowLastColumn="0"/>
            <w:tcW w:w="1443" w:type="dxa"/>
            <w:vMerge w:val="restart"/>
          </w:tcPr>
          <w:p w14:paraId="5D309802" w14:textId="77777777" w:rsidR="003E3FB4" w:rsidRDefault="003E3FB4">
            <w:pPr>
              <w:spacing w:after="0" w:line="240" w:lineRule="auto"/>
              <w:jc w:val="center"/>
              <w:rPr>
                <w:rFonts w:asciiTheme="majorBidi" w:hAnsiTheme="majorBidi" w:cstheme="majorBidi"/>
                <w:kern w:val="0"/>
                <w:sz w:val="24"/>
                <w:szCs w:val="24"/>
                <w:lang w:eastAsia="fr-FR"/>
                <w14:ligatures w14:val="none"/>
              </w:rPr>
            </w:pPr>
          </w:p>
          <w:p w14:paraId="2C447EB6" w14:textId="77777777" w:rsidR="003E3FB4" w:rsidRDefault="00385ED0">
            <w:pPr>
              <w:spacing w:after="0" w:line="240" w:lineRule="auto"/>
              <w:jc w:val="center"/>
              <w:rPr>
                <w:rFonts w:asciiTheme="majorBidi" w:hAnsiTheme="majorBidi" w:cstheme="majorBidi"/>
                <w:b w:val="0"/>
                <w:bCs w:val="0"/>
                <w:kern w:val="0"/>
                <w:sz w:val="24"/>
                <w:szCs w:val="24"/>
                <w:lang w:eastAsia="fr-FR"/>
                <w14:ligatures w14:val="none"/>
              </w:rPr>
            </w:pPr>
            <w:r>
              <w:rPr>
                <w:rFonts w:asciiTheme="majorBidi" w:hAnsiTheme="majorBidi" w:cstheme="majorBidi"/>
                <w:kern w:val="0"/>
                <w:sz w:val="24"/>
                <w:szCs w:val="24"/>
                <w:lang w:eastAsia="fr-FR"/>
                <w14:ligatures w14:val="none"/>
              </w:rPr>
              <w:t>Tanins</w:t>
            </w:r>
          </w:p>
        </w:tc>
        <w:tc>
          <w:tcPr>
            <w:tcW w:w="989" w:type="dxa"/>
          </w:tcPr>
          <w:p w14:paraId="5ABDDADE" w14:textId="77777777" w:rsidR="003E3FB4" w:rsidRDefault="00385ED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kern w:val="0"/>
                <w:sz w:val="24"/>
                <w:szCs w:val="24"/>
                <w:lang w:eastAsia="fr-FR"/>
                <w14:ligatures w14:val="none"/>
              </w:rPr>
            </w:pPr>
            <w:r>
              <w:rPr>
                <w:rFonts w:asciiTheme="majorBidi" w:hAnsiTheme="majorBidi" w:cstheme="majorBidi"/>
                <w:b/>
                <w:bCs/>
                <w:kern w:val="0"/>
                <w:sz w:val="24"/>
                <w:szCs w:val="24"/>
                <w:lang w:eastAsia="fr-FR"/>
                <w14:ligatures w14:val="none"/>
              </w:rPr>
              <w:t>Extrait aqueux</w:t>
            </w:r>
          </w:p>
        </w:tc>
        <w:tc>
          <w:tcPr>
            <w:tcW w:w="1563" w:type="dxa"/>
            <w:vMerge w:val="restart"/>
          </w:tcPr>
          <w:p w14:paraId="40824CD1"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p w14:paraId="61C9C36B" w14:textId="77777777" w:rsidR="003E3FB4" w:rsidRDefault="00385ED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r>
              <w:rPr>
                <w:rFonts w:asciiTheme="majorBidi" w:hAnsiTheme="majorBidi" w:cstheme="majorBidi"/>
                <w:kern w:val="0"/>
                <w:sz w:val="24"/>
                <w:szCs w:val="24"/>
                <w:lang w:eastAsia="fr-FR"/>
                <w14:ligatures w14:val="none"/>
              </w:rPr>
              <w:t>Chlorure ferrique (FeCl</w:t>
            </w:r>
            <w:r>
              <w:rPr>
                <w:rFonts w:asciiTheme="majorBidi" w:hAnsiTheme="majorBidi" w:cstheme="majorBidi"/>
                <w:kern w:val="0"/>
                <w:sz w:val="24"/>
                <w:szCs w:val="24"/>
                <w:vertAlign w:val="subscript"/>
                <w:lang w:eastAsia="fr-FR"/>
                <w14:ligatures w14:val="none"/>
              </w:rPr>
              <w:t>3</w:t>
            </w:r>
            <w:r>
              <w:rPr>
                <w:rFonts w:asciiTheme="majorBidi" w:hAnsiTheme="majorBidi" w:cstheme="majorBidi"/>
                <w:kern w:val="0"/>
                <w:sz w:val="24"/>
                <w:szCs w:val="24"/>
                <w:lang w:eastAsia="fr-FR"/>
                <w14:ligatures w14:val="none"/>
              </w:rPr>
              <w:t>)</w:t>
            </w:r>
            <w:r>
              <w:rPr>
                <w:kern w:val="0"/>
                <w:sz w:val="24"/>
                <w:szCs w:val="24"/>
                <w:lang w:eastAsia="fr-FR"/>
                <w14:ligatures w14:val="none"/>
              </w:rPr>
              <w:t xml:space="preserve"> </w:t>
            </w:r>
          </w:p>
        </w:tc>
        <w:tc>
          <w:tcPr>
            <w:tcW w:w="1796" w:type="dxa"/>
            <w:vMerge w:val="restart"/>
          </w:tcPr>
          <w:p w14:paraId="145AC361"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p w14:paraId="79061C1A"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p w14:paraId="7A7116AA" w14:textId="77777777" w:rsidR="003E3FB4" w:rsidRDefault="00385ED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r>
              <w:rPr>
                <w:rFonts w:asciiTheme="majorBidi" w:hAnsiTheme="majorBidi" w:cstheme="majorBidi"/>
                <w:kern w:val="0"/>
                <w:sz w:val="24"/>
                <w:szCs w:val="24"/>
                <w:lang w:eastAsia="fr-FR"/>
                <w14:ligatures w14:val="none"/>
              </w:rPr>
              <w:t>Brune verdâtre</w:t>
            </w:r>
          </w:p>
        </w:tc>
        <w:tc>
          <w:tcPr>
            <w:tcW w:w="2028" w:type="dxa"/>
            <w:vMerge w:val="restart"/>
          </w:tcPr>
          <w:p w14:paraId="5F7F7676"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p w14:paraId="37F06CB4" w14:textId="77777777" w:rsidR="003E3FB4" w:rsidRDefault="00385ED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r>
              <w:rPr>
                <w:noProof/>
                <w:kern w:val="0"/>
                <w:sz w:val="24"/>
                <w:szCs w:val="24"/>
                <w:lang w:eastAsia="fr-FR"/>
                <w14:ligatures w14:val="none"/>
              </w:rPr>
              <w:drawing>
                <wp:inline distT="0" distB="0" distL="0" distR="0" wp14:anchorId="13693049" wp14:editId="456E0DA0">
                  <wp:extent cx="561975" cy="895350"/>
                  <wp:effectExtent l="0" t="0" r="9525" b="0"/>
                  <wp:docPr id="45300007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3000073" name="Image 1"/>
                          <pic:cNvPicPr>
                            <a:picLocks noChangeAspect="1"/>
                          </pic:cNvPicPr>
                        </pic:nvPicPr>
                        <pic:blipFill>
                          <a:blip r:embed="rId43"/>
                          <a:stretch>
                            <a:fillRect/>
                          </a:stretch>
                        </pic:blipFill>
                        <pic:spPr>
                          <a:xfrm>
                            <a:off x="0" y="0"/>
                            <a:ext cx="565848" cy="901521"/>
                          </a:xfrm>
                          <a:prstGeom prst="rect">
                            <a:avLst/>
                          </a:prstGeom>
                        </pic:spPr>
                      </pic:pic>
                    </a:graphicData>
                  </a:graphic>
                </wp:inline>
              </w:drawing>
            </w:r>
          </w:p>
        </w:tc>
        <w:tc>
          <w:tcPr>
            <w:tcW w:w="1243" w:type="dxa"/>
            <w:vMerge w:val="restart"/>
          </w:tcPr>
          <w:p w14:paraId="1D86F515"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p w14:paraId="5D74E93D" w14:textId="77777777" w:rsidR="003E3FB4" w:rsidRDefault="00385ED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r>
              <w:rPr>
                <w:rFonts w:asciiTheme="majorBidi" w:hAnsiTheme="majorBidi" w:cstheme="majorBidi"/>
                <w:kern w:val="0"/>
                <w:sz w:val="24"/>
                <w:szCs w:val="24"/>
                <w:lang w:eastAsia="fr-FR"/>
                <w14:ligatures w14:val="none"/>
              </w:rPr>
              <w:t>++++</w:t>
            </w:r>
          </w:p>
          <w:p w14:paraId="6924B55B" w14:textId="77777777" w:rsidR="003E3FB4" w:rsidRDefault="00385ED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r>
              <w:rPr>
                <w:rFonts w:asciiTheme="majorBidi" w:hAnsiTheme="majorBidi" w:cstheme="majorBidi"/>
                <w:kern w:val="0"/>
                <w:sz w:val="24"/>
                <w:szCs w:val="24"/>
                <w:lang w:eastAsia="fr-FR"/>
                <w14:ligatures w14:val="none"/>
              </w:rPr>
              <w:t>Présence des tanins catéchiques</w:t>
            </w:r>
          </w:p>
          <w:p w14:paraId="404E48FD"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tc>
      </w:tr>
      <w:tr w:rsidR="003E3FB4" w14:paraId="5B70EC5A" w14:textId="77777777" w:rsidTr="003E3FB4">
        <w:tc>
          <w:tcPr>
            <w:cnfStyle w:val="001000000000" w:firstRow="0" w:lastRow="0" w:firstColumn="1" w:lastColumn="0" w:oddVBand="0" w:evenVBand="0" w:oddHBand="0" w:evenHBand="0" w:firstRowFirstColumn="0" w:firstRowLastColumn="0" w:lastRowFirstColumn="0" w:lastRowLastColumn="0"/>
            <w:tcW w:w="1443" w:type="dxa"/>
            <w:vMerge/>
          </w:tcPr>
          <w:p w14:paraId="04452C48" w14:textId="77777777" w:rsidR="003E3FB4" w:rsidRDefault="003E3FB4">
            <w:pPr>
              <w:spacing w:after="0" w:line="240" w:lineRule="auto"/>
              <w:jc w:val="center"/>
              <w:rPr>
                <w:rFonts w:asciiTheme="majorBidi" w:hAnsiTheme="majorBidi" w:cstheme="majorBidi"/>
                <w:b w:val="0"/>
                <w:bCs w:val="0"/>
                <w:kern w:val="0"/>
                <w:sz w:val="24"/>
                <w:szCs w:val="24"/>
                <w:lang w:eastAsia="fr-FR"/>
                <w14:ligatures w14:val="none"/>
              </w:rPr>
            </w:pPr>
          </w:p>
        </w:tc>
        <w:tc>
          <w:tcPr>
            <w:tcW w:w="989" w:type="dxa"/>
          </w:tcPr>
          <w:p w14:paraId="6CC07F19" w14:textId="77777777" w:rsidR="003E3FB4" w:rsidRDefault="00385ED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kern w:val="0"/>
                <w:sz w:val="24"/>
                <w:szCs w:val="24"/>
                <w:lang w:eastAsia="fr-FR"/>
                <w14:ligatures w14:val="none"/>
              </w:rPr>
            </w:pPr>
            <w:r>
              <w:rPr>
                <w:rFonts w:asciiTheme="majorBidi" w:hAnsiTheme="majorBidi" w:cstheme="majorBidi"/>
                <w:b/>
                <w:bCs/>
                <w:kern w:val="0"/>
                <w:sz w:val="24"/>
                <w:szCs w:val="24"/>
                <w:lang w:eastAsia="fr-FR"/>
                <w14:ligatures w14:val="none"/>
              </w:rPr>
              <w:t xml:space="preserve">Extrait éthanolique </w:t>
            </w:r>
          </w:p>
        </w:tc>
        <w:tc>
          <w:tcPr>
            <w:tcW w:w="1563" w:type="dxa"/>
            <w:vMerge/>
          </w:tcPr>
          <w:p w14:paraId="2FD8E415"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tc>
        <w:tc>
          <w:tcPr>
            <w:tcW w:w="1796" w:type="dxa"/>
            <w:vMerge/>
          </w:tcPr>
          <w:p w14:paraId="2EB2D92A"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tc>
        <w:tc>
          <w:tcPr>
            <w:tcW w:w="2028" w:type="dxa"/>
            <w:vMerge/>
          </w:tcPr>
          <w:p w14:paraId="1E41EA70"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tc>
        <w:tc>
          <w:tcPr>
            <w:tcW w:w="1243" w:type="dxa"/>
            <w:vMerge/>
          </w:tcPr>
          <w:p w14:paraId="61CB9DC8"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tc>
      </w:tr>
      <w:tr w:rsidR="003E3FB4" w14:paraId="51DCE426" w14:textId="77777777" w:rsidTr="003E3FB4">
        <w:trPr>
          <w:trHeight w:val="1232"/>
        </w:trPr>
        <w:tc>
          <w:tcPr>
            <w:cnfStyle w:val="001000000000" w:firstRow="0" w:lastRow="0" w:firstColumn="1" w:lastColumn="0" w:oddVBand="0" w:evenVBand="0" w:oddHBand="0" w:evenHBand="0" w:firstRowFirstColumn="0" w:firstRowLastColumn="0" w:lastRowFirstColumn="0" w:lastRowLastColumn="0"/>
            <w:tcW w:w="1443" w:type="dxa"/>
            <w:vMerge w:val="restart"/>
          </w:tcPr>
          <w:p w14:paraId="16282BB7" w14:textId="77777777" w:rsidR="003E3FB4" w:rsidRDefault="003E3FB4">
            <w:pPr>
              <w:spacing w:after="0" w:line="240" w:lineRule="auto"/>
              <w:jc w:val="center"/>
              <w:rPr>
                <w:rFonts w:asciiTheme="majorBidi" w:hAnsiTheme="majorBidi" w:cstheme="majorBidi"/>
                <w:kern w:val="0"/>
                <w:sz w:val="24"/>
                <w:szCs w:val="24"/>
                <w:lang w:eastAsia="fr-FR"/>
                <w14:ligatures w14:val="none"/>
              </w:rPr>
            </w:pPr>
          </w:p>
          <w:p w14:paraId="1E21B7FE" w14:textId="77777777" w:rsidR="003E3FB4" w:rsidRDefault="00385ED0">
            <w:pPr>
              <w:spacing w:after="0" w:line="240" w:lineRule="auto"/>
              <w:jc w:val="center"/>
              <w:rPr>
                <w:rFonts w:asciiTheme="majorBidi" w:hAnsiTheme="majorBidi" w:cstheme="majorBidi"/>
                <w:b w:val="0"/>
                <w:bCs w:val="0"/>
                <w:kern w:val="0"/>
                <w:sz w:val="24"/>
                <w:szCs w:val="24"/>
                <w:lang w:eastAsia="fr-FR"/>
                <w14:ligatures w14:val="none"/>
              </w:rPr>
            </w:pPr>
            <w:r>
              <w:rPr>
                <w:rFonts w:asciiTheme="majorBidi" w:hAnsiTheme="majorBidi" w:cstheme="majorBidi"/>
                <w:kern w:val="0"/>
                <w:sz w:val="24"/>
                <w:szCs w:val="24"/>
                <w:lang w:eastAsia="fr-FR"/>
                <w14:ligatures w14:val="none"/>
              </w:rPr>
              <w:t>Alcaloïdes</w:t>
            </w:r>
          </w:p>
        </w:tc>
        <w:tc>
          <w:tcPr>
            <w:tcW w:w="989" w:type="dxa"/>
          </w:tcPr>
          <w:p w14:paraId="0E9C3AB5" w14:textId="77777777" w:rsidR="003E3FB4" w:rsidRDefault="00385ED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kern w:val="0"/>
                <w:sz w:val="24"/>
                <w:szCs w:val="24"/>
                <w:lang w:eastAsia="fr-FR"/>
                <w14:ligatures w14:val="none"/>
              </w:rPr>
            </w:pPr>
            <w:r>
              <w:rPr>
                <w:rFonts w:asciiTheme="majorBidi" w:hAnsiTheme="majorBidi" w:cstheme="majorBidi"/>
                <w:b/>
                <w:bCs/>
                <w:kern w:val="0"/>
                <w:sz w:val="24"/>
                <w:szCs w:val="24"/>
                <w:lang w:eastAsia="fr-FR"/>
                <w14:ligatures w14:val="none"/>
              </w:rPr>
              <w:t>Extrait aqueux</w:t>
            </w:r>
          </w:p>
        </w:tc>
        <w:tc>
          <w:tcPr>
            <w:tcW w:w="1563" w:type="dxa"/>
            <w:vMerge w:val="restart"/>
          </w:tcPr>
          <w:p w14:paraId="1A84E468"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p w14:paraId="773B3B86"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p w14:paraId="36678A67" w14:textId="77777777" w:rsidR="003E3FB4" w:rsidRDefault="00385ED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r>
              <w:rPr>
                <w:rFonts w:asciiTheme="majorBidi" w:hAnsiTheme="majorBidi" w:cstheme="majorBidi"/>
                <w:kern w:val="0"/>
                <w:sz w:val="24"/>
                <w:szCs w:val="24"/>
                <w:lang w:eastAsia="fr-FR"/>
                <w14:ligatures w14:val="none"/>
              </w:rPr>
              <w:t>Acide sulfurique H</w:t>
            </w:r>
            <w:r>
              <w:rPr>
                <w:rFonts w:asciiTheme="majorBidi" w:hAnsiTheme="majorBidi" w:cstheme="majorBidi"/>
                <w:kern w:val="0"/>
                <w:sz w:val="24"/>
                <w:szCs w:val="24"/>
                <w:vertAlign w:val="subscript"/>
                <w:lang w:eastAsia="fr-FR"/>
                <w14:ligatures w14:val="none"/>
              </w:rPr>
              <w:t>2</w:t>
            </w:r>
            <w:r>
              <w:rPr>
                <w:rFonts w:asciiTheme="majorBidi" w:hAnsiTheme="majorBidi" w:cstheme="majorBidi"/>
                <w:kern w:val="0"/>
                <w:sz w:val="24"/>
                <w:szCs w:val="24"/>
                <w:lang w:eastAsia="fr-FR"/>
                <w14:ligatures w14:val="none"/>
              </w:rPr>
              <w:t>SO</w:t>
            </w:r>
            <w:r>
              <w:rPr>
                <w:rFonts w:asciiTheme="majorBidi" w:hAnsiTheme="majorBidi" w:cstheme="majorBidi"/>
                <w:kern w:val="0"/>
                <w:sz w:val="24"/>
                <w:szCs w:val="24"/>
                <w:vertAlign w:val="subscript"/>
                <w:lang w:eastAsia="fr-FR"/>
                <w14:ligatures w14:val="none"/>
              </w:rPr>
              <w:t>4</w:t>
            </w:r>
            <w:r>
              <w:rPr>
                <w:rFonts w:asciiTheme="majorBidi" w:hAnsiTheme="majorBidi" w:cstheme="majorBidi"/>
                <w:kern w:val="0"/>
                <w:sz w:val="24"/>
                <w:szCs w:val="24"/>
                <w:lang w:eastAsia="fr-FR"/>
                <w14:ligatures w14:val="none"/>
              </w:rPr>
              <w:t xml:space="preserve"> et le réactif Mayer</w:t>
            </w:r>
          </w:p>
          <w:p w14:paraId="3D355BAC"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tc>
        <w:tc>
          <w:tcPr>
            <w:tcW w:w="1796" w:type="dxa"/>
            <w:vMerge w:val="restart"/>
          </w:tcPr>
          <w:p w14:paraId="430AAF8C"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p w14:paraId="0BFD7471"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p w14:paraId="1568B9B7"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p w14:paraId="6DA970D4" w14:textId="77777777" w:rsidR="003E3FB4" w:rsidRDefault="00385ED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r>
              <w:rPr>
                <w:rFonts w:asciiTheme="majorBidi" w:hAnsiTheme="majorBidi" w:cstheme="majorBidi"/>
                <w:kern w:val="0"/>
                <w:sz w:val="24"/>
                <w:szCs w:val="24"/>
                <w:lang w:eastAsia="fr-FR"/>
                <w14:ligatures w14:val="none"/>
              </w:rPr>
              <w:t>Blanc jaunâtre</w:t>
            </w:r>
          </w:p>
        </w:tc>
        <w:tc>
          <w:tcPr>
            <w:tcW w:w="2028" w:type="dxa"/>
          </w:tcPr>
          <w:p w14:paraId="185A5C92"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kern w:val="0"/>
                <w:sz w:val="24"/>
                <w:szCs w:val="24"/>
                <w:lang w:eastAsia="fr-FR"/>
                <w14:ligatures w14:val="none"/>
              </w:rPr>
            </w:pPr>
          </w:p>
          <w:p w14:paraId="5D9E01B6" w14:textId="77777777" w:rsidR="003E3FB4" w:rsidRDefault="00385ED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r>
              <w:rPr>
                <w:noProof/>
                <w:kern w:val="0"/>
                <w:sz w:val="24"/>
                <w:szCs w:val="24"/>
                <w:lang w:eastAsia="fr-FR"/>
                <w14:ligatures w14:val="none"/>
              </w:rPr>
              <w:drawing>
                <wp:inline distT="0" distB="0" distL="0" distR="0" wp14:anchorId="2A0D9A4E" wp14:editId="66E55A61">
                  <wp:extent cx="571500" cy="704850"/>
                  <wp:effectExtent l="0" t="0" r="0" b="0"/>
                  <wp:docPr id="1716767196"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6767196" name="Image 1"/>
                          <pic:cNvPicPr>
                            <a:picLocks noChangeAspect="1"/>
                          </pic:cNvPicPr>
                        </pic:nvPicPr>
                        <pic:blipFill>
                          <a:blip r:embed="rId44"/>
                          <a:stretch>
                            <a:fillRect/>
                          </a:stretch>
                        </pic:blipFill>
                        <pic:spPr>
                          <a:xfrm>
                            <a:off x="0" y="0"/>
                            <a:ext cx="576203" cy="710650"/>
                          </a:xfrm>
                          <a:prstGeom prst="rect">
                            <a:avLst/>
                          </a:prstGeom>
                        </pic:spPr>
                      </pic:pic>
                    </a:graphicData>
                  </a:graphic>
                </wp:inline>
              </w:drawing>
            </w:r>
          </w:p>
        </w:tc>
        <w:tc>
          <w:tcPr>
            <w:tcW w:w="1243" w:type="dxa"/>
            <w:vMerge w:val="restart"/>
          </w:tcPr>
          <w:p w14:paraId="11B4978F"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p w14:paraId="582706C4"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p w14:paraId="6C3B616C"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p w14:paraId="3D154C5E"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p w14:paraId="751F8DC8" w14:textId="77777777" w:rsidR="003E3FB4" w:rsidRDefault="003E3FB4">
            <w:pPr>
              <w:spacing w:after="0" w:line="240"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p w14:paraId="568F377A" w14:textId="77777777" w:rsidR="003E3FB4" w:rsidRDefault="00385ED0">
            <w:pPr>
              <w:spacing w:after="0" w:line="240"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r>
              <w:rPr>
                <w:rFonts w:asciiTheme="majorBidi" w:hAnsiTheme="majorBidi" w:cstheme="majorBidi"/>
                <w:kern w:val="0"/>
                <w:sz w:val="24"/>
                <w:szCs w:val="24"/>
                <w:lang w:eastAsia="fr-FR"/>
                <w14:ligatures w14:val="none"/>
              </w:rPr>
              <w:t xml:space="preserve">     ++++</w:t>
            </w:r>
          </w:p>
          <w:p w14:paraId="4F502D0B"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tc>
      </w:tr>
      <w:tr w:rsidR="003E3FB4" w14:paraId="6C153E7B" w14:textId="77777777" w:rsidTr="003E3FB4">
        <w:tc>
          <w:tcPr>
            <w:cnfStyle w:val="001000000000" w:firstRow="0" w:lastRow="0" w:firstColumn="1" w:lastColumn="0" w:oddVBand="0" w:evenVBand="0" w:oddHBand="0" w:evenHBand="0" w:firstRowFirstColumn="0" w:firstRowLastColumn="0" w:lastRowFirstColumn="0" w:lastRowLastColumn="0"/>
            <w:tcW w:w="1443" w:type="dxa"/>
            <w:vMerge/>
          </w:tcPr>
          <w:p w14:paraId="222967E3" w14:textId="77777777" w:rsidR="003E3FB4" w:rsidRDefault="003E3FB4">
            <w:pPr>
              <w:spacing w:after="0" w:line="240" w:lineRule="auto"/>
              <w:jc w:val="center"/>
              <w:rPr>
                <w:rFonts w:asciiTheme="majorBidi" w:hAnsiTheme="majorBidi" w:cstheme="majorBidi"/>
                <w:b w:val="0"/>
                <w:bCs w:val="0"/>
                <w:kern w:val="0"/>
                <w:sz w:val="24"/>
                <w:szCs w:val="24"/>
                <w:lang w:eastAsia="fr-FR"/>
                <w14:ligatures w14:val="none"/>
              </w:rPr>
            </w:pPr>
          </w:p>
        </w:tc>
        <w:tc>
          <w:tcPr>
            <w:tcW w:w="989" w:type="dxa"/>
          </w:tcPr>
          <w:p w14:paraId="29834064"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kern w:val="0"/>
                <w:sz w:val="24"/>
                <w:szCs w:val="24"/>
                <w:lang w:eastAsia="fr-FR"/>
                <w14:ligatures w14:val="none"/>
              </w:rPr>
            </w:pPr>
          </w:p>
          <w:p w14:paraId="2B49F666" w14:textId="77777777" w:rsidR="003E3FB4" w:rsidRDefault="00385ED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kern w:val="0"/>
                <w:sz w:val="24"/>
                <w:szCs w:val="24"/>
                <w:lang w:eastAsia="fr-FR"/>
                <w14:ligatures w14:val="none"/>
              </w:rPr>
            </w:pPr>
            <w:r>
              <w:rPr>
                <w:rFonts w:asciiTheme="majorBidi" w:hAnsiTheme="majorBidi" w:cstheme="majorBidi"/>
                <w:b/>
                <w:bCs/>
                <w:kern w:val="0"/>
                <w:sz w:val="24"/>
                <w:szCs w:val="24"/>
                <w:lang w:eastAsia="fr-FR"/>
                <w14:ligatures w14:val="none"/>
              </w:rPr>
              <w:t>Extrait éthanolique</w:t>
            </w:r>
          </w:p>
        </w:tc>
        <w:tc>
          <w:tcPr>
            <w:tcW w:w="1563" w:type="dxa"/>
            <w:vMerge/>
          </w:tcPr>
          <w:p w14:paraId="4F7E7820"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tc>
        <w:tc>
          <w:tcPr>
            <w:tcW w:w="1796" w:type="dxa"/>
            <w:vMerge/>
          </w:tcPr>
          <w:p w14:paraId="41D351FF"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tc>
        <w:tc>
          <w:tcPr>
            <w:tcW w:w="2028" w:type="dxa"/>
          </w:tcPr>
          <w:p w14:paraId="62FD6C77" w14:textId="77777777" w:rsidR="003E3FB4" w:rsidRDefault="00385ED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r>
              <w:rPr>
                <w:noProof/>
                <w:kern w:val="0"/>
                <w:sz w:val="24"/>
                <w:szCs w:val="24"/>
                <w:lang w:eastAsia="fr-FR"/>
                <w14:ligatures w14:val="none"/>
              </w:rPr>
              <w:drawing>
                <wp:inline distT="0" distB="0" distL="0" distR="0" wp14:anchorId="07C93659" wp14:editId="4D36B884">
                  <wp:extent cx="619125" cy="704850"/>
                  <wp:effectExtent l="0" t="0" r="9525" b="0"/>
                  <wp:docPr id="379421435"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9421435" name="Image 1"/>
                          <pic:cNvPicPr>
                            <a:picLocks noChangeAspect="1"/>
                          </pic:cNvPicPr>
                        </pic:nvPicPr>
                        <pic:blipFill>
                          <a:blip r:embed="rId45"/>
                          <a:stretch>
                            <a:fillRect/>
                          </a:stretch>
                        </pic:blipFill>
                        <pic:spPr>
                          <a:xfrm>
                            <a:off x="0" y="0"/>
                            <a:ext cx="636578" cy="724719"/>
                          </a:xfrm>
                          <a:prstGeom prst="rect">
                            <a:avLst/>
                          </a:prstGeom>
                        </pic:spPr>
                      </pic:pic>
                    </a:graphicData>
                  </a:graphic>
                </wp:inline>
              </w:drawing>
            </w:r>
          </w:p>
        </w:tc>
        <w:tc>
          <w:tcPr>
            <w:tcW w:w="1243" w:type="dxa"/>
            <w:vMerge/>
          </w:tcPr>
          <w:p w14:paraId="2F37005A"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tc>
      </w:tr>
      <w:tr w:rsidR="003E3FB4" w14:paraId="7621207C" w14:textId="77777777" w:rsidTr="003E3FB4">
        <w:trPr>
          <w:trHeight w:val="897"/>
        </w:trPr>
        <w:tc>
          <w:tcPr>
            <w:cnfStyle w:val="001000000000" w:firstRow="0" w:lastRow="0" w:firstColumn="1" w:lastColumn="0" w:oddVBand="0" w:evenVBand="0" w:oddHBand="0" w:evenHBand="0" w:firstRowFirstColumn="0" w:firstRowLastColumn="0" w:lastRowFirstColumn="0" w:lastRowLastColumn="0"/>
            <w:tcW w:w="1443" w:type="dxa"/>
            <w:vMerge w:val="restart"/>
          </w:tcPr>
          <w:p w14:paraId="060AE0F5" w14:textId="77777777" w:rsidR="003E3FB4" w:rsidRDefault="003E3FB4">
            <w:pPr>
              <w:spacing w:after="0" w:line="240" w:lineRule="auto"/>
              <w:jc w:val="center"/>
              <w:rPr>
                <w:rFonts w:asciiTheme="majorBidi" w:hAnsiTheme="majorBidi" w:cstheme="majorBidi"/>
                <w:kern w:val="0"/>
                <w:sz w:val="24"/>
                <w:szCs w:val="24"/>
                <w:lang w:eastAsia="fr-FR"/>
                <w14:ligatures w14:val="none"/>
              </w:rPr>
            </w:pPr>
          </w:p>
          <w:p w14:paraId="6A64DC9C" w14:textId="77777777" w:rsidR="003E3FB4" w:rsidRDefault="003E3FB4">
            <w:pPr>
              <w:spacing w:after="0" w:line="240" w:lineRule="auto"/>
              <w:jc w:val="center"/>
              <w:rPr>
                <w:rFonts w:asciiTheme="majorBidi" w:hAnsiTheme="majorBidi" w:cstheme="majorBidi"/>
                <w:kern w:val="0"/>
                <w:sz w:val="24"/>
                <w:szCs w:val="24"/>
                <w:lang w:eastAsia="fr-FR"/>
                <w14:ligatures w14:val="none"/>
              </w:rPr>
            </w:pPr>
          </w:p>
          <w:p w14:paraId="3A70430F" w14:textId="77777777" w:rsidR="003E3FB4" w:rsidRDefault="00385ED0">
            <w:pPr>
              <w:spacing w:after="0" w:line="240" w:lineRule="auto"/>
              <w:jc w:val="center"/>
              <w:rPr>
                <w:rFonts w:asciiTheme="majorBidi" w:hAnsiTheme="majorBidi" w:cstheme="majorBidi"/>
                <w:b w:val="0"/>
                <w:bCs w:val="0"/>
                <w:kern w:val="0"/>
                <w:sz w:val="24"/>
                <w:szCs w:val="24"/>
                <w:lang w:eastAsia="fr-FR"/>
                <w14:ligatures w14:val="none"/>
              </w:rPr>
            </w:pPr>
            <w:r>
              <w:rPr>
                <w:rFonts w:asciiTheme="majorBidi" w:hAnsiTheme="majorBidi" w:cstheme="majorBidi"/>
                <w:kern w:val="0"/>
                <w:sz w:val="24"/>
                <w:szCs w:val="24"/>
                <w:lang w:eastAsia="fr-FR"/>
                <w14:ligatures w14:val="none"/>
              </w:rPr>
              <w:t>Saponines</w:t>
            </w:r>
          </w:p>
        </w:tc>
        <w:tc>
          <w:tcPr>
            <w:tcW w:w="989" w:type="dxa"/>
          </w:tcPr>
          <w:p w14:paraId="7FC96FFC"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kern w:val="0"/>
                <w:sz w:val="24"/>
                <w:szCs w:val="24"/>
                <w:lang w:eastAsia="fr-FR"/>
                <w14:ligatures w14:val="none"/>
              </w:rPr>
            </w:pPr>
          </w:p>
          <w:p w14:paraId="6DDA1912" w14:textId="77777777" w:rsidR="003E3FB4" w:rsidRDefault="00385ED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kern w:val="0"/>
                <w:sz w:val="24"/>
                <w:szCs w:val="24"/>
                <w:lang w:eastAsia="fr-FR"/>
                <w14:ligatures w14:val="none"/>
              </w:rPr>
            </w:pPr>
            <w:r>
              <w:rPr>
                <w:rFonts w:asciiTheme="majorBidi" w:hAnsiTheme="majorBidi" w:cstheme="majorBidi"/>
                <w:b/>
                <w:bCs/>
                <w:kern w:val="0"/>
                <w:sz w:val="24"/>
                <w:szCs w:val="24"/>
                <w:lang w:eastAsia="fr-FR"/>
                <w14:ligatures w14:val="none"/>
              </w:rPr>
              <w:t xml:space="preserve">Extrait aqueux </w:t>
            </w:r>
          </w:p>
        </w:tc>
        <w:tc>
          <w:tcPr>
            <w:tcW w:w="1563" w:type="dxa"/>
            <w:vMerge w:val="restart"/>
          </w:tcPr>
          <w:p w14:paraId="6300B190"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p w14:paraId="2CA8BC0D"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p w14:paraId="60431749"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p w14:paraId="08E14030" w14:textId="77777777" w:rsidR="003E3FB4" w:rsidRDefault="00385ED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vertAlign w:val="subscript"/>
                <w:lang w:eastAsia="fr-FR"/>
                <w14:ligatures w14:val="none"/>
              </w:rPr>
            </w:pPr>
            <w:r>
              <w:rPr>
                <w:rFonts w:asciiTheme="majorBidi" w:hAnsiTheme="majorBidi" w:cstheme="majorBidi"/>
                <w:kern w:val="0"/>
                <w:sz w:val="24"/>
                <w:szCs w:val="24"/>
                <w:lang w:eastAsia="fr-FR"/>
                <w14:ligatures w14:val="none"/>
              </w:rPr>
              <w:t>Anhydride acétique (C</w:t>
            </w:r>
            <w:r>
              <w:rPr>
                <w:rFonts w:asciiTheme="majorBidi" w:hAnsiTheme="majorBidi" w:cstheme="majorBidi"/>
                <w:kern w:val="0"/>
                <w:sz w:val="24"/>
                <w:szCs w:val="24"/>
                <w:vertAlign w:val="subscript"/>
                <w:lang w:eastAsia="fr-FR"/>
                <w14:ligatures w14:val="none"/>
              </w:rPr>
              <w:t>4</w:t>
            </w:r>
            <w:r>
              <w:rPr>
                <w:rFonts w:asciiTheme="majorBidi" w:hAnsiTheme="majorBidi" w:cstheme="majorBidi"/>
                <w:kern w:val="0"/>
                <w:sz w:val="24"/>
                <w:szCs w:val="24"/>
                <w:lang w:eastAsia="fr-FR"/>
                <w14:ligatures w14:val="none"/>
              </w:rPr>
              <w:t>H</w:t>
            </w:r>
            <w:r>
              <w:rPr>
                <w:rFonts w:asciiTheme="majorBidi" w:hAnsiTheme="majorBidi" w:cstheme="majorBidi"/>
                <w:kern w:val="0"/>
                <w:sz w:val="24"/>
                <w:szCs w:val="24"/>
                <w:vertAlign w:val="subscript"/>
                <w:lang w:eastAsia="fr-FR"/>
                <w14:ligatures w14:val="none"/>
              </w:rPr>
              <w:t>6</w:t>
            </w:r>
            <w:r>
              <w:rPr>
                <w:rFonts w:asciiTheme="majorBidi" w:hAnsiTheme="majorBidi" w:cstheme="majorBidi"/>
                <w:kern w:val="0"/>
                <w:sz w:val="24"/>
                <w:szCs w:val="24"/>
                <w:lang w:eastAsia="fr-FR"/>
                <w14:ligatures w14:val="none"/>
              </w:rPr>
              <w:t>O</w:t>
            </w:r>
            <w:r>
              <w:rPr>
                <w:rFonts w:asciiTheme="majorBidi" w:hAnsiTheme="majorBidi" w:cstheme="majorBidi"/>
                <w:kern w:val="0"/>
                <w:sz w:val="24"/>
                <w:szCs w:val="24"/>
                <w:vertAlign w:val="subscript"/>
                <w:lang w:eastAsia="fr-FR"/>
                <w14:ligatures w14:val="none"/>
              </w:rPr>
              <w:t>3</w:t>
            </w:r>
            <w:r>
              <w:rPr>
                <w:rFonts w:asciiTheme="majorBidi" w:hAnsiTheme="majorBidi" w:cstheme="majorBidi"/>
                <w:kern w:val="0"/>
                <w:sz w:val="24"/>
                <w:szCs w:val="24"/>
                <w:lang w:eastAsia="fr-FR"/>
                <w14:ligatures w14:val="none"/>
              </w:rPr>
              <w:t>) d’H</w:t>
            </w:r>
            <w:r>
              <w:rPr>
                <w:rFonts w:asciiTheme="majorBidi" w:hAnsiTheme="majorBidi" w:cstheme="majorBidi"/>
                <w:kern w:val="0"/>
                <w:sz w:val="24"/>
                <w:szCs w:val="24"/>
                <w:vertAlign w:val="subscript"/>
                <w:lang w:eastAsia="fr-FR"/>
                <w14:ligatures w14:val="none"/>
              </w:rPr>
              <w:t>2</w:t>
            </w:r>
            <w:r>
              <w:rPr>
                <w:rFonts w:asciiTheme="majorBidi" w:hAnsiTheme="majorBidi" w:cstheme="majorBidi"/>
                <w:kern w:val="0"/>
                <w:sz w:val="24"/>
                <w:szCs w:val="24"/>
                <w:lang w:eastAsia="fr-FR"/>
                <w14:ligatures w14:val="none"/>
              </w:rPr>
              <w:t>SO</w:t>
            </w:r>
            <w:r>
              <w:rPr>
                <w:rFonts w:asciiTheme="majorBidi" w:hAnsiTheme="majorBidi" w:cstheme="majorBidi"/>
                <w:kern w:val="0"/>
                <w:sz w:val="24"/>
                <w:szCs w:val="24"/>
                <w:vertAlign w:val="subscript"/>
                <w:lang w:eastAsia="fr-FR"/>
                <w14:ligatures w14:val="none"/>
              </w:rPr>
              <w:t>4</w:t>
            </w:r>
          </w:p>
          <w:p w14:paraId="44681DCC"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tc>
        <w:tc>
          <w:tcPr>
            <w:tcW w:w="1796" w:type="dxa"/>
            <w:vMerge w:val="restart"/>
          </w:tcPr>
          <w:p w14:paraId="694BE2F7"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p w14:paraId="1F4EFEFD"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p w14:paraId="349900E9"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p w14:paraId="6CC4ABAE"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p w14:paraId="4FFB2586" w14:textId="77777777" w:rsidR="003E3FB4" w:rsidRDefault="00385ED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r>
              <w:rPr>
                <w:rFonts w:asciiTheme="majorBidi" w:hAnsiTheme="majorBidi" w:cstheme="majorBidi"/>
                <w:kern w:val="0"/>
                <w:sz w:val="24"/>
                <w:szCs w:val="24"/>
                <w:lang w:eastAsia="fr-FR"/>
                <w14:ligatures w14:val="none"/>
              </w:rPr>
              <w:t>Rouge</w:t>
            </w:r>
          </w:p>
        </w:tc>
        <w:tc>
          <w:tcPr>
            <w:tcW w:w="2028" w:type="dxa"/>
          </w:tcPr>
          <w:p w14:paraId="70DB747F" w14:textId="77777777" w:rsidR="003E3FB4" w:rsidRDefault="00385ED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r>
              <w:rPr>
                <w:noProof/>
                <w:kern w:val="0"/>
                <w:sz w:val="24"/>
                <w:szCs w:val="24"/>
                <w:lang w:eastAsia="fr-FR"/>
                <w14:ligatures w14:val="none"/>
              </w:rPr>
              <w:drawing>
                <wp:inline distT="0" distB="0" distL="0" distR="0" wp14:anchorId="47518508" wp14:editId="1D695F06">
                  <wp:extent cx="609600" cy="752475"/>
                  <wp:effectExtent l="0" t="0" r="0" b="9525"/>
                  <wp:docPr id="90144291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1442912" name="Image 1"/>
                          <pic:cNvPicPr>
                            <a:picLocks noChangeAspect="1"/>
                          </pic:cNvPicPr>
                        </pic:nvPicPr>
                        <pic:blipFill>
                          <a:blip r:embed="rId46"/>
                          <a:stretch>
                            <a:fillRect/>
                          </a:stretch>
                        </pic:blipFill>
                        <pic:spPr>
                          <a:xfrm>
                            <a:off x="0" y="0"/>
                            <a:ext cx="618080" cy="762943"/>
                          </a:xfrm>
                          <a:prstGeom prst="rect">
                            <a:avLst/>
                          </a:prstGeom>
                        </pic:spPr>
                      </pic:pic>
                    </a:graphicData>
                  </a:graphic>
                </wp:inline>
              </w:drawing>
            </w:r>
          </w:p>
        </w:tc>
        <w:tc>
          <w:tcPr>
            <w:tcW w:w="1243" w:type="dxa"/>
            <w:vMerge w:val="restart"/>
          </w:tcPr>
          <w:p w14:paraId="2E111EC7"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p w14:paraId="61D68ED5"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p w14:paraId="7F3279B6"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p w14:paraId="4E743061" w14:textId="77777777" w:rsidR="003E3FB4" w:rsidRDefault="00385ED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r>
              <w:rPr>
                <w:rFonts w:asciiTheme="majorBidi" w:hAnsiTheme="majorBidi" w:cstheme="majorBidi"/>
                <w:kern w:val="0"/>
                <w:sz w:val="24"/>
                <w:szCs w:val="24"/>
                <w:lang w:eastAsia="fr-FR"/>
                <w14:ligatures w14:val="none"/>
              </w:rPr>
              <w:t>+++</w:t>
            </w:r>
          </w:p>
          <w:p w14:paraId="5A70DD6B" w14:textId="77777777" w:rsidR="003E3FB4" w:rsidRDefault="00385ED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r>
              <w:rPr>
                <w:rFonts w:asciiTheme="majorBidi" w:hAnsiTheme="majorBidi" w:cstheme="majorBidi"/>
                <w:kern w:val="0"/>
                <w:sz w:val="24"/>
                <w:szCs w:val="24"/>
                <w:lang w:eastAsia="fr-FR"/>
                <w14:ligatures w14:val="none"/>
              </w:rPr>
              <w:t>Présence des stéroïdes</w:t>
            </w:r>
          </w:p>
          <w:p w14:paraId="36EB2617"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tc>
      </w:tr>
      <w:tr w:rsidR="003E3FB4" w14:paraId="7BAA01FE" w14:textId="77777777" w:rsidTr="003E3FB4">
        <w:tc>
          <w:tcPr>
            <w:cnfStyle w:val="001000000000" w:firstRow="0" w:lastRow="0" w:firstColumn="1" w:lastColumn="0" w:oddVBand="0" w:evenVBand="0" w:oddHBand="0" w:evenHBand="0" w:firstRowFirstColumn="0" w:firstRowLastColumn="0" w:lastRowFirstColumn="0" w:lastRowLastColumn="0"/>
            <w:tcW w:w="1443" w:type="dxa"/>
            <w:vMerge/>
          </w:tcPr>
          <w:p w14:paraId="6FE836F8" w14:textId="77777777" w:rsidR="003E3FB4" w:rsidRDefault="003E3FB4">
            <w:pPr>
              <w:spacing w:after="0" w:line="240" w:lineRule="auto"/>
              <w:jc w:val="center"/>
              <w:rPr>
                <w:rFonts w:asciiTheme="majorBidi" w:hAnsiTheme="majorBidi" w:cstheme="majorBidi"/>
                <w:b w:val="0"/>
                <w:bCs w:val="0"/>
                <w:kern w:val="0"/>
                <w:sz w:val="24"/>
                <w:szCs w:val="24"/>
                <w:lang w:eastAsia="fr-FR"/>
                <w14:ligatures w14:val="none"/>
              </w:rPr>
            </w:pPr>
          </w:p>
        </w:tc>
        <w:tc>
          <w:tcPr>
            <w:tcW w:w="989" w:type="dxa"/>
          </w:tcPr>
          <w:p w14:paraId="3A91C719"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kern w:val="0"/>
                <w:sz w:val="24"/>
                <w:szCs w:val="24"/>
                <w:lang w:eastAsia="fr-FR"/>
                <w14:ligatures w14:val="none"/>
              </w:rPr>
            </w:pPr>
          </w:p>
          <w:p w14:paraId="058FDF6E" w14:textId="77777777" w:rsidR="003E3FB4" w:rsidRDefault="00385ED0">
            <w:pPr>
              <w:spacing w:after="0" w:line="240" w:lineRule="auto"/>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kern w:val="0"/>
                <w:sz w:val="24"/>
                <w:szCs w:val="24"/>
                <w:lang w:eastAsia="fr-FR"/>
                <w14:ligatures w14:val="none"/>
              </w:rPr>
            </w:pPr>
            <w:r>
              <w:rPr>
                <w:rFonts w:asciiTheme="majorBidi" w:hAnsiTheme="majorBidi" w:cstheme="majorBidi"/>
                <w:b/>
                <w:bCs/>
                <w:kern w:val="0"/>
                <w:sz w:val="24"/>
                <w:szCs w:val="24"/>
                <w:lang w:eastAsia="fr-FR"/>
                <w14:ligatures w14:val="none"/>
              </w:rPr>
              <w:t xml:space="preserve">    Extrait éthanolique</w:t>
            </w:r>
          </w:p>
        </w:tc>
        <w:tc>
          <w:tcPr>
            <w:tcW w:w="1563" w:type="dxa"/>
            <w:vMerge/>
          </w:tcPr>
          <w:p w14:paraId="7B7B2E2A"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tc>
        <w:tc>
          <w:tcPr>
            <w:tcW w:w="1796" w:type="dxa"/>
            <w:vMerge/>
          </w:tcPr>
          <w:p w14:paraId="3FA6EBBB"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tc>
        <w:tc>
          <w:tcPr>
            <w:tcW w:w="2028" w:type="dxa"/>
          </w:tcPr>
          <w:p w14:paraId="01AE431F" w14:textId="77777777" w:rsidR="003E3FB4" w:rsidRDefault="00385ED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r>
              <w:rPr>
                <w:noProof/>
                <w:kern w:val="0"/>
                <w:sz w:val="24"/>
                <w:szCs w:val="24"/>
                <w:lang w:eastAsia="fr-FR"/>
                <w14:ligatures w14:val="none"/>
              </w:rPr>
              <w:drawing>
                <wp:inline distT="0" distB="0" distL="0" distR="0" wp14:anchorId="6E6F17DC" wp14:editId="36F332FB">
                  <wp:extent cx="561975" cy="790575"/>
                  <wp:effectExtent l="0" t="0" r="9525" b="9525"/>
                  <wp:docPr id="471771695"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771695" name="Image 1"/>
                          <pic:cNvPicPr>
                            <a:picLocks noChangeAspect="1"/>
                          </pic:cNvPicPr>
                        </pic:nvPicPr>
                        <pic:blipFill>
                          <a:blip r:embed="rId47"/>
                          <a:stretch>
                            <a:fillRect/>
                          </a:stretch>
                        </pic:blipFill>
                        <pic:spPr>
                          <a:xfrm>
                            <a:off x="0" y="0"/>
                            <a:ext cx="567873" cy="798872"/>
                          </a:xfrm>
                          <a:prstGeom prst="rect">
                            <a:avLst/>
                          </a:prstGeom>
                        </pic:spPr>
                      </pic:pic>
                    </a:graphicData>
                  </a:graphic>
                </wp:inline>
              </w:drawing>
            </w:r>
          </w:p>
        </w:tc>
        <w:tc>
          <w:tcPr>
            <w:tcW w:w="1243" w:type="dxa"/>
            <w:vMerge/>
          </w:tcPr>
          <w:p w14:paraId="1551BC1B"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tc>
      </w:tr>
      <w:tr w:rsidR="003E3FB4" w14:paraId="5762E718" w14:textId="77777777" w:rsidTr="003E3FB4">
        <w:trPr>
          <w:trHeight w:val="1121"/>
        </w:trPr>
        <w:tc>
          <w:tcPr>
            <w:cnfStyle w:val="001000000000" w:firstRow="0" w:lastRow="0" w:firstColumn="1" w:lastColumn="0" w:oddVBand="0" w:evenVBand="0" w:oddHBand="0" w:evenHBand="0" w:firstRowFirstColumn="0" w:firstRowLastColumn="0" w:lastRowFirstColumn="0" w:lastRowLastColumn="0"/>
            <w:tcW w:w="1443" w:type="dxa"/>
            <w:vMerge w:val="restart"/>
          </w:tcPr>
          <w:p w14:paraId="441B683B" w14:textId="77777777" w:rsidR="003E3FB4" w:rsidRDefault="003E3FB4">
            <w:pPr>
              <w:spacing w:after="0" w:line="240" w:lineRule="auto"/>
              <w:jc w:val="center"/>
              <w:rPr>
                <w:rFonts w:asciiTheme="majorBidi" w:hAnsiTheme="majorBidi" w:cstheme="majorBidi"/>
                <w:kern w:val="0"/>
                <w:sz w:val="24"/>
                <w:szCs w:val="24"/>
                <w:lang w:eastAsia="fr-FR"/>
                <w14:ligatures w14:val="none"/>
              </w:rPr>
            </w:pPr>
          </w:p>
          <w:p w14:paraId="6A7A7C1E" w14:textId="77777777" w:rsidR="003E3FB4" w:rsidRDefault="00385ED0">
            <w:pPr>
              <w:spacing w:after="0" w:line="240" w:lineRule="auto"/>
              <w:jc w:val="center"/>
              <w:rPr>
                <w:rFonts w:asciiTheme="majorBidi" w:hAnsiTheme="majorBidi" w:cstheme="majorBidi"/>
                <w:b w:val="0"/>
                <w:bCs w:val="0"/>
                <w:kern w:val="0"/>
                <w:sz w:val="24"/>
                <w:szCs w:val="24"/>
                <w:lang w:eastAsia="fr-FR"/>
                <w14:ligatures w14:val="none"/>
              </w:rPr>
            </w:pPr>
            <w:r>
              <w:rPr>
                <w:rFonts w:asciiTheme="majorBidi" w:hAnsiTheme="majorBidi" w:cstheme="majorBidi"/>
                <w:kern w:val="0"/>
                <w:sz w:val="24"/>
                <w:szCs w:val="24"/>
                <w:lang w:eastAsia="fr-FR"/>
                <w14:ligatures w14:val="none"/>
              </w:rPr>
              <w:t>Quinones libres</w:t>
            </w:r>
          </w:p>
        </w:tc>
        <w:tc>
          <w:tcPr>
            <w:tcW w:w="989" w:type="dxa"/>
          </w:tcPr>
          <w:p w14:paraId="77F87F2F"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kern w:val="0"/>
                <w:sz w:val="24"/>
                <w:szCs w:val="24"/>
                <w:lang w:eastAsia="fr-FR"/>
                <w14:ligatures w14:val="none"/>
              </w:rPr>
            </w:pPr>
          </w:p>
          <w:p w14:paraId="13342AAF" w14:textId="77777777" w:rsidR="003E3FB4" w:rsidRDefault="00385ED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kern w:val="0"/>
                <w:sz w:val="24"/>
                <w:szCs w:val="24"/>
                <w:lang w:eastAsia="fr-FR"/>
                <w14:ligatures w14:val="none"/>
              </w:rPr>
            </w:pPr>
            <w:r>
              <w:rPr>
                <w:rFonts w:asciiTheme="majorBidi" w:hAnsiTheme="majorBidi" w:cstheme="majorBidi"/>
                <w:b/>
                <w:bCs/>
                <w:kern w:val="0"/>
                <w:sz w:val="24"/>
                <w:szCs w:val="24"/>
                <w:lang w:eastAsia="fr-FR"/>
                <w14:ligatures w14:val="none"/>
              </w:rPr>
              <w:t>Extrait aqueux</w:t>
            </w:r>
          </w:p>
        </w:tc>
        <w:tc>
          <w:tcPr>
            <w:tcW w:w="1563" w:type="dxa"/>
            <w:vMerge w:val="restart"/>
          </w:tcPr>
          <w:p w14:paraId="535631BF"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p w14:paraId="2CBF52BE"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p w14:paraId="42D5FB25"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p w14:paraId="26109628" w14:textId="77777777" w:rsidR="003E3FB4" w:rsidRDefault="00385ED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r>
              <w:rPr>
                <w:rFonts w:asciiTheme="majorBidi" w:hAnsiTheme="majorBidi" w:cstheme="majorBidi"/>
                <w:kern w:val="0"/>
                <w:sz w:val="24"/>
                <w:szCs w:val="24"/>
                <w:lang w:eastAsia="fr-FR"/>
                <w14:ligatures w14:val="none"/>
              </w:rPr>
              <w:t>NaOH</w:t>
            </w:r>
          </w:p>
        </w:tc>
        <w:tc>
          <w:tcPr>
            <w:tcW w:w="1796" w:type="dxa"/>
            <w:vMerge w:val="restart"/>
          </w:tcPr>
          <w:p w14:paraId="655D3C98"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p w14:paraId="44EA78AC"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p w14:paraId="72243613"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p w14:paraId="723B5DB4" w14:textId="77777777" w:rsidR="003E3FB4" w:rsidRDefault="00385ED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r>
              <w:rPr>
                <w:rFonts w:asciiTheme="majorBidi" w:hAnsiTheme="majorBidi" w:cstheme="majorBidi"/>
                <w:kern w:val="0"/>
                <w:sz w:val="24"/>
                <w:szCs w:val="24"/>
                <w:lang w:eastAsia="fr-FR"/>
                <w14:ligatures w14:val="none"/>
              </w:rPr>
              <w:t>Rouge orangé</w:t>
            </w:r>
          </w:p>
        </w:tc>
        <w:tc>
          <w:tcPr>
            <w:tcW w:w="2028" w:type="dxa"/>
          </w:tcPr>
          <w:p w14:paraId="6A86A452" w14:textId="77777777" w:rsidR="003E3FB4" w:rsidRDefault="00385ED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r>
              <w:rPr>
                <w:noProof/>
                <w:kern w:val="0"/>
                <w:sz w:val="24"/>
                <w:szCs w:val="24"/>
                <w:lang w:eastAsia="fr-FR"/>
                <w14:ligatures w14:val="none"/>
              </w:rPr>
              <w:drawing>
                <wp:inline distT="0" distB="0" distL="0" distR="0" wp14:anchorId="2AF79BEE" wp14:editId="7825BDA5">
                  <wp:extent cx="599440" cy="657225"/>
                  <wp:effectExtent l="0" t="0" r="0" b="0"/>
                  <wp:docPr id="1729791348"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9791348" name="Image 1"/>
                          <pic:cNvPicPr>
                            <a:picLocks noChangeAspect="1"/>
                          </pic:cNvPicPr>
                        </pic:nvPicPr>
                        <pic:blipFill>
                          <a:blip r:embed="rId48"/>
                          <a:stretch>
                            <a:fillRect/>
                          </a:stretch>
                        </pic:blipFill>
                        <pic:spPr>
                          <a:xfrm>
                            <a:off x="0" y="0"/>
                            <a:ext cx="610244" cy="668643"/>
                          </a:xfrm>
                          <a:prstGeom prst="rect">
                            <a:avLst/>
                          </a:prstGeom>
                        </pic:spPr>
                      </pic:pic>
                    </a:graphicData>
                  </a:graphic>
                </wp:inline>
              </w:drawing>
            </w:r>
          </w:p>
        </w:tc>
        <w:tc>
          <w:tcPr>
            <w:tcW w:w="1243" w:type="dxa"/>
            <w:vMerge w:val="restart"/>
          </w:tcPr>
          <w:p w14:paraId="4A5AC736"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p w14:paraId="17995243"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p w14:paraId="6FF5A08A"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p w14:paraId="3D1CC3EC"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p w14:paraId="1394FCE5" w14:textId="77777777" w:rsidR="003E3FB4" w:rsidRDefault="00385ED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r>
              <w:rPr>
                <w:rFonts w:asciiTheme="majorBidi" w:hAnsiTheme="majorBidi" w:cstheme="majorBidi"/>
                <w:kern w:val="0"/>
                <w:sz w:val="24"/>
                <w:szCs w:val="24"/>
                <w:lang w:eastAsia="fr-FR"/>
                <w14:ligatures w14:val="none"/>
              </w:rPr>
              <w:t>++++</w:t>
            </w:r>
          </w:p>
          <w:p w14:paraId="55B68D98" w14:textId="77777777" w:rsidR="003E3FB4" w:rsidRDefault="003E3FB4">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tc>
      </w:tr>
      <w:tr w:rsidR="003E3FB4" w14:paraId="67C78404" w14:textId="77777777" w:rsidTr="003E3FB4">
        <w:tc>
          <w:tcPr>
            <w:cnfStyle w:val="001000000000" w:firstRow="0" w:lastRow="0" w:firstColumn="1" w:lastColumn="0" w:oddVBand="0" w:evenVBand="0" w:oddHBand="0" w:evenHBand="0" w:firstRowFirstColumn="0" w:firstRowLastColumn="0" w:lastRowFirstColumn="0" w:lastRowLastColumn="0"/>
            <w:tcW w:w="1443" w:type="dxa"/>
            <w:vMerge/>
          </w:tcPr>
          <w:p w14:paraId="08486C9F" w14:textId="77777777" w:rsidR="003E3FB4" w:rsidRDefault="003E3FB4">
            <w:pPr>
              <w:spacing w:after="0" w:line="240" w:lineRule="auto"/>
              <w:jc w:val="both"/>
              <w:rPr>
                <w:rFonts w:asciiTheme="majorBidi" w:hAnsiTheme="majorBidi" w:cstheme="majorBidi"/>
                <w:b w:val="0"/>
                <w:bCs w:val="0"/>
                <w:kern w:val="0"/>
                <w:sz w:val="24"/>
                <w:szCs w:val="24"/>
                <w:lang w:eastAsia="fr-FR"/>
                <w14:ligatures w14:val="none"/>
              </w:rPr>
            </w:pPr>
          </w:p>
        </w:tc>
        <w:tc>
          <w:tcPr>
            <w:tcW w:w="989" w:type="dxa"/>
          </w:tcPr>
          <w:p w14:paraId="5D7BCEA0" w14:textId="77777777" w:rsidR="003E3FB4" w:rsidRDefault="00385ED0">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kern w:val="0"/>
                <w:sz w:val="24"/>
                <w:szCs w:val="24"/>
                <w:lang w:eastAsia="fr-FR"/>
                <w14:ligatures w14:val="none"/>
              </w:rPr>
            </w:pPr>
            <w:r>
              <w:rPr>
                <w:rFonts w:asciiTheme="majorBidi" w:hAnsiTheme="majorBidi" w:cstheme="majorBidi"/>
                <w:b/>
                <w:bCs/>
                <w:kern w:val="0"/>
                <w:sz w:val="24"/>
                <w:szCs w:val="24"/>
                <w:lang w:eastAsia="fr-FR"/>
                <w14:ligatures w14:val="none"/>
              </w:rPr>
              <w:t>Extrait éthanolique</w:t>
            </w:r>
          </w:p>
        </w:tc>
        <w:tc>
          <w:tcPr>
            <w:tcW w:w="1563" w:type="dxa"/>
            <w:vMerge/>
          </w:tcPr>
          <w:p w14:paraId="71B2B92C" w14:textId="77777777" w:rsidR="003E3FB4" w:rsidRDefault="003E3FB4">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tc>
        <w:tc>
          <w:tcPr>
            <w:tcW w:w="1796" w:type="dxa"/>
            <w:vMerge/>
          </w:tcPr>
          <w:p w14:paraId="7076C026" w14:textId="77777777" w:rsidR="003E3FB4" w:rsidRDefault="003E3FB4">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tc>
        <w:tc>
          <w:tcPr>
            <w:tcW w:w="2028" w:type="dxa"/>
          </w:tcPr>
          <w:p w14:paraId="16B652B1" w14:textId="77777777" w:rsidR="003E3FB4" w:rsidRDefault="00385ED0">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r>
              <w:rPr>
                <w:kern w:val="0"/>
                <w:sz w:val="24"/>
                <w:szCs w:val="24"/>
                <w:lang w:eastAsia="fr-FR"/>
                <w14:ligatures w14:val="none"/>
              </w:rPr>
              <w:t xml:space="preserve">       </w:t>
            </w:r>
            <w:r>
              <w:rPr>
                <w:noProof/>
                <w:kern w:val="0"/>
                <w:sz w:val="24"/>
                <w:szCs w:val="24"/>
                <w:lang w:eastAsia="fr-FR"/>
                <w14:ligatures w14:val="none"/>
              </w:rPr>
              <w:drawing>
                <wp:inline distT="0" distB="0" distL="0" distR="0" wp14:anchorId="5AE94805" wp14:editId="427CC301">
                  <wp:extent cx="637540" cy="563245"/>
                  <wp:effectExtent l="0" t="0" r="0" b="8255"/>
                  <wp:docPr id="191567899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5678992" name="Image 1"/>
                          <pic:cNvPicPr>
                            <a:picLocks noChangeAspect="1"/>
                          </pic:cNvPicPr>
                        </pic:nvPicPr>
                        <pic:blipFill>
                          <a:blip r:embed="rId49"/>
                          <a:stretch>
                            <a:fillRect/>
                          </a:stretch>
                        </pic:blipFill>
                        <pic:spPr>
                          <a:xfrm>
                            <a:off x="0" y="0"/>
                            <a:ext cx="659416" cy="582572"/>
                          </a:xfrm>
                          <a:prstGeom prst="rect">
                            <a:avLst/>
                          </a:prstGeom>
                        </pic:spPr>
                      </pic:pic>
                    </a:graphicData>
                  </a:graphic>
                </wp:inline>
              </w:drawing>
            </w:r>
          </w:p>
        </w:tc>
        <w:tc>
          <w:tcPr>
            <w:tcW w:w="1243" w:type="dxa"/>
            <w:vMerge/>
          </w:tcPr>
          <w:p w14:paraId="6B8EFE87" w14:textId="77777777" w:rsidR="003E3FB4" w:rsidRDefault="003E3FB4">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kern w:val="0"/>
                <w:sz w:val="24"/>
                <w:szCs w:val="24"/>
                <w:lang w:eastAsia="fr-FR"/>
                <w14:ligatures w14:val="none"/>
              </w:rPr>
            </w:pPr>
          </w:p>
        </w:tc>
      </w:tr>
    </w:tbl>
    <w:p w14:paraId="6C207AC5" w14:textId="77777777" w:rsidR="003E3FB4" w:rsidRDefault="00385ED0">
      <w:pPr>
        <w:spacing w:after="0"/>
        <w:jc w:val="center"/>
        <w:rPr>
          <w:rFonts w:asciiTheme="majorBidi" w:hAnsiTheme="majorBidi" w:cstheme="majorBidi"/>
        </w:rPr>
      </w:pPr>
      <w:r>
        <w:rPr>
          <w:rFonts w:asciiTheme="majorBidi" w:hAnsiTheme="majorBidi" w:cstheme="majorBidi"/>
        </w:rPr>
        <w:t>(-) Absence, (+) Présence, - Négatif, + Faiblement positif, ++ Positif, +++ Fortement positif</w:t>
      </w:r>
    </w:p>
    <w:p w14:paraId="3512D84B" w14:textId="77777777" w:rsidR="003E3FB4" w:rsidRDefault="00385ED0">
      <w:pPr>
        <w:spacing w:after="0"/>
        <w:jc w:val="center"/>
        <w:rPr>
          <w:rFonts w:asciiTheme="majorBidi" w:hAnsiTheme="majorBidi" w:cstheme="majorBidi"/>
        </w:rPr>
      </w:pPr>
      <w:r>
        <w:rPr>
          <w:rFonts w:asciiTheme="majorBidi" w:hAnsiTheme="majorBidi" w:cstheme="majorBidi"/>
        </w:rPr>
        <w:t>E.A : Extrait aqueux, E.E : Extrait éthanolique</w:t>
      </w:r>
    </w:p>
    <w:p w14:paraId="2F00917C" w14:textId="77777777" w:rsidR="003E3FB4" w:rsidRDefault="003E3FB4">
      <w:pPr>
        <w:spacing w:after="0"/>
        <w:jc w:val="center"/>
        <w:rPr>
          <w:rFonts w:asciiTheme="majorBidi" w:hAnsiTheme="majorBidi" w:cstheme="majorBidi"/>
        </w:rPr>
      </w:pPr>
    </w:p>
    <w:p w14:paraId="43DA0C87" w14:textId="77777777" w:rsidR="003E3FB4" w:rsidRDefault="00385ED0">
      <w:pPr>
        <w:spacing w:line="360" w:lineRule="auto"/>
        <w:jc w:val="both"/>
        <w:rPr>
          <w:rFonts w:asciiTheme="majorBidi" w:hAnsiTheme="majorBidi" w:cstheme="majorBidi"/>
          <w:sz w:val="24"/>
          <w:szCs w:val="24"/>
        </w:rPr>
      </w:pPr>
      <w:r>
        <w:rPr>
          <w:rFonts w:asciiTheme="majorBidi" w:hAnsiTheme="majorBidi" w:cstheme="majorBidi"/>
          <w:sz w:val="24"/>
          <w:szCs w:val="24"/>
        </w:rPr>
        <w:lastRenderedPageBreak/>
        <w:t xml:space="preserve">          Ces résultats sont en accord avec ceux rapportés par </w:t>
      </w:r>
      <w:r>
        <w:rPr>
          <w:rFonts w:asciiTheme="majorBidi" w:hAnsiTheme="majorBidi" w:cstheme="majorBidi"/>
          <w:b/>
          <w:bCs/>
          <w:sz w:val="24"/>
          <w:szCs w:val="24"/>
        </w:rPr>
        <w:t xml:space="preserve">Sita Kumari et </w:t>
      </w:r>
      <w:r>
        <w:rPr>
          <w:rFonts w:asciiTheme="majorBidi" w:hAnsiTheme="majorBidi" w:cstheme="majorBidi"/>
          <w:b/>
          <w:bCs/>
          <w:i/>
          <w:iCs/>
          <w:sz w:val="24"/>
          <w:szCs w:val="24"/>
        </w:rPr>
        <w:t>al.</w:t>
      </w:r>
      <w:r>
        <w:rPr>
          <w:rFonts w:asciiTheme="majorBidi" w:hAnsiTheme="majorBidi" w:cstheme="majorBidi"/>
          <w:b/>
          <w:bCs/>
          <w:sz w:val="24"/>
          <w:szCs w:val="24"/>
        </w:rPr>
        <w:t>, (2016),</w:t>
      </w:r>
      <w:r>
        <w:rPr>
          <w:rFonts w:asciiTheme="majorBidi" w:hAnsiTheme="majorBidi" w:cstheme="majorBidi"/>
          <w:sz w:val="24"/>
          <w:szCs w:val="24"/>
        </w:rPr>
        <w:t xml:space="preserve"> qui ont indiqué la présence des alcaloïdes, tanins, flavonoïdes, saponines et quinones dans les deux extraits, avec une absence des anthraquinones uniquement dans l’extrait aqueux. L’étude de </w:t>
      </w:r>
      <w:r>
        <w:rPr>
          <w:rFonts w:asciiTheme="majorBidi" w:hAnsiTheme="majorBidi" w:cstheme="majorBidi"/>
          <w:b/>
          <w:bCs/>
          <w:sz w:val="24"/>
          <w:szCs w:val="24"/>
        </w:rPr>
        <w:t>Benziane et Issam, (2020)</w:t>
      </w:r>
      <w:r>
        <w:rPr>
          <w:rFonts w:asciiTheme="majorBidi" w:hAnsiTheme="majorBidi" w:cstheme="majorBidi"/>
          <w:sz w:val="24"/>
          <w:szCs w:val="24"/>
        </w:rPr>
        <w:t xml:space="preserve"> a également confirmé la présence des tanins, saponosides, flavonoïdes et anthraquinones libres, ce qui soutient nos résultats, bien que leur travail ait porté uniquement sur l’extrait aqueux. En revanche, les résultats de </w:t>
      </w:r>
      <w:r>
        <w:rPr>
          <w:rFonts w:asciiTheme="majorBidi" w:hAnsiTheme="majorBidi" w:cstheme="majorBidi"/>
          <w:b/>
          <w:bCs/>
          <w:sz w:val="24"/>
          <w:szCs w:val="24"/>
        </w:rPr>
        <w:t xml:space="preserve">Iqbal Khan et </w:t>
      </w:r>
      <w:r>
        <w:rPr>
          <w:rFonts w:asciiTheme="majorBidi" w:hAnsiTheme="majorBidi" w:cstheme="majorBidi"/>
          <w:b/>
          <w:bCs/>
          <w:i/>
          <w:iCs/>
          <w:sz w:val="24"/>
          <w:szCs w:val="24"/>
        </w:rPr>
        <w:t>al.</w:t>
      </w:r>
      <w:r>
        <w:rPr>
          <w:rFonts w:asciiTheme="majorBidi" w:hAnsiTheme="majorBidi" w:cstheme="majorBidi"/>
          <w:b/>
          <w:bCs/>
          <w:sz w:val="24"/>
          <w:szCs w:val="24"/>
        </w:rPr>
        <w:t>, (2019)</w:t>
      </w:r>
      <w:r>
        <w:rPr>
          <w:rFonts w:asciiTheme="majorBidi" w:hAnsiTheme="majorBidi" w:cstheme="majorBidi"/>
          <w:sz w:val="24"/>
          <w:szCs w:val="24"/>
        </w:rPr>
        <w:t xml:space="preserve"> montrent une concordance partielle, avec la présence des alcaloïdes, flavonoïdes, tanins et saponines uniquement dans l’extrait éthanolique, et l’absence des alcaloïdes et flavonoïdes dans l’extrait aqueux, contrairement à nos observations. De plus, l’étude de</w:t>
      </w:r>
      <w:r>
        <w:rPr>
          <w:rFonts w:asciiTheme="majorBidi" w:hAnsiTheme="majorBidi" w:cstheme="majorBidi"/>
          <w:b/>
          <w:bCs/>
          <w:sz w:val="24"/>
          <w:szCs w:val="24"/>
        </w:rPr>
        <w:t xml:space="preserve"> Mahmood et Yahya, (2017</w:t>
      </w:r>
      <w:r>
        <w:rPr>
          <w:rFonts w:asciiTheme="majorBidi" w:hAnsiTheme="majorBidi" w:cstheme="majorBidi"/>
          <w:sz w:val="24"/>
          <w:szCs w:val="24"/>
        </w:rPr>
        <w:t xml:space="preserve">) a révélé la présence des alcaloïdes et saponines dans les deux extraits, mais l'absence de flavonoïdes, ce qui diffère de nos résultats, surtout pour l’extrait aqueux. </w:t>
      </w:r>
    </w:p>
    <w:p w14:paraId="1F1F5FA7" w14:textId="77777777" w:rsidR="003E3FB4" w:rsidRDefault="00385ED0">
      <w:pPr>
        <w:spacing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Par ailleurs, </w:t>
      </w:r>
      <w:r>
        <w:rPr>
          <w:rFonts w:asciiTheme="majorBidi" w:hAnsiTheme="majorBidi" w:cstheme="majorBidi"/>
          <w:b/>
          <w:bCs/>
          <w:sz w:val="24"/>
          <w:szCs w:val="24"/>
        </w:rPr>
        <w:t xml:space="preserve">Chalghoumi et </w:t>
      </w:r>
      <w:r>
        <w:rPr>
          <w:rFonts w:asciiTheme="majorBidi" w:hAnsiTheme="majorBidi" w:cstheme="majorBidi"/>
          <w:b/>
          <w:bCs/>
          <w:i/>
          <w:iCs/>
          <w:sz w:val="24"/>
          <w:szCs w:val="24"/>
        </w:rPr>
        <w:t>al.</w:t>
      </w:r>
      <w:r>
        <w:rPr>
          <w:rFonts w:asciiTheme="majorBidi" w:hAnsiTheme="majorBidi" w:cstheme="majorBidi"/>
          <w:b/>
          <w:bCs/>
          <w:sz w:val="24"/>
          <w:szCs w:val="24"/>
        </w:rPr>
        <w:t xml:space="preserve">, (2020) </w:t>
      </w:r>
      <w:r>
        <w:rPr>
          <w:rFonts w:asciiTheme="majorBidi" w:hAnsiTheme="majorBidi" w:cstheme="majorBidi"/>
          <w:sz w:val="24"/>
          <w:szCs w:val="24"/>
        </w:rPr>
        <w:t>ont signalé l'absence d'alcaloïdes dans les deux extraits, avec la présence des tanins et des saponines, et des flavonoïdes uniquement dans l’extrait aqueux, ce qui contredit en grande partie nos résultats.</w:t>
      </w:r>
    </w:p>
    <w:p w14:paraId="11A53D86" w14:textId="77777777" w:rsidR="003E3FB4" w:rsidRDefault="00385ED0" w:rsidP="00257466">
      <w:pPr>
        <w:spacing w:line="360" w:lineRule="auto"/>
        <w:ind w:firstLine="567"/>
        <w:jc w:val="both"/>
        <w:rPr>
          <w:rFonts w:asciiTheme="majorBidi" w:hAnsiTheme="majorBidi" w:cstheme="majorBidi"/>
          <w:sz w:val="24"/>
          <w:szCs w:val="24"/>
        </w:rPr>
      </w:pPr>
      <w:r>
        <w:rPr>
          <w:rFonts w:asciiTheme="majorBidi" w:hAnsiTheme="majorBidi" w:cstheme="majorBidi"/>
          <w:sz w:val="24"/>
          <w:szCs w:val="24"/>
        </w:rPr>
        <w:t>Cette divergence entre notre étude et les résultats rapportés dans les études antérieures peut être expliquée par plusieurs facteurs, notamment la partie de la plante utilisée, la méthode de préparation, le type de solvant, ainsi que la nature des échantillons végétaux (lieu de culture, conditions climatiques, etc.).</w:t>
      </w:r>
    </w:p>
    <w:p w14:paraId="0B35E578" w14:textId="77777777" w:rsidR="003E3FB4" w:rsidRDefault="00385ED0">
      <w:pPr>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III.2.2. Analyses quantitatives des composés phénoliques.</w:t>
      </w:r>
    </w:p>
    <w:p w14:paraId="2DB0F161" w14:textId="77777777" w:rsidR="003E3FB4" w:rsidRDefault="00385ED0">
      <w:pPr>
        <w:spacing w:after="0" w:line="360" w:lineRule="auto"/>
        <w:jc w:val="both"/>
        <w:rPr>
          <w:rFonts w:asciiTheme="majorBidi" w:hAnsiTheme="majorBidi" w:cstheme="majorBidi"/>
          <w:b/>
          <w:bCs/>
          <w:sz w:val="24"/>
          <w:szCs w:val="24"/>
        </w:rPr>
      </w:pPr>
      <w:bookmarkStart w:id="33" w:name="_Hlk196062128"/>
      <w:r>
        <w:rPr>
          <w:rFonts w:asciiTheme="majorBidi" w:hAnsiTheme="majorBidi" w:cstheme="majorBidi"/>
          <w:b/>
          <w:bCs/>
          <w:sz w:val="24"/>
          <w:szCs w:val="24"/>
        </w:rPr>
        <w:t>III.2.2.1. Taux des polyphénols totaux.</w:t>
      </w:r>
    </w:p>
    <w:bookmarkEnd w:id="33"/>
    <w:p w14:paraId="7828E655" w14:textId="3C56ED00" w:rsidR="003E3FB4" w:rsidRDefault="00385ED0">
      <w:pPr>
        <w:spacing w:after="0"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 Les analyses quantitatives des polyphénols totaux sont déterminées à partir des équations de la régression linéaire de chaque courbe d’étalonnage exprimées successivement en (mg EAG/ g) d’extrait des graines de fenugrec (</w:t>
      </w:r>
      <w:r>
        <w:rPr>
          <w:rFonts w:asciiTheme="majorBidi" w:hAnsiTheme="majorBidi" w:cstheme="majorBidi"/>
          <w:b/>
          <w:bCs/>
          <w:sz w:val="24"/>
          <w:szCs w:val="24"/>
        </w:rPr>
        <w:t>annexe 2</w:t>
      </w:r>
      <w:r>
        <w:rPr>
          <w:rFonts w:asciiTheme="majorBidi" w:hAnsiTheme="majorBidi" w:cstheme="majorBidi"/>
          <w:sz w:val="24"/>
          <w:szCs w:val="24"/>
        </w:rPr>
        <w:t>).</w:t>
      </w:r>
    </w:p>
    <w:p w14:paraId="541951C0" w14:textId="77777777" w:rsidR="003E3FB4" w:rsidRDefault="00385ED0">
      <w:pPr>
        <w:spacing w:after="0" w:line="360" w:lineRule="auto"/>
        <w:ind w:firstLine="567"/>
        <w:jc w:val="both"/>
        <w:rPr>
          <w:rFonts w:asciiTheme="majorBidi" w:hAnsiTheme="majorBidi" w:cstheme="majorBidi"/>
          <w:sz w:val="24"/>
          <w:szCs w:val="24"/>
        </w:rPr>
      </w:pPr>
      <w:r>
        <w:rPr>
          <w:rFonts w:asciiTheme="majorBidi" w:hAnsiTheme="majorBidi" w:cstheme="majorBidi"/>
          <w:sz w:val="24"/>
          <w:szCs w:val="24"/>
        </w:rPr>
        <w:t>Les résultats de l’analyse de variance présentent une différence très significative entre les deux types d’extrait de fenugrec (</w:t>
      </w:r>
      <w:r>
        <w:rPr>
          <w:rFonts w:asciiTheme="majorBidi" w:hAnsiTheme="majorBidi" w:cstheme="majorBidi"/>
          <w:i/>
          <w:iCs/>
          <w:sz w:val="24"/>
          <w:szCs w:val="24"/>
        </w:rPr>
        <w:t>p</w:t>
      </w:r>
      <w:r>
        <w:rPr>
          <w:rFonts w:asciiTheme="majorBidi" w:hAnsiTheme="majorBidi" w:cstheme="majorBidi"/>
          <w:sz w:val="24"/>
          <w:szCs w:val="24"/>
        </w:rPr>
        <w:t xml:space="preserve">=0.0003 ; </w:t>
      </w:r>
      <w:r>
        <w:rPr>
          <w:rFonts w:asciiTheme="majorBidi" w:hAnsiTheme="majorBidi" w:cstheme="majorBidi"/>
          <w:i/>
          <w:iCs/>
          <w:sz w:val="24"/>
          <w:szCs w:val="24"/>
        </w:rPr>
        <w:t>p</w:t>
      </w:r>
      <w:r>
        <w:rPr>
          <w:rFonts w:asciiTheme="majorBidi" w:hAnsiTheme="majorBidi" w:cstheme="majorBidi"/>
          <w:sz w:val="24"/>
          <w:szCs w:val="24"/>
        </w:rPr>
        <w:t xml:space="preserve">&lt;0.05).  </w:t>
      </w:r>
    </w:p>
    <w:p w14:paraId="6A620ACA" w14:textId="77777777" w:rsidR="003E3FB4" w:rsidRDefault="003E3FB4">
      <w:pPr>
        <w:spacing w:after="0" w:line="240" w:lineRule="auto"/>
        <w:jc w:val="center"/>
        <w:rPr>
          <w:rFonts w:asciiTheme="majorBidi" w:hAnsiTheme="majorBidi" w:cstheme="majorBidi"/>
          <w:sz w:val="24"/>
          <w:szCs w:val="24"/>
        </w:rPr>
      </w:pPr>
    </w:p>
    <w:p w14:paraId="4E44D1A1" w14:textId="77777777" w:rsidR="003E3FB4" w:rsidRDefault="00385ED0">
      <w:pPr>
        <w:spacing w:after="0" w:line="240" w:lineRule="auto"/>
        <w:jc w:val="center"/>
        <w:rPr>
          <w:rFonts w:asciiTheme="majorBidi" w:hAnsiTheme="majorBidi" w:cstheme="majorBidi"/>
          <w:sz w:val="24"/>
          <w:szCs w:val="24"/>
        </w:rPr>
      </w:pPr>
      <w:r>
        <w:rPr>
          <w:noProof/>
          <w:sz w:val="24"/>
          <w:szCs w:val="24"/>
        </w:rPr>
        <w:lastRenderedPageBreak/>
        <w:drawing>
          <wp:inline distT="0" distB="0" distL="0" distR="0" wp14:anchorId="4751D960" wp14:editId="1C3F13E4">
            <wp:extent cx="3695700" cy="2390775"/>
            <wp:effectExtent l="0" t="0" r="0" b="9525"/>
            <wp:docPr id="808738889"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14:paraId="412AFD0F" w14:textId="77777777" w:rsidR="003E3FB4" w:rsidRDefault="003E3FB4">
      <w:pPr>
        <w:spacing w:after="0" w:line="240" w:lineRule="auto"/>
        <w:jc w:val="center"/>
        <w:rPr>
          <w:rFonts w:asciiTheme="majorBidi" w:hAnsiTheme="majorBidi" w:cstheme="majorBidi"/>
          <w:sz w:val="24"/>
          <w:szCs w:val="24"/>
        </w:rPr>
      </w:pPr>
    </w:p>
    <w:p w14:paraId="293AEDAF" w14:textId="77777777" w:rsidR="003E3FB4" w:rsidRDefault="00385ED0">
      <w:pPr>
        <w:jc w:val="center"/>
        <w:rPr>
          <w:rFonts w:asciiTheme="majorBidi" w:hAnsiTheme="majorBidi" w:cstheme="majorBidi"/>
          <w:sz w:val="24"/>
          <w:szCs w:val="24"/>
        </w:rPr>
      </w:pPr>
      <w:bookmarkStart w:id="34" w:name="_Hlk196241281"/>
      <w:r>
        <w:rPr>
          <w:rFonts w:asciiTheme="majorBidi" w:hAnsiTheme="majorBidi" w:cstheme="majorBidi"/>
          <w:b/>
          <w:bCs/>
          <w:sz w:val="24"/>
          <w:szCs w:val="24"/>
        </w:rPr>
        <w:t>Figure III.2.</w:t>
      </w:r>
      <w:r>
        <w:rPr>
          <w:rFonts w:asciiTheme="majorBidi" w:hAnsiTheme="majorBidi" w:cstheme="majorBidi"/>
          <w:sz w:val="24"/>
          <w:szCs w:val="24"/>
        </w:rPr>
        <w:t xml:space="preserve"> Le taux des polyphénols totaux dans l’extrait aqueux et l’extrait éthanolique de </w:t>
      </w:r>
      <w:r>
        <w:rPr>
          <w:rFonts w:asciiTheme="majorBidi" w:hAnsiTheme="majorBidi" w:cstheme="majorBidi"/>
          <w:i/>
          <w:iCs/>
          <w:sz w:val="24"/>
          <w:szCs w:val="24"/>
        </w:rPr>
        <w:t xml:space="preserve">Trigonella foenum-graecum </w:t>
      </w:r>
      <w:r>
        <w:rPr>
          <w:rFonts w:asciiTheme="majorBidi" w:hAnsiTheme="majorBidi" w:cstheme="majorBidi"/>
          <w:sz w:val="24"/>
          <w:szCs w:val="24"/>
        </w:rPr>
        <w:t>L.</w:t>
      </w:r>
    </w:p>
    <w:bookmarkEnd w:id="34"/>
    <w:p w14:paraId="54BD261E" w14:textId="77777777" w:rsidR="003E3FB4" w:rsidRDefault="00385ED0">
      <w:pPr>
        <w:spacing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Les résultats présentés dans </w:t>
      </w:r>
      <w:r>
        <w:rPr>
          <w:rFonts w:asciiTheme="majorBidi" w:hAnsiTheme="majorBidi" w:cstheme="majorBidi"/>
          <w:b/>
          <w:bCs/>
          <w:sz w:val="24"/>
          <w:szCs w:val="24"/>
        </w:rPr>
        <w:t>La figure III.2</w:t>
      </w:r>
      <w:r>
        <w:rPr>
          <w:rFonts w:asciiTheme="majorBidi" w:hAnsiTheme="majorBidi" w:cstheme="majorBidi"/>
          <w:sz w:val="24"/>
          <w:szCs w:val="24"/>
        </w:rPr>
        <w:t>, montrent que l’extrait aqueux est significativement le plus riche en polyphénols totaux avec une teneur de 196.9 mg EAG/g par rapport à l’extrait éthanolique de la même plante avec une teneur de 180 mg EAG/g.</w:t>
      </w:r>
    </w:p>
    <w:p w14:paraId="776C3B0A" w14:textId="7F55F047" w:rsidR="003E3FB4" w:rsidRDefault="00385ED0">
      <w:pPr>
        <w:spacing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À titre comparatif, </w:t>
      </w:r>
      <w:r>
        <w:rPr>
          <w:rFonts w:asciiTheme="majorBidi" w:hAnsiTheme="majorBidi" w:cstheme="majorBidi"/>
          <w:b/>
          <w:bCs/>
          <w:sz w:val="24"/>
          <w:szCs w:val="24"/>
        </w:rPr>
        <w:t xml:space="preserve">Lohvina et </w:t>
      </w:r>
      <w:r>
        <w:rPr>
          <w:rFonts w:asciiTheme="majorBidi" w:hAnsiTheme="majorBidi" w:cstheme="majorBidi"/>
          <w:b/>
          <w:bCs/>
          <w:i/>
          <w:iCs/>
          <w:sz w:val="24"/>
          <w:szCs w:val="24"/>
        </w:rPr>
        <w:t>al.</w:t>
      </w:r>
      <w:r>
        <w:rPr>
          <w:rFonts w:asciiTheme="majorBidi" w:hAnsiTheme="majorBidi" w:cstheme="majorBidi"/>
          <w:b/>
          <w:bCs/>
          <w:sz w:val="24"/>
          <w:szCs w:val="24"/>
        </w:rPr>
        <w:t>, (2022)</w:t>
      </w:r>
      <w:r>
        <w:rPr>
          <w:rFonts w:asciiTheme="majorBidi" w:hAnsiTheme="majorBidi" w:cstheme="majorBidi"/>
          <w:sz w:val="24"/>
          <w:szCs w:val="24"/>
        </w:rPr>
        <w:t xml:space="preserve"> ont rapporté des concentrations de 120,3 ± 6,1 mg </w:t>
      </w:r>
      <w:r w:rsidR="00257466">
        <w:rPr>
          <w:rFonts w:asciiTheme="majorBidi" w:hAnsiTheme="majorBidi" w:cstheme="majorBidi"/>
          <w:sz w:val="24"/>
          <w:szCs w:val="24"/>
        </w:rPr>
        <w:t>EAG</w:t>
      </w:r>
      <w:r>
        <w:rPr>
          <w:rFonts w:asciiTheme="majorBidi" w:hAnsiTheme="majorBidi" w:cstheme="majorBidi"/>
          <w:sz w:val="24"/>
          <w:szCs w:val="24"/>
        </w:rPr>
        <w:t xml:space="preserve">/g et 102,6 ± 5,1 mg </w:t>
      </w:r>
      <w:r w:rsidR="00257466">
        <w:rPr>
          <w:rFonts w:asciiTheme="majorBidi" w:hAnsiTheme="majorBidi" w:cstheme="majorBidi"/>
          <w:sz w:val="24"/>
          <w:szCs w:val="24"/>
        </w:rPr>
        <w:t>EAG</w:t>
      </w:r>
      <w:r>
        <w:rPr>
          <w:rFonts w:asciiTheme="majorBidi" w:hAnsiTheme="majorBidi" w:cstheme="majorBidi"/>
          <w:sz w:val="24"/>
          <w:szCs w:val="24"/>
        </w:rPr>
        <w:t xml:space="preserve">/g dans deux extraits éthanoliques distincts, des valeurs inférieures à celles obtenues dans le cadre de la présente étude. De même, </w:t>
      </w:r>
      <w:r>
        <w:rPr>
          <w:rFonts w:asciiTheme="majorBidi" w:hAnsiTheme="majorBidi" w:cstheme="majorBidi"/>
          <w:b/>
          <w:bCs/>
          <w:sz w:val="24"/>
          <w:szCs w:val="24"/>
        </w:rPr>
        <w:t>Ali et El Nour</w:t>
      </w:r>
      <w:r w:rsidR="00257466">
        <w:rPr>
          <w:rFonts w:asciiTheme="majorBidi" w:hAnsiTheme="majorBidi" w:cstheme="majorBidi"/>
          <w:b/>
          <w:bCs/>
          <w:sz w:val="24"/>
          <w:szCs w:val="24"/>
        </w:rPr>
        <w:t>,</w:t>
      </w:r>
      <w:r>
        <w:rPr>
          <w:rFonts w:asciiTheme="majorBidi" w:hAnsiTheme="majorBidi" w:cstheme="majorBidi"/>
          <w:b/>
          <w:bCs/>
          <w:sz w:val="24"/>
          <w:szCs w:val="24"/>
        </w:rPr>
        <w:t xml:space="preserve"> (2014)</w:t>
      </w:r>
      <w:r>
        <w:rPr>
          <w:rFonts w:asciiTheme="majorBidi" w:hAnsiTheme="majorBidi" w:cstheme="majorBidi"/>
          <w:sz w:val="24"/>
          <w:szCs w:val="24"/>
        </w:rPr>
        <w:t xml:space="preserve"> ont indiqué une teneur de 124,84 mg</w:t>
      </w:r>
      <w:r w:rsidR="00257466">
        <w:rPr>
          <w:rFonts w:asciiTheme="majorBidi" w:hAnsiTheme="majorBidi" w:cstheme="majorBidi"/>
          <w:sz w:val="24"/>
          <w:szCs w:val="24"/>
        </w:rPr>
        <w:t xml:space="preserve"> EAG</w:t>
      </w:r>
      <w:r>
        <w:rPr>
          <w:rFonts w:asciiTheme="majorBidi" w:hAnsiTheme="majorBidi" w:cstheme="majorBidi"/>
          <w:sz w:val="24"/>
          <w:szCs w:val="24"/>
        </w:rPr>
        <w:t>/</w:t>
      </w:r>
      <w:r w:rsidR="00257466">
        <w:rPr>
          <w:rFonts w:asciiTheme="majorBidi" w:hAnsiTheme="majorBidi" w:cstheme="majorBidi"/>
          <w:sz w:val="24"/>
          <w:szCs w:val="24"/>
        </w:rPr>
        <w:t>g</w:t>
      </w:r>
      <w:r>
        <w:rPr>
          <w:rFonts w:asciiTheme="majorBidi" w:hAnsiTheme="majorBidi" w:cstheme="majorBidi"/>
          <w:sz w:val="24"/>
          <w:szCs w:val="24"/>
        </w:rPr>
        <w:t xml:space="preserve"> dans un extrait méthanolique, ce qui demeure inférieur à celle mesurée dans notre extrait aqueux.</w:t>
      </w:r>
    </w:p>
    <w:p w14:paraId="0E21EF4A" w14:textId="16091790" w:rsidR="003E3FB4" w:rsidRDefault="00385ED0">
      <w:pPr>
        <w:spacing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Par ailleurs, plusieurs autres études ont rapporté des teneurs plus faibles en polyphénols totaux : </w:t>
      </w:r>
      <w:r>
        <w:rPr>
          <w:rFonts w:asciiTheme="majorBidi" w:hAnsiTheme="majorBidi" w:cstheme="majorBidi"/>
          <w:b/>
          <w:bCs/>
          <w:sz w:val="24"/>
          <w:szCs w:val="24"/>
        </w:rPr>
        <w:t xml:space="preserve">Khan et </w:t>
      </w:r>
      <w:r>
        <w:rPr>
          <w:rFonts w:asciiTheme="majorBidi" w:hAnsiTheme="majorBidi" w:cstheme="majorBidi"/>
          <w:b/>
          <w:bCs/>
          <w:i/>
          <w:iCs/>
          <w:sz w:val="24"/>
          <w:szCs w:val="24"/>
        </w:rPr>
        <w:t>al.</w:t>
      </w:r>
      <w:r>
        <w:rPr>
          <w:rFonts w:asciiTheme="majorBidi" w:hAnsiTheme="majorBidi" w:cstheme="majorBidi"/>
          <w:b/>
          <w:bCs/>
          <w:sz w:val="24"/>
          <w:szCs w:val="24"/>
        </w:rPr>
        <w:t>, (2019)</w:t>
      </w:r>
      <w:r>
        <w:rPr>
          <w:rFonts w:asciiTheme="majorBidi" w:hAnsiTheme="majorBidi" w:cstheme="majorBidi"/>
          <w:sz w:val="24"/>
          <w:szCs w:val="24"/>
        </w:rPr>
        <w:t xml:space="preserve"> avec 4,807 mg </w:t>
      </w:r>
      <w:r w:rsidR="00257466">
        <w:rPr>
          <w:rFonts w:asciiTheme="majorBidi" w:hAnsiTheme="majorBidi" w:cstheme="majorBidi"/>
          <w:sz w:val="24"/>
          <w:szCs w:val="24"/>
        </w:rPr>
        <w:t>EAG</w:t>
      </w:r>
      <w:r>
        <w:rPr>
          <w:rFonts w:asciiTheme="majorBidi" w:hAnsiTheme="majorBidi" w:cstheme="majorBidi"/>
          <w:sz w:val="24"/>
          <w:szCs w:val="24"/>
        </w:rPr>
        <w:t xml:space="preserve">/g, </w:t>
      </w:r>
      <w:r>
        <w:rPr>
          <w:rFonts w:asciiTheme="majorBidi" w:hAnsiTheme="majorBidi" w:cstheme="majorBidi"/>
          <w:b/>
          <w:bCs/>
          <w:sz w:val="24"/>
          <w:szCs w:val="24"/>
        </w:rPr>
        <w:t xml:space="preserve">Saxena et </w:t>
      </w:r>
      <w:r>
        <w:rPr>
          <w:rFonts w:asciiTheme="majorBidi" w:hAnsiTheme="majorBidi" w:cstheme="majorBidi"/>
          <w:b/>
          <w:bCs/>
          <w:i/>
          <w:iCs/>
          <w:sz w:val="24"/>
          <w:szCs w:val="24"/>
        </w:rPr>
        <w:t>al.</w:t>
      </w:r>
      <w:r>
        <w:rPr>
          <w:rFonts w:asciiTheme="majorBidi" w:hAnsiTheme="majorBidi" w:cstheme="majorBidi"/>
          <w:b/>
          <w:bCs/>
          <w:sz w:val="24"/>
          <w:szCs w:val="24"/>
        </w:rPr>
        <w:t>, (2011)</w:t>
      </w:r>
      <w:r>
        <w:rPr>
          <w:rFonts w:asciiTheme="majorBidi" w:hAnsiTheme="majorBidi" w:cstheme="majorBidi"/>
          <w:sz w:val="24"/>
          <w:szCs w:val="24"/>
        </w:rPr>
        <w:t xml:space="preserve"> avec 14,23 mg </w:t>
      </w:r>
      <w:r w:rsidR="00257466">
        <w:rPr>
          <w:rFonts w:asciiTheme="majorBidi" w:hAnsiTheme="majorBidi" w:cstheme="majorBidi"/>
          <w:sz w:val="24"/>
          <w:szCs w:val="24"/>
        </w:rPr>
        <w:t>EAG</w:t>
      </w:r>
      <w:r>
        <w:rPr>
          <w:rFonts w:asciiTheme="majorBidi" w:hAnsiTheme="majorBidi" w:cstheme="majorBidi"/>
          <w:sz w:val="24"/>
          <w:szCs w:val="24"/>
        </w:rPr>
        <w:t>/g dans l’extrait méthanolique et 16,07 mg</w:t>
      </w:r>
      <w:r w:rsidR="00257466">
        <w:rPr>
          <w:rFonts w:asciiTheme="majorBidi" w:hAnsiTheme="majorBidi" w:cstheme="majorBidi"/>
          <w:sz w:val="24"/>
          <w:szCs w:val="24"/>
        </w:rPr>
        <w:t xml:space="preserve"> EAG</w:t>
      </w:r>
      <w:r>
        <w:rPr>
          <w:rFonts w:asciiTheme="majorBidi" w:hAnsiTheme="majorBidi" w:cstheme="majorBidi"/>
          <w:sz w:val="24"/>
          <w:szCs w:val="24"/>
        </w:rPr>
        <w:t xml:space="preserve">/g dans l’extrait aqueux, </w:t>
      </w:r>
      <w:r>
        <w:rPr>
          <w:rFonts w:asciiTheme="majorBidi" w:hAnsiTheme="majorBidi" w:cstheme="majorBidi"/>
          <w:b/>
          <w:bCs/>
          <w:sz w:val="24"/>
          <w:szCs w:val="24"/>
        </w:rPr>
        <w:t xml:space="preserve">Bukhari et </w:t>
      </w:r>
      <w:r>
        <w:rPr>
          <w:rFonts w:asciiTheme="majorBidi" w:hAnsiTheme="majorBidi" w:cstheme="majorBidi"/>
          <w:b/>
          <w:bCs/>
          <w:i/>
          <w:iCs/>
          <w:sz w:val="24"/>
          <w:szCs w:val="24"/>
        </w:rPr>
        <w:t>al.,</w:t>
      </w:r>
      <w:r>
        <w:rPr>
          <w:rFonts w:asciiTheme="majorBidi" w:hAnsiTheme="majorBidi" w:cstheme="majorBidi"/>
          <w:b/>
          <w:bCs/>
          <w:sz w:val="24"/>
          <w:szCs w:val="24"/>
        </w:rPr>
        <w:t xml:space="preserve"> (2008)</w:t>
      </w:r>
      <w:r>
        <w:rPr>
          <w:rFonts w:asciiTheme="majorBidi" w:hAnsiTheme="majorBidi" w:cstheme="majorBidi"/>
          <w:sz w:val="24"/>
          <w:szCs w:val="24"/>
        </w:rPr>
        <w:t xml:space="preserve"> avec 6,85 ± 0,002 mg</w:t>
      </w:r>
      <w:r w:rsidR="00257466">
        <w:rPr>
          <w:rFonts w:asciiTheme="majorBidi" w:hAnsiTheme="majorBidi" w:cstheme="majorBidi"/>
          <w:sz w:val="24"/>
          <w:szCs w:val="24"/>
        </w:rPr>
        <w:t xml:space="preserve"> EAG</w:t>
      </w:r>
      <w:r>
        <w:rPr>
          <w:rFonts w:asciiTheme="majorBidi" w:hAnsiTheme="majorBidi" w:cstheme="majorBidi"/>
          <w:sz w:val="24"/>
          <w:szCs w:val="24"/>
        </w:rPr>
        <w:t xml:space="preserve">/g, et </w:t>
      </w:r>
      <w:r>
        <w:rPr>
          <w:rFonts w:asciiTheme="majorBidi" w:hAnsiTheme="majorBidi" w:cstheme="majorBidi"/>
          <w:b/>
          <w:bCs/>
          <w:sz w:val="24"/>
          <w:szCs w:val="24"/>
        </w:rPr>
        <w:t>Aylanc et</w:t>
      </w:r>
      <w:r>
        <w:rPr>
          <w:rFonts w:asciiTheme="majorBidi" w:hAnsiTheme="majorBidi" w:cstheme="majorBidi"/>
          <w:b/>
          <w:bCs/>
          <w:i/>
          <w:iCs/>
          <w:sz w:val="24"/>
          <w:szCs w:val="24"/>
        </w:rPr>
        <w:t xml:space="preserve"> al.</w:t>
      </w:r>
      <w:r>
        <w:rPr>
          <w:rFonts w:asciiTheme="majorBidi" w:hAnsiTheme="majorBidi" w:cstheme="majorBidi"/>
          <w:b/>
          <w:bCs/>
          <w:sz w:val="24"/>
          <w:szCs w:val="24"/>
        </w:rPr>
        <w:t>, (2020)</w:t>
      </w:r>
      <w:r>
        <w:rPr>
          <w:rFonts w:asciiTheme="majorBidi" w:hAnsiTheme="majorBidi" w:cstheme="majorBidi"/>
          <w:sz w:val="24"/>
          <w:szCs w:val="24"/>
        </w:rPr>
        <w:t xml:space="preserve"> avec 55,64 ± 1,45 mg </w:t>
      </w:r>
      <w:r w:rsidR="00257466">
        <w:rPr>
          <w:rFonts w:asciiTheme="majorBidi" w:hAnsiTheme="majorBidi" w:cstheme="majorBidi"/>
          <w:sz w:val="24"/>
          <w:szCs w:val="24"/>
        </w:rPr>
        <w:t>EAG</w:t>
      </w:r>
      <w:r>
        <w:rPr>
          <w:rFonts w:asciiTheme="majorBidi" w:hAnsiTheme="majorBidi" w:cstheme="majorBidi"/>
          <w:sz w:val="24"/>
          <w:szCs w:val="24"/>
        </w:rPr>
        <w:t xml:space="preserve">/g pour l’extrait éthanolique et 18,59 ± 2,73 mg </w:t>
      </w:r>
      <w:r w:rsidR="00257466">
        <w:rPr>
          <w:rFonts w:asciiTheme="majorBidi" w:hAnsiTheme="majorBidi" w:cstheme="majorBidi"/>
          <w:sz w:val="24"/>
          <w:szCs w:val="24"/>
        </w:rPr>
        <w:t>EAG</w:t>
      </w:r>
      <w:r>
        <w:rPr>
          <w:rFonts w:asciiTheme="majorBidi" w:hAnsiTheme="majorBidi" w:cstheme="majorBidi"/>
          <w:sz w:val="24"/>
          <w:szCs w:val="24"/>
        </w:rPr>
        <w:t>/g pour l’extrait aqueux.</w:t>
      </w:r>
    </w:p>
    <w:p w14:paraId="46E598B7" w14:textId="14DCBBED" w:rsidR="003E3FB4" w:rsidRDefault="00385ED0">
      <w:pPr>
        <w:spacing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En contexte algérien, les valeurs rapportées sont également inférieures : </w:t>
      </w:r>
      <w:r>
        <w:rPr>
          <w:rFonts w:asciiTheme="majorBidi" w:hAnsiTheme="majorBidi" w:cstheme="majorBidi"/>
          <w:b/>
          <w:bCs/>
          <w:sz w:val="24"/>
          <w:szCs w:val="24"/>
        </w:rPr>
        <w:t>Meddour, (2022)</w:t>
      </w:r>
      <w:r>
        <w:rPr>
          <w:rFonts w:asciiTheme="majorBidi" w:hAnsiTheme="majorBidi" w:cstheme="majorBidi"/>
          <w:sz w:val="24"/>
          <w:szCs w:val="24"/>
        </w:rPr>
        <w:t xml:space="preserve"> a obtenu des teneurs de 0,040 ± 0,003 mg EAG/g pour l’extrait aqueux et de 0,015 mg EAG/g pour l’extrait éthanolique, tandis que </w:t>
      </w:r>
      <w:r>
        <w:rPr>
          <w:rFonts w:asciiTheme="majorBidi" w:hAnsiTheme="majorBidi" w:cstheme="majorBidi"/>
          <w:b/>
          <w:bCs/>
          <w:sz w:val="24"/>
          <w:szCs w:val="24"/>
        </w:rPr>
        <w:t>Benziane et Issam, (2020)</w:t>
      </w:r>
      <w:r>
        <w:rPr>
          <w:rFonts w:asciiTheme="majorBidi" w:hAnsiTheme="majorBidi" w:cstheme="majorBidi"/>
          <w:sz w:val="24"/>
          <w:szCs w:val="24"/>
        </w:rPr>
        <w:t xml:space="preserve"> ont signalé une concentration de 18,9 ± 0,12 mg </w:t>
      </w:r>
      <w:r w:rsidR="00257466">
        <w:rPr>
          <w:rFonts w:asciiTheme="majorBidi" w:hAnsiTheme="majorBidi" w:cstheme="majorBidi"/>
          <w:sz w:val="24"/>
          <w:szCs w:val="24"/>
        </w:rPr>
        <w:t>EAG</w:t>
      </w:r>
      <w:r>
        <w:rPr>
          <w:rFonts w:asciiTheme="majorBidi" w:hAnsiTheme="majorBidi" w:cstheme="majorBidi"/>
          <w:sz w:val="24"/>
          <w:szCs w:val="24"/>
        </w:rPr>
        <w:t xml:space="preserve">/g. De son côté, </w:t>
      </w:r>
      <w:r>
        <w:rPr>
          <w:rFonts w:asciiTheme="majorBidi" w:hAnsiTheme="majorBidi" w:cstheme="majorBidi"/>
          <w:b/>
          <w:bCs/>
          <w:sz w:val="24"/>
          <w:szCs w:val="24"/>
        </w:rPr>
        <w:t>Benamira, (2022)</w:t>
      </w:r>
      <w:r>
        <w:rPr>
          <w:rFonts w:asciiTheme="majorBidi" w:hAnsiTheme="majorBidi" w:cstheme="majorBidi"/>
          <w:sz w:val="24"/>
          <w:szCs w:val="24"/>
        </w:rPr>
        <w:t xml:space="preserve"> a relevé une teneur de 653 ± 4,3 µg</w:t>
      </w:r>
      <w:r w:rsidR="00257466">
        <w:rPr>
          <w:rFonts w:asciiTheme="majorBidi" w:hAnsiTheme="majorBidi" w:cstheme="majorBidi"/>
          <w:sz w:val="24"/>
          <w:szCs w:val="24"/>
        </w:rPr>
        <w:t xml:space="preserve"> EAG</w:t>
      </w:r>
      <w:r>
        <w:rPr>
          <w:rFonts w:asciiTheme="majorBidi" w:hAnsiTheme="majorBidi" w:cstheme="majorBidi"/>
          <w:sz w:val="24"/>
          <w:szCs w:val="24"/>
        </w:rPr>
        <w:t>/g.</w:t>
      </w:r>
    </w:p>
    <w:p w14:paraId="51F1C1E6" w14:textId="77777777" w:rsidR="003E3FB4" w:rsidRDefault="00385ED0">
      <w:pPr>
        <w:spacing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Ces écarts peuvent être attribués à plusieurs facteurs, notamment la méthode d’extraction utilisée, les conditions opératoires (solvant, température, durée) ainsi que la variabilité </w:t>
      </w:r>
      <w:r>
        <w:rPr>
          <w:rFonts w:asciiTheme="majorBidi" w:hAnsiTheme="majorBidi" w:cstheme="majorBidi"/>
          <w:sz w:val="24"/>
          <w:szCs w:val="24"/>
        </w:rPr>
        <w:lastRenderedPageBreak/>
        <w:t>génétique et géographique des graines de fenugrec analysées. Les résultats obtenus dans cette étude mettent ainsi en évidence la richesse remarquable en polyphénols totaux de l’extrait aqueux étudié, suggérant un fort potentiel antioxydant.</w:t>
      </w:r>
    </w:p>
    <w:p w14:paraId="42A881CD" w14:textId="77777777" w:rsidR="003E3FB4" w:rsidRDefault="00385ED0">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III.2.2.2. Teneur en flavonoïdes</w:t>
      </w:r>
    </w:p>
    <w:p w14:paraId="558868DE" w14:textId="0FB036E5" w:rsidR="003E3FB4" w:rsidRPr="00B62620" w:rsidRDefault="00B62620">
      <w:pPr>
        <w:spacing w:line="360" w:lineRule="auto"/>
        <w:ind w:firstLine="567"/>
        <w:jc w:val="both"/>
        <w:rPr>
          <w:rFonts w:asciiTheme="majorBidi" w:hAnsiTheme="majorBidi" w:cstheme="majorBidi"/>
          <w:b/>
          <w:bCs/>
          <w:sz w:val="24"/>
          <w:szCs w:val="24"/>
        </w:rPr>
      </w:pPr>
      <w:r>
        <w:rPr>
          <w:rFonts w:asciiTheme="majorBidi" w:hAnsiTheme="majorBidi" w:cstheme="majorBidi"/>
          <w:sz w:val="24"/>
          <w:szCs w:val="24"/>
        </w:rPr>
        <w:t xml:space="preserve"> </w:t>
      </w:r>
      <w:r w:rsidRPr="00B62620">
        <w:rPr>
          <w:rFonts w:asciiTheme="majorBidi" w:hAnsiTheme="majorBidi" w:cstheme="majorBidi"/>
          <w:sz w:val="24"/>
          <w:szCs w:val="24"/>
        </w:rPr>
        <w:t xml:space="preserve">Les résultats de l’analyse de variance présentent une différence très significative entre les flavonoïdes des deux types d’extrait de fenugrec (p=0.002   p&lt;0.05).  </w:t>
      </w:r>
      <w:r w:rsidRPr="00B62620">
        <w:rPr>
          <w:rFonts w:asciiTheme="majorBidi" w:hAnsiTheme="majorBidi" w:cstheme="majorBidi"/>
          <w:b/>
          <w:bCs/>
          <w:sz w:val="24"/>
          <w:szCs w:val="24"/>
        </w:rPr>
        <w:t>(Figure III.3.)</w:t>
      </w:r>
    </w:p>
    <w:p w14:paraId="6D2BECDB" w14:textId="77777777" w:rsidR="003E3FB4" w:rsidRDefault="00385ED0">
      <w:pPr>
        <w:jc w:val="center"/>
        <w:rPr>
          <w:rFonts w:asciiTheme="majorBidi" w:hAnsiTheme="majorBidi" w:cstheme="majorBidi"/>
          <w:b/>
          <w:bCs/>
          <w:sz w:val="24"/>
          <w:szCs w:val="24"/>
        </w:rPr>
      </w:pPr>
      <w:r>
        <w:rPr>
          <w:noProof/>
          <w:sz w:val="24"/>
          <w:szCs w:val="24"/>
        </w:rPr>
        <mc:AlternateContent>
          <mc:Choice Requires="wps">
            <w:drawing>
              <wp:anchor distT="0" distB="0" distL="114300" distR="114300" simplePos="0" relativeHeight="251660288" behindDoc="0" locked="0" layoutInCell="1" allowOverlap="1" wp14:anchorId="52BDE788" wp14:editId="5A68257F">
                <wp:simplePos x="0" y="0"/>
                <wp:positionH relativeFrom="column">
                  <wp:posOffset>3714750</wp:posOffset>
                </wp:positionH>
                <wp:positionV relativeFrom="paragraph">
                  <wp:posOffset>869315</wp:posOffset>
                </wp:positionV>
                <wp:extent cx="476250" cy="276225"/>
                <wp:effectExtent l="0" t="0" r="0" b="0"/>
                <wp:wrapNone/>
                <wp:docPr id="1614559703" name="ZoneTexte 1"/>
                <wp:cNvGraphicFramePr/>
                <a:graphic xmlns:a="http://schemas.openxmlformats.org/drawingml/2006/main">
                  <a:graphicData uri="http://schemas.microsoft.com/office/word/2010/wordprocessingShape">
                    <wps:wsp>
                      <wps:cNvSpPr txBox="1"/>
                      <wps:spPr>
                        <a:xfrm>
                          <a:off x="0" y="0"/>
                          <a:ext cx="476250" cy="276225"/>
                        </a:xfrm>
                        <a:prstGeom prst="rect">
                          <a:avLst/>
                        </a:prstGeom>
                      </wps:spPr>
                      <wps:txbx>
                        <w:txbxContent>
                          <w:p w14:paraId="7E461D96" w14:textId="77777777" w:rsidR="003E3FB4" w:rsidRDefault="00385ED0">
                            <w:pPr>
                              <w:rPr>
                                <w:rFonts w:asciiTheme="majorBidi" w:hAnsiTheme="majorBidi" w:cstheme="majorBidi"/>
                                <w:b/>
                                <w:bCs/>
                                <w:kern w:val="24"/>
                                <w14:ligatures w14:val="none"/>
                              </w:rPr>
                            </w:pPr>
                            <w:proofErr w:type="gramStart"/>
                            <w:r>
                              <w:rPr>
                                <w:rFonts w:asciiTheme="majorBidi" w:hAnsiTheme="majorBidi" w:cstheme="majorBidi"/>
                                <w:b/>
                                <w:bCs/>
                                <w:kern w:val="24"/>
                              </w:rPr>
                              <w:t>b</w:t>
                            </w:r>
                            <w:proofErr w:type="gramEnd"/>
                          </w:p>
                        </w:txbxContent>
                      </wps:txbx>
                      <wps:bodyPr vertOverflow="clip" wrap="square" rtlCol="0"/>
                    </wps:wsp>
                  </a:graphicData>
                </a:graphic>
              </wp:anchor>
            </w:drawing>
          </mc:Choice>
          <mc:Fallback>
            <w:pict>
              <v:shapetype w14:anchorId="52BDE788" id="_x0000_t202" coordsize="21600,21600" o:spt="202" path="m,l,21600r21600,l21600,xe">
                <v:stroke joinstyle="miter"/>
                <v:path gradientshapeok="t" o:connecttype="rect"/>
              </v:shapetype>
              <v:shape id="ZoneTexte 1" o:spid="_x0000_s1029" type="#_x0000_t202" style="position:absolute;left:0;text-align:left;margin-left:292.5pt;margin-top:68.45pt;width:37.5pt;height:21.7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DuPXfAEAAN4CAAAOAAAAZHJzL2Uyb0RvYy54bWysUstOKzEM3SPxD1H2dMpweWjUFAkQd4MA&#10;CfiANJN0Ik3GwQ6d6d/jBGivLjvExnFs5/j4OIvLKfRiY5E8DEoez+ZS2MFA64e1ki/Pt0cXUlDS&#10;Q6t7GKySW0vycnl4sBhjY2vooG8tCgYZqBmjkl1KsakqMp0NmmYQ7cBJBxh04iuuqxb1yOihr+r5&#10;/KwaAduIYCwRR28+knJZ8J2zJj04RzaJXknmlorFYlfZVsuFbtaoY+fNJw39AxZB+4Gb7qBudNLi&#10;Df03qOANAoFLMwOhAue8sWUGnuZ4/t80T52OtszC4lDcyUS/B2vuN0/xEUWarmDiBWZBxkgNcTDP&#10;MzkM+WSmgvMs4XYnm52SMBz8c35Wn3LGcKpmvz7NKNX+cURKfy0EkR0lkbdSxNKbO0ofpV8l/G7f&#10;PntpWk3Ct0qefFFbQbtlxvzp0gMb18OopOl9lGLkRSpJr28arRSY+msoe889MhiLWIh9Ljxv6d97&#10;qdp/y+U7AAAA//8DAFBLAwQUAAYACAAAACEAXqoRzN4AAAALAQAADwAAAGRycy9kb3ducmV2Lnht&#10;bEyPzU7DMBCE70h9B2srcaM2pYnSNE5VgbiCKD9Sb268TSLidRS7TXh7lhM97sxo9ptiO7lOXHAI&#10;rScN9wsFAqnytqVaw8f7810GIkRD1nSeUMMPBtiWs5vC5NaP9IaXfawFl1DIjYYmxj6XMlQNOhMW&#10;vkdi7+QHZyKfQy3tYEYud51cKpVKZ1riD43p8bHB6nt/dho+X06Hr5V6rZ9c0o9+UpLcWmp9O592&#10;GxARp/gfhj98RoeSmY7+TDaITkOSJbwlsvGQrkFwIk0VK0dWMrUCWRbyekP5CwAA//8DAFBLAQIt&#10;ABQABgAIAAAAIQC2gziS/gAAAOEBAAATAAAAAAAAAAAAAAAAAAAAAABbQ29udGVudF9UeXBlc10u&#10;eG1sUEsBAi0AFAAGAAgAAAAhADj9If/WAAAAlAEAAAsAAAAAAAAAAAAAAAAALwEAAF9yZWxzLy5y&#10;ZWxzUEsBAi0AFAAGAAgAAAAhAGQO49d8AQAA3gIAAA4AAAAAAAAAAAAAAAAALgIAAGRycy9lMm9E&#10;b2MueG1sUEsBAi0AFAAGAAgAAAAhAF6qEczeAAAACwEAAA8AAAAAAAAAAAAAAAAA1gMAAGRycy9k&#10;b3ducmV2LnhtbFBLBQYAAAAABAAEAPMAAADhBAAAAAA=&#10;" filled="f" stroked="f">
                <v:textbox>
                  <w:txbxContent>
                    <w:p w14:paraId="7E461D96" w14:textId="77777777" w:rsidR="003E3FB4" w:rsidRDefault="00385ED0">
                      <w:pPr>
                        <w:rPr>
                          <w:rFonts w:asciiTheme="majorBidi" w:hAnsiTheme="majorBidi" w:cstheme="majorBidi"/>
                          <w:b/>
                          <w:bCs/>
                          <w:kern w:val="24"/>
                          <w14:ligatures w14:val="none"/>
                        </w:rPr>
                      </w:pPr>
                      <w:proofErr w:type="gramStart"/>
                      <w:r>
                        <w:rPr>
                          <w:rFonts w:asciiTheme="majorBidi" w:hAnsiTheme="majorBidi" w:cstheme="majorBidi"/>
                          <w:b/>
                          <w:bCs/>
                          <w:kern w:val="24"/>
                        </w:rPr>
                        <w:t>b</w:t>
                      </w:r>
                      <w:proofErr w:type="gramEnd"/>
                    </w:p>
                  </w:txbxContent>
                </v:textbox>
              </v:shape>
            </w:pict>
          </mc:Fallback>
        </mc:AlternateContent>
      </w:r>
      <w:r>
        <w:rPr>
          <w:noProof/>
          <w:sz w:val="24"/>
          <w:szCs w:val="24"/>
        </w:rPr>
        <w:drawing>
          <wp:inline distT="0" distB="0" distL="0" distR="0" wp14:anchorId="687351DA" wp14:editId="2B17F46F">
            <wp:extent cx="3609975" cy="2428875"/>
            <wp:effectExtent l="0" t="0" r="9525" b="9525"/>
            <wp:docPr id="874871106"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14:paraId="492A7017" w14:textId="15A19FC0" w:rsidR="003E3FB4" w:rsidRDefault="00385ED0">
      <w:pPr>
        <w:spacing w:line="240" w:lineRule="auto"/>
        <w:jc w:val="center"/>
        <w:rPr>
          <w:rFonts w:asciiTheme="majorBidi" w:hAnsiTheme="majorBidi" w:cstheme="majorBidi"/>
          <w:sz w:val="24"/>
          <w:szCs w:val="24"/>
        </w:rPr>
      </w:pPr>
      <w:r>
        <w:rPr>
          <w:rFonts w:asciiTheme="majorBidi" w:hAnsiTheme="majorBidi" w:cstheme="majorBidi"/>
          <w:b/>
          <w:bCs/>
          <w:sz w:val="24"/>
          <w:szCs w:val="24"/>
        </w:rPr>
        <w:t>Figure III.3.</w:t>
      </w:r>
      <w:r>
        <w:rPr>
          <w:rFonts w:asciiTheme="majorBidi" w:hAnsiTheme="majorBidi" w:cstheme="majorBidi"/>
          <w:sz w:val="24"/>
          <w:szCs w:val="24"/>
        </w:rPr>
        <w:t xml:space="preserve"> Le taux des </w:t>
      </w:r>
      <w:r w:rsidR="00B62620">
        <w:rPr>
          <w:rFonts w:asciiTheme="majorBidi" w:hAnsiTheme="majorBidi" w:cstheme="majorBidi"/>
          <w:sz w:val="24"/>
          <w:szCs w:val="24"/>
        </w:rPr>
        <w:t>flavonoïdes</w:t>
      </w:r>
      <w:r>
        <w:rPr>
          <w:rFonts w:asciiTheme="majorBidi" w:hAnsiTheme="majorBidi" w:cstheme="majorBidi"/>
          <w:sz w:val="24"/>
          <w:szCs w:val="24"/>
        </w:rPr>
        <w:t xml:space="preserve"> dans l’extrait aqueux et l’extrait éthanolique de </w:t>
      </w:r>
      <w:r>
        <w:rPr>
          <w:rFonts w:asciiTheme="majorBidi" w:hAnsiTheme="majorBidi" w:cstheme="majorBidi"/>
          <w:i/>
          <w:iCs/>
          <w:sz w:val="24"/>
          <w:szCs w:val="24"/>
        </w:rPr>
        <w:t>Trigonella foenum-graecum</w:t>
      </w:r>
      <w:r>
        <w:rPr>
          <w:rFonts w:asciiTheme="majorBidi" w:hAnsiTheme="majorBidi" w:cstheme="majorBidi"/>
          <w:sz w:val="24"/>
          <w:szCs w:val="24"/>
        </w:rPr>
        <w:t xml:space="preserve"> L.</w:t>
      </w:r>
    </w:p>
    <w:p w14:paraId="317AE526" w14:textId="77777777" w:rsidR="003E3FB4" w:rsidRDefault="00385ED0">
      <w:pPr>
        <w:spacing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D’après les résultats présentés dans la </w:t>
      </w:r>
      <w:r>
        <w:rPr>
          <w:rFonts w:asciiTheme="majorBidi" w:hAnsiTheme="majorBidi" w:cstheme="majorBidi"/>
          <w:b/>
          <w:bCs/>
          <w:sz w:val="24"/>
          <w:szCs w:val="24"/>
        </w:rPr>
        <w:t>figure III.3</w:t>
      </w:r>
      <w:r>
        <w:rPr>
          <w:rFonts w:asciiTheme="majorBidi" w:hAnsiTheme="majorBidi" w:cstheme="majorBidi"/>
          <w:sz w:val="24"/>
          <w:szCs w:val="24"/>
        </w:rPr>
        <w:t>, la teneur la plus élevées en flavonoïdes est constatées dans l’extrait aqueux avec une teneur de 32.72±1.16 mg EQ/g en outre l’extrait éthanolique de la même plante avec une teneur de 23.44±0.51 mg EQ/g.</w:t>
      </w:r>
    </w:p>
    <w:p w14:paraId="52B5B227" w14:textId="77777777" w:rsidR="003E3FB4" w:rsidRDefault="00385ED0">
      <w:pPr>
        <w:spacing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Nos résultats sont en accord avec ceux rapportés par </w:t>
      </w:r>
      <w:r>
        <w:rPr>
          <w:rFonts w:asciiTheme="majorBidi" w:hAnsiTheme="majorBidi" w:cstheme="majorBidi"/>
          <w:b/>
          <w:bCs/>
          <w:sz w:val="24"/>
          <w:szCs w:val="24"/>
        </w:rPr>
        <w:t xml:space="preserve">Volkan Aylanc et </w:t>
      </w:r>
      <w:r>
        <w:rPr>
          <w:rFonts w:asciiTheme="majorBidi" w:hAnsiTheme="majorBidi" w:cstheme="majorBidi"/>
          <w:b/>
          <w:bCs/>
          <w:i/>
          <w:iCs/>
          <w:sz w:val="24"/>
          <w:szCs w:val="24"/>
        </w:rPr>
        <w:t>al.</w:t>
      </w:r>
      <w:r>
        <w:rPr>
          <w:rFonts w:asciiTheme="majorBidi" w:hAnsiTheme="majorBidi" w:cstheme="majorBidi"/>
          <w:b/>
          <w:bCs/>
          <w:sz w:val="24"/>
          <w:szCs w:val="24"/>
        </w:rPr>
        <w:t>, (2020)</w:t>
      </w:r>
      <w:r>
        <w:rPr>
          <w:rFonts w:asciiTheme="majorBidi" w:hAnsiTheme="majorBidi" w:cstheme="majorBidi"/>
          <w:sz w:val="24"/>
          <w:szCs w:val="24"/>
        </w:rPr>
        <w:t>, qui ont obtenu 30,08 ± 1,14 mg EQ/g pour l’extrait éthanolique et 19,70 ± 0,88 mg EQ/g pour l’extrait aqueux, des valeurs proches mais légèrement inférieures à celles observées dans notre étude.</w:t>
      </w:r>
    </w:p>
    <w:p w14:paraId="1C6492BC" w14:textId="1330F77B" w:rsidR="003E3FB4" w:rsidRDefault="00385ED0" w:rsidP="00B62620">
      <w:pPr>
        <w:spacing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Les résultats obtenus dans la présente étude surpassent largement ceux rapportés dans plusieurs travaux antérieurs. </w:t>
      </w:r>
      <w:r>
        <w:rPr>
          <w:rFonts w:asciiTheme="majorBidi" w:hAnsiTheme="majorBidi" w:cstheme="majorBidi"/>
          <w:b/>
          <w:bCs/>
          <w:sz w:val="24"/>
          <w:szCs w:val="24"/>
        </w:rPr>
        <w:t xml:space="preserve">Perisoara et </w:t>
      </w:r>
      <w:r>
        <w:rPr>
          <w:rFonts w:asciiTheme="majorBidi" w:hAnsiTheme="majorBidi" w:cstheme="majorBidi"/>
          <w:b/>
          <w:bCs/>
          <w:i/>
          <w:iCs/>
          <w:sz w:val="24"/>
          <w:szCs w:val="24"/>
        </w:rPr>
        <w:t>al.</w:t>
      </w:r>
      <w:r>
        <w:rPr>
          <w:rFonts w:asciiTheme="majorBidi" w:hAnsiTheme="majorBidi" w:cstheme="majorBidi"/>
          <w:b/>
          <w:bCs/>
          <w:sz w:val="24"/>
          <w:szCs w:val="24"/>
        </w:rPr>
        <w:t>, (2023)</w:t>
      </w:r>
      <w:r>
        <w:rPr>
          <w:rFonts w:asciiTheme="majorBidi" w:hAnsiTheme="majorBidi" w:cstheme="majorBidi"/>
          <w:sz w:val="24"/>
          <w:szCs w:val="24"/>
        </w:rPr>
        <w:t xml:space="preserve"> ont mesuré une teneur de 1,863 ± 0,109 mg équivalents rutine/ml dans un extrait à 70 % d’éthanol, une valeur nettement inférieure à celle enregistrée dans notre extrait aqueux. </w:t>
      </w:r>
    </w:p>
    <w:p w14:paraId="595DF66F" w14:textId="7D6E353A" w:rsidR="003E3FB4" w:rsidRDefault="00385ED0" w:rsidP="00B62620">
      <w:pPr>
        <w:spacing w:line="360" w:lineRule="auto"/>
        <w:ind w:firstLine="567"/>
        <w:jc w:val="both"/>
        <w:rPr>
          <w:rFonts w:asciiTheme="majorBidi" w:hAnsiTheme="majorBidi" w:cstheme="majorBidi"/>
          <w:sz w:val="24"/>
          <w:szCs w:val="24"/>
        </w:rPr>
      </w:pPr>
      <w:r>
        <w:rPr>
          <w:rFonts w:asciiTheme="majorBidi" w:hAnsiTheme="majorBidi" w:cstheme="majorBidi"/>
          <w:b/>
          <w:bCs/>
          <w:sz w:val="24"/>
          <w:szCs w:val="24"/>
        </w:rPr>
        <w:t xml:space="preserve">Bukhari et </w:t>
      </w:r>
      <w:r>
        <w:rPr>
          <w:rFonts w:asciiTheme="majorBidi" w:hAnsiTheme="majorBidi" w:cstheme="majorBidi"/>
          <w:b/>
          <w:bCs/>
          <w:i/>
          <w:iCs/>
          <w:sz w:val="24"/>
          <w:szCs w:val="24"/>
        </w:rPr>
        <w:t>al.</w:t>
      </w:r>
      <w:r>
        <w:rPr>
          <w:rFonts w:asciiTheme="majorBidi" w:hAnsiTheme="majorBidi" w:cstheme="majorBidi"/>
          <w:b/>
          <w:bCs/>
          <w:sz w:val="24"/>
          <w:szCs w:val="24"/>
        </w:rPr>
        <w:t>, (2008)</w:t>
      </w:r>
      <w:r>
        <w:rPr>
          <w:rFonts w:asciiTheme="majorBidi" w:hAnsiTheme="majorBidi" w:cstheme="majorBidi"/>
          <w:sz w:val="24"/>
          <w:szCs w:val="24"/>
        </w:rPr>
        <w:t xml:space="preserve"> ont indiqué une teneur de 653 ± 4,3 µg</w:t>
      </w:r>
      <w:r w:rsidR="00B62620">
        <w:rPr>
          <w:rFonts w:asciiTheme="majorBidi" w:hAnsiTheme="majorBidi" w:cstheme="majorBidi"/>
          <w:sz w:val="24"/>
          <w:szCs w:val="24"/>
        </w:rPr>
        <w:t xml:space="preserve"> EQ</w:t>
      </w:r>
      <w:r>
        <w:rPr>
          <w:rFonts w:asciiTheme="majorBidi" w:hAnsiTheme="majorBidi" w:cstheme="majorBidi"/>
          <w:sz w:val="24"/>
          <w:szCs w:val="24"/>
        </w:rPr>
        <w:t xml:space="preserve">/g dans un extrait aqueux, soit bien en dessous des 32,72 mg EQ/g obtenus dans notre étude. </w:t>
      </w:r>
    </w:p>
    <w:p w14:paraId="04C3ECC0" w14:textId="77777777" w:rsidR="003E3FB4" w:rsidRDefault="00385ED0">
      <w:pPr>
        <w:spacing w:line="360" w:lineRule="auto"/>
        <w:ind w:firstLine="567"/>
        <w:jc w:val="both"/>
        <w:rPr>
          <w:rFonts w:asciiTheme="majorBidi" w:hAnsiTheme="majorBidi" w:cstheme="majorBidi"/>
          <w:sz w:val="24"/>
          <w:szCs w:val="24"/>
        </w:rPr>
      </w:pPr>
      <w:r>
        <w:rPr>
          <w:rFonts w:asciiTheme="majorBidi" w:hAnsiTheme="majorBidi" w:cstheme="majorBidi"/>
          <w:sz w:val="24"/>
          <w:szCs w:val="24"/>
        </w:rPr>
        <w:lastRenderedPageBreak/>
        <w:t xml:space="preserve">Par ailleurs, </w:t>
      </w:r>
      <w:r>
        <w:rPr>
          <w:rFonts w:asciiTheme="majorBidi" w:hAnsiTheme="majorBidi" w:cstheme="majorBidi"/>
          <w:b/>
          <w:bCs/>
          <w:sz w:val="24"/>
          <w:szCs w:val="24"/>
        </w:rPr>
        <w:t xml:space="preserve">Saxena et </w:t>
      </w:r>
      <w:r>
        <w:rPr>
          <w:rFonts w:asciiTheme="majorBidi" w:hAnsiTheme="majorBidi" w:cstheme="majorBidi"/>
          <w:b/>
          <w:bCs/>
          <w:i/>
          <w:iCs/>
          <w:sz w:val="24"/>
          <w:szCs w:val="24"/>
        </w:rPr>
        <w:t>al.</w:t>
      </w:r>
      <w:r>
        <w:rPr>
          <w:rFonts w:asciiTheme="majorBidi" w:hAnsiTheme="majorBidi" w:cstheme="majorBidi"/>
          <w:b/>
          <w:bCs/>
          <w:sz w:val="24"/>
          <w:szCs w:val="24"/>
        </w:rPr>
        <w:t>, (2011)</w:t>
      </w:r>
      <w:r>
        <w:rPr>
          <w:rFonts w:asciiTheme="majorBidi" w:hAnsiTheme="majorBidi" w:cstheme="majorBidi"/>
          <w:sz w:val="24"/>
          <w:szCs w:val="24"/>
        </w:rPr>
        <w:t xml:space="preserve"> ont rapporté des teneurs variantes entre 3,68 et 6,06 mg EQ/g selon le type d’extrait et la variété de graines de fenugrec utilisées. En Algérie, les études disponibles indiquent des teneurs encore plus faibles : </w:t>
      </w:r>
      <w:r>
        <w:rPr>
          <w:rFonts w:asciiTheme="majorBidi" w:hAnsiTheme="majorBidi" w:cstheme="majorBidi"/>
          <w:b/>
          <w:bCs/>
          <w:sz w:val="24"/>
          <w:szCs w:val="24"/>
        </w:rPr>
        <w:t>Meddour, (2022)</w:t>
      </w:r>
      <w:r>
        <w:rPr>
          <w:rFonts w:asciiTheme="majorBidi" w:hAnsiTheme="majorBidi" w:cstheme="majorBidi"/>
          <w:sz w:val="24"/>
          <w:szCs w:val="24"/>
        </w:rPr>
        <w:t xml:space="preserve"> a mesuré 1,011 ± 0,031 mg EQ/g pour l’extrait aqueux et seulement 0,203 ± 0,0155 mg EQ/g pour l’extrait éthanolique. Enfin, </w:t>
      </w:r>
      <w:r>
        <w:rPr>
          <w:rFonts w:asciiTheme="majorBidi" w:hAnsiTheme="majorBidi" w:cstheme="majorBidi"/>
          <w:b/>
          <w:bCs/>
          <w:sz w:val="24"/>
          <w:szCs w:val="24"/>
        </w:rPr>
        <w:t xml:space="preserve">Birjees Bukhari et </w:t>
      </w:r>
      <w:r>
        <w:rPr>
          <w:rFonts w:asciiTheme="majorBidi" w:hAnsiTheme="majorBidi" w:cstheme="majorBidi"/>
          <w:b/>
          <w:bCs/>
          <w:i/>
          <w:iCs/>
          <w:sz w:val="24"/>
          <w:szCs w:val="24"/>
        </w:rPr>
        <w:t>al.</w:t>
      </w:r>
      <w:r>
        <w:rPr>
          <w:rFonts w:asciiTheme="majorBidi" w:hAnsiTheme="majorBidi" w:cstheme="majorBidi"/>
          <w:b/>
          <w:bCs/>
          <w:sz w:val="24"/>
          <w:szCs w:val="24"/>
        </w:rPr>
        <w:t>, (2008)</w:t>
      </w:r>
      <w:r>
        <w:rPr>
          <w:rFonts w:asciiTheme="majorBidi" w:hAnsiTheme="majorBidi" w:cstheme="majorBidi"/>
          <w:sz w:val="24"/>
          <w:szCs w:val="24"/>
        </w:rPr>
        <w:t xml:space="preserve"> ont observé une des concentrations les plus faibles, avec 0,328 ± 0,0052 mg EQ/g.</w:t>
      </w:r>
    </w:p>
    <w:p w14:paraId="6B5E2EDB" w14:textId="414525B4" w:rsidR="003E3FB4" w:rsidRDefault="00385ED0">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B62620">
        <w:rPr>
          <w:rFonts w:asciiTheme="majorBidi" w:hAnsiTheme="majorBidi" w:cstheme="majorBidi"/>
          <w:sz w:val="24"/>
          <w:szCs w:val="24"/>
        </w:rPr>
        <w:t xml:space="preserve">     </w:t>
      </w:r>
      <w:r>
        <w:rPr>
          <w:rFonts w:asciiTheme="majorBidi" w:hAnsiTheme="majorBidi" w:cstheme="majorBidi"/>
          <w:sz w:val="24"/>
          <w:szCs w:val="24"/>
        </w:rPr>
        <w:t xml:space="preserve"> Les écarts observés entre les différentes études peuvent être attribués à plusieurs facteurs : la diversité des variétés et l’origine des graines de fenugrec, les conditions agroécologiques, les méthodes et conditions d’extraction (nature du solvant, température, durée, agitation, etc.), ainsi que les unités de mesure utilisées. En somme, les résultats de la présente étude mettent en évidence une teneur particulièrement élevée en flavonoïdes, notamment dans l’extrait aqueux, soulignant ainsi son potentiel biologique intéressant.</w:t>
      </w:r>
    </w:p>
    <w:p w14:paraId="17386EBD" w14:textId="77777777" w:rsidR="003E3FB4" w:rsidRDefault="00385ED0">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III.2.2.3. Quantités des tanins </w:t>
      </w:r>
    </w:p>
    <w:p w14:paraId="0713D45F" w14:textId="5703C2E4" w:rsidR="003E3FB4" w:rsidRPr="00B62620" w:rsidRDefault="00B62620" w:rsidP="00B62620">
      <w:pPr>
        <w:spacing w:line="360" w:lineRule="auto"/>
        <w:ind w:firstLine="567"/>
        <w:jc w:val="both"/>
        <w:rPr>
          <w:rFonts w:asciiTheme="majorBidi" w:hAnsiTheme="majorBidi" w:cstheme="majorBidi"/>
          <w:b/>
          <w:bCs/>
          <w:sz w:val="24"/>
          <w:szCs w:val="24"/>
        </w:rPr>
      </w:pPr>
      <w:r>
        <w:rPr>
          <w:rFonts w:asciiTheme="majorBidi" w:hAnsiTheme="majorBidi" w:cstheme="majorBidi"/>
          <w:sz w:val="24"/>
          <w:szCs w:val="24"/>
        </w:rPr>
        <w:t xml:space="preserve"> Les résultats de l’analyse de variance présentent une différence très significative entre les flavonoïdes des deux types d’extrait de fenugrec (</w:t>
      </w:r>
      <w:r>
        <w:rPr>
          <w:rFonts w:asciiTheme="majorBidi" w:hAnsiTheme="majorBidi" w:cstheme="majorBidi"/>
          <w:i/>
          <w:iCs/>
          <w:sz w:val="24"/>
          <w:szCs w:val="24"/>
        </w:rPr>
        <w:t>p</w:t>
      </w:r>
      <w:r>
        <w:rPr>
          <w:rFonts w:asciiTheme="majorBidi" w:hAnsiTheme="majorBidi" w:cstheme="majorBidi"/>
          <w:sz w:val="24"/>
          <w:szCs w:val="24"/>
        </w:rPr>
        <w:t xml:space="preserve">=1.2*10-5  </w:t>
      </w:r>
      <w:r>
        <w:rPr>
          <w:rFonts w:asciiTheme="majorBidi" w:hAnsiTheme="majorBidi" w:cstheme="majorBidi"/>
          <w:i/>
          <w:iCs/>
          <w:sz w:val="24"/>
          <w:szCs w:val="24"/>
        </w:rPr>
        <w:t xml:space="preserve"> p</w:t>
      </w:r>
      <w:r>
        <w:rPr>
          <w:rFonts w:asciiTheme="majorBidi" w:hAnsiTheme="majorBidi" w:cstheme="majorBidi"/>
          <w:sz w:val="24"/>
          <w:szCs w:val="24"/>
        </w:rPr>
        <w:t xml:space="preserve">&lt;0.05) </w:t>
      </w:r>
      <w:r w:rsidRPr="00B62620">
        <w:rPr>
          <w:rFonts w:asciiTheme="majorBidi" w:hAnsiTheme="majorBidi" w:cstheme="majorBidi"/>
          <w:b/>
          <w:bCs/>
          <w:sz w:val="24"/>
          <w:szCs w:val="24"/>
        </w:rPr>
        <w:t xml:space="preserve">(figure III.4.)  </w:t>
      </w:r>
    </w:p>
    <w:p w14:paraId="1EC70094" w14:textId="77777777" w:rsidR="003E3FB4" w:rsidRDefault="00385ED0">
      <w:pPr>
        <w:jc w:val="center"/>
        <w:rPr>
          <w:rFonts w:asciiTheme="majorBidi" w:hAnsiTheme="majorBidi" w:cstheme="majorBidi"/>
          <w:b/>
          <w:bCs/>
          <w:sz w:val="24"/>
          <w:szCs w:val="24"/>
        </w:rPr>
      </w:pPr>
      <w:r>
        <w:rPr>
          <w:noProof/>
          <w:sz w:val="24"/>
          <w:szCs w:val="24"/>
        </w:rPr>
        <mc:AlternateContent>
          <mc:Choice Requires="wps">
            <w:drawing>
              <wp:anchor distT="0" distB="0" distL="114300" distR="114300" simplePos="0" relativeHeight="251661312" behindDoc="0" locked="0" layoutInCell="1" allowOverlap="1" wp14:anchorId="510910CD" wp14:editId="63D67771">
                <wp:simplePos x="0" y="0"/>
                <wp:positionH relativeFrom="column">
                  <wp:posOffset>3589655</wp:posOffset>
                </wp:positionH>
                <wp:positionV relativeFrom="paragraph">
                  <wp:posOffset>102235</wp:posOffset>
                </wp:positionV>
                <wp:extent cx="533400" cy="238125"/>
                <wp:effectExtent l="0" t="0" r="0" b="0"/>
                <wp:wrapNone/>
                <wp:docPr id="2" name="ZoneTexte 2"/>
                <wp:cNvGraphicFramePr/>
                <a:graphic xmlns:a="http://schemas.openxmlformats.org/drawingml/2006/main">
                  <a:graphicData uri="http://schemas.microsoft.com/office/word/2010/wordprocessingShape">
                    <wps:wsp>
                      <wps:cNvSpPr txBox="1"/>
                      <wps:spPr>
                        <a:xfrm>
                          <a:off x="0" y="0"/>
                          <a:ext cx="533400" cy="238125"/>
                        </a:xfrm>
                        <a:prstGeom prst="rect">
                          <a:avLst/>
                        </a:prstGeom>
                      </wps:spPr>
                      <wps:txbx>
                        <w:txbxContent>
                          <w:p w14:paraId="4557C419" w14:textId="77777777" w:rsidR="003E3FB4" w:rsidRDefault="00385ED0">
                            <w:pPr>
                              <w:rPr>
                                <w:rFonts w:ascii="Times New Roman" w:hAnsi="Times New Roman" w:cs="Times New Roman"/>
                                <w:b/>
                                <w:bCs/>
                                <w:kern w:val="24"/>
                                <w14:ligatures w14:val="none"/>
                              </w:rPr>
                            </w:pPr>
                            <w:proofErr w:type="gramStart"/>
                            <w:r>
                              <w:rPr>
                                <w:rFonts w:ascii="Times New Roman" w:hAnsi="Times New Roman" w:cs="Times New Roman"/>
                                <w:b/>
                                <w:bCs/>
                                <w:kern w:val="24"/>
                              </w:rPr>
                              <w:t>a</w:t>
                            </w:r>
                            <w:proofErr w:type="gramEnd"/>
                          </w:p>
                        </w:txbxContent>
                      </wps:txbx>
                      <wps:bodyPr vertOverflow="clip" wrap="square" rtlCol="0"/>
                    </wps:wsp>
                  </a:graphicData>
                </a:graphic>
              </wp:anchor>
            </w:drawing>
          </mc:Choice>
          <mc:Fallback>
            <w:pict>
              <v:shape w14:anchorId="510910CD" id="ZoneTexte 2" o:spid="_x0000_s1030" type="#_x0000_t202" style="position:absolute;left:0;text-align:left;margin-left:282.65pt;margin-top:8.05pt;width:42pt;height:18.7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IHUpfgEAAN4CAAAOAAAAZHJzL2Uyb0RvYy54bWysUsFO4zAQvSPtP1i+b5O2gFBUt9KC2MsK&#10;kIAPcB27sRRnzIxp0r9nbKBF7G21l7E9Y795855Xmyn0Ym+RPAxKzme1FHYw0Pphp+Tz0+3PKyko&#10;6aHVPQxWyYMluVn/OFuNsbEL6KBvLQoGGagZo5JdSrGpKjKdDZpmEO3ARQcYdOIj7qoW9cjooa8W&#10;dX1ZjYBtRDCWiLM370W5LvjOWZPunSObRK8kc0slYonbHKv1Sjc71LHz5oOG/gcWQfuBmx6hbnTS&#10;4hX9X1DBGwQCl2YGQgXOeWPLDDzNvP42zWOnoy2zsDgUjzLR/4M1d/vH+IAiTb9gYgOzIGOkhjiZ&#10;55kchrwyU8F1lvBwlM1OSRhOXiyX5zVXDJcWy6v54iKjVKfHESn9thBE3iiJ7EoRS+//UHq/+nmF&#10;353a512atpPwrZLnn9S20B6YMX+6dM/B9TAqaXofpRjZSCXp5VWjlQJTfw3F99wjg7GIhdiH4dml&#10;r+dy6/Qt128AAAD//wMAUEsDBBQABgAIAAAAIQBHAHJI3QAAAAkBAAAPAAAAZHJzL2Rvd25yZXYu&#10;eG1sTI9NT8MwDIbvSPsPkSdxY8nYGrHSdJpAXEGMD4lb1nhttcapmmwt/x5zgqP9vHr9uNhOvhMX&#10;HGIbyMByoUAgVcG1VBt4f3u6uQMRkyVnu0Bo4BsjbMvZVWFzF0Z6xcs+1YJLKObWQJNSn0sZqwa9&#10;jYvQIzE7hsHbxONQSzfYkct9J2+V0tLblvhCY3t8aLA67c/ewMfz8etzrV7qR5/1Y5iUJL+RxlzP&#10;p909iIRT+gvDrz6rQ8lOh3AmF0VnINPZiqMM9BIEB/R6w4sDk5UGWRby/wflDwAAAP//AwBQSwEC&#10;LQAUAAYACAAAACEAtoM4kv4AAADhAQAAEwAAAAAAAAAAAAAAAAAAAAAAW0NvbnRlbnRfVHlwZXNd&#10;LnhtbFBLAQItABQABgAIAAAAIQA4/SH/1gAAAJQBAAALAAAAAAAAAAAAAAAAAC8BAABfcmVscy8u&#10;cmVsc1BLAQItABQABgAIAAAAIQDRIHUpfgEAAN4CAAAOAAAAAAAAAAAAAAAAAC4CAABkcnMvZTJv&#10;RG9jLnhtbFBLAQItABQABgAIAAAAIQBHAHJI3QAAAAkBAAAPAAAAAAAAAAAAAAAAANgDAABkcnMv&#10;ZG93bnJldi54bWxQSwUGAAAAAAQABADzAAAA4gQAAAAA&#10;" filled="f" stroked="f">
                <v:textbox>
                  <w:txbxContent>
                    <w:p w14:paraId="4557C419" w14:textId="77777777" w:rsidR="003E3FB4" w:rsidRDefault="00385ED0">
                      <w:pPr>
                        <w:rPr>
                          <w:rFonts w:ascii="Times New Roman" w:hAnsi="Times New Roman" w:cs="Times New Roman"/>
                          <w:b/>
                          <w:bCs/>
                          <w:kern w:val="24"/>
                          <w14:ligatures w14:val="none"/>
                        </w:rPr>
                      </w:pPr>
                      <w:proofErr w:type="gramStart"/>
                      <w:r>
                        <w:rPr>
                          <w:rFonts w:ascii="Times New Roman" w:hAnsi="Times New Roman" w:cs="Times New Roman"/>
                          <w:b/>
                          <w:bCs/>
                          <w:kern w:val="24"/>
                        </w:rPr>
                        <w:t>a</w:t>
                      </w:r>
                      <w:proofErr w:type="gramEnd"/>
                    </w:p>
                  </w:txbxContent>
                </v:textbox>
              </v:shape>
            </w:pict>
          </mc:Fallback>
        </mc:AlternateContent>
      </w:r>
      <w:r>
        <w:rPr>
          <w:noProof/>
          <w:sz w:val="24"/>
          <w:szCs w:val="24"/>
        </w:rPr>
        <w:drawing>
          <wp:inline distT="0" distB="0" distL="0" distR="0" wp14:anchorId="35B10444" wp14:editId="424AB0B4">
            <wp:extent cx="3257550" cy="2286000"/>
            <wp:effectExtent l="0" t="0" r="0" b="0"/>
            <wp:docPr id="783526022"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r>
        <w:rPr>
          <w:sz w:val="24"/>
          <w:szCs w:val="24"/>
        </w:rPr>
        <w:t xml:space="preserve"> </w:t>
      </w:r>
    </w:p>
    <w:p w14:paraId="536DECDB" w14:textId="77777777" w:rsidR="003E3FB4" w:rsidRDefault="00385ED0">
      <w:pPr>
        <w:jc w:val="center"/>
        <w:rPr>
          <w:rFonts w:asciiTheme="majorBidi" w:hAnsiTheme="majorBidi" w:cstheme="majorBidi"/>
          <w:sz w:val="24"/>
          <w:szCs w:val="24"/>
        </w:rPr>
      </w:pPr>
      <w:r>
        <w:rPr>
          <w:rFonts w:asciiTheme="majorBidi" w:hAnsiTheme="majorBidi" w:cstheme="majorBidi"/>
          <w:b/>
          <w:bCs/>
          <w:sz w:val="24"/>
          <w:szCs w:val="24"/>
        </w:rPr>
        <w:t xml:space="preserve">Figure III.4. </w:t>
      </w:r>
      <w:r>
        <w:rPr>
          <w:rFonts w:asciiTheme="majorBidi" w:hAnsiTheme="majorBidi" w:cstheme="majorBidi"/>
          <w:sz w:val="24"/>
          <w:szCs w:val="24"/>
        </w:rPr>
        <w:t xml:space="preserve">Le taux des tanins dans l’extrait aqueux et l’extrait éthanolique de </w:t>
      </w:r>
      <w:bookmarkStart w:id="35" w:name="_Hlk196245201"/>
      <w:r>
        <w:rPr>
          <w:rFonts w:asciiTheme="majorBidi" w:hAnsiTheme="majorBidi" w:cstheme="majorBidi"/>
          <w:i/>
          <w:iCs/>
          <w:sz w:val="24"/>
          <w:szCs w:val="24"/>
        </w:rPr>
        <w:t>Trigonella foenum-graecum</w:t>
      </w:r>
      <w:r>
        <w:rPr>
          <w:rFonts w:asciiTheme="majorBidi" w:hAnsiTheme="majorBidi" w:cstheme="majorBidi"/>
          <w:sz w:val="24"/>
          <w:szCs w:val="24"/>
        </w:rPr>
        <w:t xml:space="preserve"> L.</w:t>
      </w:r>
      <w:bookmarkEnd w:id="35"/>
    </w:p>
    <w:p w14:paraId="3B246526" w14:textId="232CFA28" w:rsidR="003E3FB4" w:rsidRDefault="00385ED0">
      <w:pPr>
        <w:spacing w:after="0" w:line="360" w:lineRule="auto"/>
        <w:ind w:firstLine="708"/>
        <w:jc w:val="both"/>
        <w:rPr>
          <w:rFonts w:asciiTheme="majorBidi" w:hAnsiTheme="majorBidi" w:cstheme="majorBidi"/>
          <w:sz w:val="24"/>
          <w:szCs w:val="24"/>
        </w:rPr>
      </w:pPr>
      <w:r>
        <w:rPr>
          <w:rFonts w:asciiTheme="majorBidi" w:hAnsiTheme="majorBidi" w:cstheme="majorBidi"/>
          <w:sz w:val="24"/>
          <w:szCs w:val="24"/>
        </w:rPr>
        <w:t xml:space="preserve">Les résultats présentés dans la </w:t>
      </w:r>
      <w:r>
        <w:rPr>
          <w:rFonts w:asciiTheme="majorBidi" w:hAnsiTheme="majorBidi" w:cstheme="majorBidi"/>
          <w:b/>
          <w:bCs/>
          <w:sz w:val="24"/>
          <w:szCs w:val="24"/>
        </w:rPr>
        <w:t>figure III.4</w:t>
      </w:r>
      <w:r>
        <w:rPr>
          <w:rFonts w:asciiTheme="majorBidi" w:hAnsiTheme="majorBidi" w:cstheme="majorBidi"/>
          <w:sz w:val="24"/>
          <w:szCs w:val="24"/>
        </w:rPr>
        <w:t xml:space="preserve">, montrent que la teneur des tanins d’extrait éthanolique est supérieure en comparaison avec l’extrait aqueux de fenugrec une teneur de (10.34±0.09 </w:t>
      </w:r>
      <w:bookmarkStart w:id="36" w:name="_Hlk196242629"/>
      <w:r>
        <w:rPr>
          <w:rFonts w:asciiTheme="majorBidi" w:hAnsiTheme="majorBidi" w:cstheme="majorBidi"/>
          <w:sz w:val="24"/>
          <w:szCs w:val="24"/>
        </w:rPr>
        <w:t xml:space="preserve">mg </w:t>
      </w:r>
      <w:r w:rsidR="00B62620">
        <w:rPr>
          <w:rFonts w:asciiTheme="majorBidi" w:hAnsiTheme="majorBidi" w:cstheme="majorBidi"/>
          <w:sz w:val="24"/>
          <w:szCs w:val="24"/>
        </w:rPr>
        <w:t>EC</w:t>
      </w:r>
      <w:r>
        <w:rPr>
          <w:rFonts w:asciiTheme="majorBidi" w:hAnsiTheme="majorBidi" w:cstheme="majorBidi"/>
          <w:sz w:val="24"/>
          <w:szCs w:val="24"/>
        </w:rPr>
        <w:t>/g</w:t>
      </w:r>
      <w:bookmarkEnd w:id="36"/>
      <w:r>
        <w:rPr>
          <w:rFonts w:asciiTheme="majorBidi" w:hAnsiTheme="majorBidi" w:cstheme="majorBidi"/>
          <w:sz w:val="24"/>
          <w:szCs w:val="24"/>
        </w:rPr>
        <w:t xml:space="preserve"> et 16.3±0.06</w:t>
      </w:r>
      <w:r>
        <w:rPr>
          <w:sz w:val="24"/>
          <w:szCs w:val="24"/>
        </w:rPr>
        <w:t xml:space="preserve"> </w:t>
      </w:r>
      <w:r>
        <w:rPr>
          <w:rFonts w:asciiTheme="majorBidi" w:hAnsiTheme="majorBidi" w:cstheme="majorBidi"/>
          <w:sz w:val="24"/>
          <w:szCs w:val="24"/>
        </w:rPr>
        <w:t>mg E</w:t>
      </w:r>
      <w:r w:rsidR="00B62620">
        <w:rPr>
          <w:rFonts w:asciiTheme="majorBidi" w:hAnsiTheme="majorBidi" w:cstheme="majorBidi"/>
          <w:sz w:val="24"/>
          <w:szCs w:val="24"/>
        </w:rPr>
        <w:t>C</w:t>
      </w:r>
      <w:r>
        <w:rPr>
          <w:rFonts w:asciiTheme="majorBidi" w:hAnsiTheme="majorBidi" w:cstheme="majorBidi"/>
          <w:sz w:val="24"/>
          <w:szCs w:val="24"/>
        </w:rPr>
        <w:t>/g. respectivement).</w:t>
      </w:r>
    </w:p>
    <w:p w14:paraId="7E49499A" w14:textId="77777777" w:rsidR="003E3FB4" w:rsidRDefault="00385ED0">
      <w:pPr>
        <w:tabs>
          <w:tab w:val="left" w:pos="3656"/>
        </w:tabs>
        <w:spacing w:line="360" w:lineRule="auto"/>
        <w:jc w:val="both"/>
        <w:rPr>
          <w:rFonts w:asciiTheme="majorBidi" w:hAnsiTheme="majorBidi" w:cstheme="majorBidi"/>
          <w:sz w:val="24"/>
          <w:szCs w:val="24"/>
        </w:rPr>
      </w:pPr>
      <w:r>
        <w:rPr>
          <w:rFonts w:asciiTheme="majorBidi" w:hAnsiTheme="majorBidi" w:cstheme="majorBidi"/>
          <w:sz w:val="24"/>
          <w:szCs w:val="24"/>
        </w:rPr>
        <w:t xml:space="preserve">          Ces résultats sont en accord avec ceux rapportés par</w:t>
      </w:r>
      <w:r>
        <w:rPr>
          <w:rFonts w:asciiTheme="majorBidi" w:hAnsiTheme="majorBidi" w:cstheme="majorBidi"/>
          <w:b/>
          <w:bCs/>
          <w:sz w:val="24"/>
          <w:szCs w:val="24"/>
        </w:rPr>
        <w:t xml:space="preserve"> Sanju Bala Dhull et </w:t>
      </w:r>
      <w:r>
        <w:rPr>
          <w:rFonts w:asciiTheme="majorBidi" w:hAnsiTheme="majorBidi" w:cstheme="majorBidi"/>
          <w:b/>
          <w:bCs/>
          <w:i/>
          <w:iCs/>
          <w:sz w:val="24"/>
          <w:szCs w:val="24"/>
        </w:rPr>
        <w:t xml:space="preserve">al., </w:t>
      </w:r>
      <w:r>
        <w:rPr>
          <w:rFonts w:asciiTheme="majorBidi" w:hAnsiTheme="majorBidi" w:cstheme="majorBidi"/>
          <w:b/>
          <w:bCs/>
          <w:sz w:val="24"/>
          <w:szCs w:val="24"/>
        </w:rPr>
        <w:t>(2020</w:t>
      </w:r>
      <w:r>
        <w:rPr>
          <w:rFonts w:asciiTheme="majorBidi" w:hAnsiTheme="majorBidi" w:cstheme="majorBidi"/>
          <w:sz w:val="24"/>
          <w:szCs w:val="24"/>
        </w:rPr>
        <w:t xml:space="preserve">), où les teneurs enregistrées dans les extraits méthanolique étaient supérieures à celles des extraits hydroalcooliques, atteignant une valeur maximale de 9,3 ± 0,19 mg équivalent catéchine/g, </w:t>
      </w:r>
      <w:r>
        <w:rPr>
          <w:rFonts w:asciiTheme="majorBidi" w:hAnsiTheme="majorBidi" w:cstheme="majorBidi"/>
          <w:sz w:val="24"/>
          <w:szCs w:val="24"/>
        </w:rPr>
        <w:lastRenderedPageBreak/>
        <w:t xml:space="preserve">tandis que les valeurs des extraits hydroalcooliques variaient entre 3,2 ± 0,09 et 4,3 ± 0,05 mg/g. Les chercheurs ont attribué ces différences à l'effet de la proportion d'eau dans le solvant sur l'efficacité d'extraction. De même, </w:t>
      </w:r>
      <w:r>
        <w:rPr>
          <w:rFonts w:asciiTheme="majorBidi" w:hAnsiTheme="majorBidi" w:cstheme="majorBidi"/>
          <w:b/>
          <w:bCs/>
          <w:sz w:val="24"/>
          <w:szCs w:val="24"/>
        </w:rPr>
        <w:t xml:space="preserve">Benziane et </w:t>
      </w:r>
      <w:r>
        <w:rPr>
          <w:rFonts w:asciiTheme="majorBidi" w:hAnsiTheme="majorBidi" w:cstheme="majorBidi"/>
          <w:b/>
          <w:bCs/>
          <w:i/>
          <w:iCs/>
          <w:sz w:val="24"/>
          <w:szCs w:val="24"/>
        </w:rPr>
        <w:t>al.</w:t>
      </w:r>
      <w:r>
        <w:rPr>
          <w:rFonts w:asciiTheme="majorBidi" w:hAnsiTheme="majorBidi" w:cstheme="majorBidi"/>
          <w:b/>
          <w:bCs/>
          <w:sz w:val="24"/>
          <w:szCs w:val="24"/>
        </w:rPr>
        <w:t xml:space="preserve">, (2019) </w:t>
      </w:r>
      <w:r>
        <w:rPr>
          <w:rFonts w:asciiTheme="majorBidi" w:hAnsiTheme="majorBidi" w:cstheme="majorBidi"/>
          <w:sz w:val="24"/>
          <w:szCs w:val="24"/>
        </w:rPr>
        <w:t xml:space="preserve">ont souligné l'efficacité de la décoction, qui a donné un taux de tanins de 9,75 ± 0,06 %, supérieur à celui obtenu par infusion (8,69 ± 0,02 </w:t>
      </w:r>
      <w:r>
        <w:rPr>
          <w:rFonts w:asciiTheme="majorBidi" w:hAnsiTheme="majorBidi" w:cstheme="majorBidi"/>
          <w:b/>
          <w:bCs/>
          <w:sz w:val="24"/>
          <w:szCs w:val="24"/>
        </w:rPr>
        <w:t>%). Benziane et Issam Nassir, (2020)</w:t>
      </w:r>
      <w:r>
        <w:rPr>
          <w:rFonts w:asciiTheme="majorBidi" w:hAnsiTheme="majorBidi" w:cstheme="majorBidi"/>
          <w:sz w:val="24"/>
          <w:szCs w:val="24"/>
        </w:rPr>
        <w:t xml:space="preserve"> ont également enregistré une teneur similaire de 8,69 ± 0,02 % dans un extrait aqueux. Dans le même ordre d’idées, la teneur en tanins dans l’étude de </w:t>
      </w:r>
      <w:r>
        <w:rPr>
          <w:rFonts w:asciiTheme="majorBidi" w:hAnsiTheme="majorBidi" w:cstheme="majorBidi"/>
          <w:b/>
          <w:bCs/>
          <w:sz w:val="24"/>
          <w:szCs w:val="24"/>
        </w:rPr>
        <w:t>Methaq Nazhan et Khald Yahya, (2017</w:t>
      </w:r>
      <w:r>
        <w:rPr>
          <w:rFonts w:asciiTheme="majorBidi" w:hAnsiTheme="majorBidi" w:cstheme="majorBidi"/>
          <w:sz w:val="24"/>
          <w:szCs w:val="24"/>
        </w:rPr>
        <w:t>), obtenue à l’aide d’un extrait éthanolique, était de 63,69 ± 1,67 mg/100g, ce qui reste inférieur à la valeur enregistrée dans le présent travail, mettant en évidence l’influence de l’espèce végétale et de la méthode d’extraction.</w:t>
      </w:r>
    </w:p>
    <w:p w14:paraId="5C99A13D" w14:textId="77777777" w:rsidR="003E3FB4" w:rsidRDefault="00385ED0">
      <w:pPr>
        <w:spacing w:line="360" w:lineRule="auto"/>
        <w:ind w:firstLine="567"/>
        <w:jc w:val="both"/>
        <w:rPr>
          <w:rFonts w:asciiTheme="majorBidi" w:hAnsiTheme="majorBidi" w:cstheme="majorBidi"/>
          <w:sz w:val="24"/>
          <w:szCs w:val="24"/>
        </w:rPr>
      </w:pPr>
      <w:r>
        <w:rPr>
          <w:rFonts w:asciiTheme="majorBidi" w:hAnsiTheme="majorBidi" w:cstheme="majorBidi"/>
          <w:sz w:val="24"/>
          <w:szCs w:val="24"/>
        </w:rPr>
        <w:t>Par ailleurs,</w:t>
      </w:r>
      <w:r>
        <w:rPr>
          <w:rFonts w:asciiTheme="majorBidi" w:hAnsiTheme="majorBidi" w:cstheme="majorBidi"/>
          <w:b/>
          <w:bCs/>
          <w:sz w:val="24"/>
          <w:szCs w:val="24"/>
        </w:rPr>
        <w:t xml:space="preserve"> Ali et ElNour, (2014)</w:t>
      </w:r>
      <w:r>
        <w:rPr>
          <w:rFonts w:asciiTheme="majorBidi" w:hAnsiTheme="majorBidi" w:cstheme="majorBidi"/>
          <w:sz w:val="24"/>
          <w:szCs w:val="24"/>
        </w:rPr>
        <w:t xml:space="preserve"> ont enregistré la plus forte concentration en tanins, soit 116,259 mg/L dans l’extrait méthanolique, confirmant une fois de plus l’efficacité des solvants organiques pour l’extraction de ces composés.</w:t>
      </w:r>
    </w:p>
    <w:p w14:paraId="1D3FCCDA" w14:textId="77777777" w:rsidR="003E3FB4" w:rsidRDefault="00385ED0">
      <w:pPr>
        <w:rPr>
          <w:rFonts w:asciiTheme="majorBidi" w:hAnsiTheme="majorBidi" w:cstheme="majorBidi"/>
          <w:b/>
          <w:bCs/>
          <w:sz w:val="24"/>
          <w:szCs w:val="24"/>
        </w:rPr>
      </w:pPr>
      <w:r>
        <w:rPr>
          <w:rFonts w:asciiTheme="majorBidi" w:hAnsiTheme="majorBidi" w:cstheme="majorBidi"/>
          <w:b/>
          <w:bCs/>
          <w:sz w:val="24"/>
          <w:szCs w:val="24"/>
        </w:rPr>
        <w:t>III.3. Activité antioxydante</w:t>
      </w:r>
    </w:p>
    <w:p w14:paraId="33A29665" w14:textId="77777777" w:rsidR="003E3FB4" w:rsidRDefault="00385ED0">
      <w:pPr>
        <w:rPr>
          <w:rFonts w:asciiTheme="majorBidi" w:hAnsiTheme="majorBidi" w:cstheme="majorBidi"/>
          <w:b/>
          <w:bCs/>
          <w:sz w:val="24"/>
          <w:szCs w:val="24"/>
        </w:rPr>
      </w:pPr>
      <w:r>
        <w:rPr>
          <w:rFonts w:asciiTheme="majorBidi" w:hAnsiTheme="majorBidi" w:cstheme="majorBidi"/>
          <w:b/>
          <w:bCs/>
          <w:sz w:val="24"/>
          <w:szCs w:val="24"/>
        </w:rPr>
        <w:t>III.3.1. Activité antiradicalaire DPPH</w:t>
      </w:r>
    </w:p>
    <w:p w14:paraId="7F707A4D" w14:textId="77777777" w:rsidR="003E3FB4" w:rsidRDefault="00385ED0">
      <w:pPr>
        <w:spacing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Les résultats présentés dans la </w:t>
      </w:r>
      <w:r>
        <w:rPr>
          <w:rFonts w:asciiTheme="majorBidi" w:hAnsiTheme="majorBidi" w:cstheme="majorBidi"/>
          <w:b/>
          <w:bCs/>
          <w:sz w:val="24"/>
          <w:szCs w:val="24"/>
        </w:rPr>
        <w:t>Figure III.5,</w:t>
      </w:r>
      <w:r>
        <w:rPr>
          <w:rFonts w:asciiTheme="majorBidi" w:hAnsiTheme="majorBidi" w:cstheme="majorBidi"/>
          <w:sz w:val="24"/>
          <w:szCs w:val="24"/>
        </w:rPr>
        <w:t xml:space="preserve"> on observe que l'efficacité du radical DPPH à piéger dépend de la concentration.  Le taux d'inhibition augmente progressivement jusqu'à atteindre un seuil où l'élimination du radical DPPH dans est presque totale.  Dans cette recherche, nous avons déterminé l'effet anti-radicalaire des extraits aqueuse et éthanolique des graines de fenugrec contre le radical libre DPPH, sur une plage de concentration allant de 10 à 100 µg/ml. Nous avons mis cette action en parallèle avec celle d'un antioxydant standard synthétique, soit l'acide ascorbique (Vitamine C) et le BHT aux mêmes concentrations.  L'activité antioxydante des extraits a été démontrée par leur capacité à inhiber le radical libre DPPH</w:t>
      </w:r>
      <w:r>
        <w:rPr>
          <w:sz w:val="24"/>
          <w:szCs w:val="24"/>
        </w:rPr>
        <w:t xml:space="preserve"> </w:t>
      </w:r>
      <w:r>
        <w:rPr>
          <w:rFonts w:asciiTheme="majorBidi" w:hAnsiTheme="majorBidi" w:cstheme="majorBidi"/>
          <w:sz w:val="24"/>
          <w:szCs w:val="24"/>
        </w:rPr>
        <w:t>a démontré une activité antioxydante significative, dont la dépendance à la concentration est manifeste.</w:t>
      </w:r>
    </w:p>
    <w:p w14:paraId="1910E578" w14:textId="77777777" w:rsidR="003E3FB4" w:rsidRDefault="00385ED0">
      <w:pPr>
        <w:spacing w:line="360" w:lineRule="auto"/>
        <w:jc w:val="center"/>
        <w:rPr>
          <w:b/>
          <w:bCs/>
          <w:sz w:val="24"/>
          <w:szCs w:val="24"/>
        </w:rPr>
      </w:pPr>
      <w:r>
        <w:rPr>
          <w:b/>
          <w:bCs/>
          <w:noProof/>
          <w:sz w:val="24"/>
          <w:szCs w:val="24"/>
        </w:rPr>
        <w:lastRenderedPageBreak/>
        <w:drawing>
          <wp:inline distT="0" distB="0" distL="0" distR="0" wp14:anchorId="302C0058" wp14:editId="23160012">
            <wp:extent cx="4572000" cy="2857500"/>
            <wp:effectExtent l="0" t="0" r="0" b="0"/>
            <wp:docPr id="1061803292"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14:paraId="383FEC0F" w14:textId="77777777" w:rsidR="003E3FB4" w:rsidRDefault="00385ED0">
      <w:pPr>
        <w:tabs>
          <w:tab w:val="left" w:pos="3656"/>
        </w:tabs>
        <w:jc w:val="center"/>
        <w:rPr>
          <w:rFonts w:asciiTheme="majorBidi" w:hAnsiTheme="majorBidi" w:cstheme="majorBidi"/>
          <w:sz w:val="24"/>
          <w:szCs w:val="24"/>
        </w:rPr>
      </w:pPr>
      <w:r>
        <w:rPr>
          <w:rFonts w:asciiTheme="majorBidi" w:hAnsiTheme="majorBidi" w:cstheme="majorBidi"/>
          <w:b/>
          <w:bCs/>
          <w:sz w:val="24"/>
          <w:szCs w:val="24"/>
        </w:rPr>
        <w:t>Figure III.5.</w:t>
      </w:r>
      <w:r>
        <w:rPr>
          <w:rFonts w:asciiTheme="majorBidi" w:hAnsiTheme="majorBidi" w:cstheme="majorBidi"/>
          <w:sz w:val="24"/>
          <w:szCs w:val="24"/>
        </w:rPr>
        <w:t xml:space="preserve"> Pourcentage d’inhibition de l’activité antiradicalaire en fonction des concentrations</w:t>
      </w:r>
    </w:p>
    <w:p w14:paraId="6D02CC64" w14:textId="77777777" w:rsidR="003E3FB4" w:rsidRDefault="00385ED0">
      <w:pPr>
        <w:tabs>
          <w:tab w:val="left" w:pos="3656"/>
        </w:tabs>
        <w:spacing w:line="360" w:lineRule="auto"/>
        <w:jc w:val="both"/>
        <w:rPr>
          <w:rFonts w:asciiTheme="majorBidi" w:hAnsiTheme="majorBidi" w:cstheme="majorBidi"/>
          <w:sz w:val="24"/>
          <w:szCs w:val="24"/>
        </w:rPr>
      </w:pPr>
      <w:r>
        <w:rPr>
          <w:rFonts w:asciiTheme="majorBidi" w:hAnsiTheme="majorBidi" w:cstheme="majorBidi"/>
          <w:sz w:val="24"/>
          <w:szCs w:val="24"/>
        </w:rPr>
        <w:t xml:space="preserve">            Comme illustré par la </w:t>
      </w:r>
      <w:r>
        <w:rPr>
          <w:rFonts w:asciiTheme="majorBidi" w:hAnsiTheme="majorBidi" w:cstheme="majorBidi"/>
          <w:b/>
          <w:bCs/>
          <w:sz w:val="24"/>
          <w:szCs w:val="24"/>
        </w:rPr>
        <w:t>Figure III.5.</w:t>
      </w:r>
      <w:r>
        <w:rPr>
          <w:rFonts w:asciiTheme="majorBidi" w:hAnsiTheme="majorBidi" w:cstheme="majorBidi"/>
          <w:sz w:val="24"/>
          <w:szCs w:val="24"/>
        </w:rPr>
        <w:t xml:space="preserve">, le plus grand pourcentage d'inhibition du radical est observé avec l'acide ascorbique à de faibles concentrations (10 et 20µg/ml), le BHT et l'extrait aqueux et éthanolique des graines de fenugrec à la concentration (60µg/ml) présente un pourcentage d’inhibition élevées. Tandis que l'activité inhibitrice des extraits aqueux et éthanolique se rapproche de celle de l'acide ascorbique et du BHT à la concentration (60, 80 et 100µg/ml).    </w:t>
      </w:r>
    </w:p>
    <w:p w14:paraId="1F68166F" w14:textId="5A23803B" w:rsidR="003E3FB4" w:rsidRDefault="00385ED0" w:rsidP="00B62620">
      <w:pPr>
        <w:tabs>
          <w:tab w:val="left" w:pos="3656"/>
        </w:tabs>
        <w:spacing w:line="360" w:lineRule="auto"/>
        <w:jc w:val="both"/>
        <w:rPr>
          <w:rFonts w:asciiTheme="majorBidi" w:hAnsiTheme="majorBidi" w:cstheme="majorBidi"/>
          <w:sz w:val="24"/>
          <w:szCs w:val="24"/>
        </w:rPr>
      </w:pPr>
      <w:r>
        <w:rPr>
          <w:rFonts w:asciiTheme="majorBidi" w:hAnsiTheme="majorBidi" w:cstheme="majorBidi"/>
          <w:sz w:val="24"/>
          <w:szCs w:val="24"/>
        </w:rPr>
        <w:t xml:space="preserve">           Afin de réaliser une analyse comparative de l'activité antioxydante de tous les extraits, nous avons calculé la valeur de la concentration inhibitrice (IC50) qui représente 50% de l'activité neutralisante du radical libre DPPH, associée respectivement à la Vitamine C, BHT et aux extraits aqueux et éthanoliques des graines de fenugrec</w:t>
      </w:r>
      <w:r w:rsidR="00B62620">
        <w:rPr>
          <w:rFonts w:asciiTheme="majorBidi" w:hAnsiTheme="majorBidi" w:cstheme="majorBidi"/>
          <w:sz w:val="24"/>
          <w:szCs w:val="24"/>
        </w:rPr>
        <w:t xml:space="preserve"> </w:t>
      </w:r>
      <w:r w:rsidR="00B62620">
        <w:rPr>
          <w:rFonts w:asciiTheme="majorBidi" w:hAnsiTheme="majorBidi" w:cstheme="majorBidi"/>
          <w:b/>
          <w:bCs/>
          <w:sz w:val="24"/>
          <w:szCs w:val="24"/>
        </w:rPr>
        <w:t>(</w:t>
      </w:r>
      <w:r>
        <w:rPr>
          <w:rFonts w:asciiTheme="majorBidi" w:hAnsiTheme="majorBidi" w:cstheme="majorBidi"/>
          <w:b/>
          <w:bCs/>
          <w:sz w:val="24"/>
          <w:szCs w:val="24"/>
        </w:rPr>
        <w:t>Tableau III.2.</w:t>
      </w:r>
      <w:r w:rsidR="00B62620">
        <w:rPr>
          <w:rFonts w:asciiTheme="majorBidi" w:hAnsiTheme="majorBidi" w:cstheme="majorBidi"/>
          <w:b/>
          <w:bCs/>
          <w:sz w:val="24"/>
          <w:szCs w:val="24"/>
        </w:rPr>
        <w:t>)</w:t>
      </w:r>
      <w:r>
        <w:rPr>
          <w:rFonts w:asciiTheme="majorBidi" w:hAnsiTheme="majorBidi" w:cstheme="majorBidi"/>
          <w:sz w:val="24"/>
          <w:szCs w:val="24"/>
        </w:rPr>
        <w:t xml:space="preserve"> </w:t>
      </w:r>
    </w:p>
    <w:p w14:paraId="77316EC5" w14:textId="77777777" w:rsidR="003E3FB4" w:rsidRDefault="00385ED0">
      <w:pPr>
        <w:tabs>
          <w:tab w:val="left" w:pos="3656"/>
        </w:tabs>
        <w:jc w:val="center"/>
        <w:rPr>
          <w:rFonts w:asciiTheme="majorBidi" w:hAnsiTheme="majorBidi" w:cstheme="majorBidi"/>
          <w:sz w:val="24"/>
          <w:szCs w:val="24"/>
        </w:rPr>
      </w:pPr>
      <w:r>
        <w:rPr>
          <w:rFonts w:asciiTheme="majorBidi" w:hAnsiTheme="majorBidi" w:cstheme="majorBidi"/>
          <w:b/>
          <w:bCs/>
          <w:sz w:val="24"/>
          <w:szCs w:val="24"/>
        </w:rPr>
        <w:t>Tableau III.2.</w:t>
      </w:r>
      <w:r>
        <w:rPr>
          <w:rFonts w:asciiTheme="majorBidi" w:hAnsiTheme="majorBidi" w:cstheme="majorBidi"/>
          <w:sz w:val="24"/>
          <w:szCs w:val="24"/>
        </w:rPr>
        <w:t xml:space="preserve"> Représente IC 50 de l’activité anti-radicalaire des différents types d’extrait</w:t>
      </w:r>
    </w:p>
    <w:tbl>
      <w:tblPr>
        <w:tblStyle w:val="Grilledutableau"/>
        <w:tblW w:w="9073" w:type="dxa"/>
        <w:tblLook w:val="04A0" w:firstRow="1" w:lastRow="0" w:firstColumn="1" w:lastColumn="0" w:noHBand="0" w:noVBand="1"/>
      </w:tblPr>
      <w:tblGrid>
        <w:gridCol w:w="2267"/>
        <w:gridCol w:w="2268"/>
        <w:gridCol w:w="2269"/>
        <w:gridCol w:w="2269"/>
      </w:tblGrid>
      <w:tr w:rsidR="003E3FB4" w14:paraId="48538C41" w14:textId="77777777">
        <w:trPr>
          <w:trHeight w:val="632"/>
        </w:trPr>
        <w:tc>
          <w:tcPr>
            <w:tcW w:w="2267" w:type="dxa"/>
          </w:tcPr>
          <w:p w14:paraId="3E738296" w14:textId="77777777" w:rsidR="003E3FB4" w:rsidRDefault="00385ED0">
            <w:pPr>
              <w:tabs>
                <w:tab w:val="left" w:pos="3656"/>
              </w:tabs>
              <w:spacing w:after="0" w:line="240" w:lineRule="auto"/>
              <w:jc w:val="center"/>
              <w:rPr>
                <w:rFonts w:asciiTheme="majorBidi" w:hAnsiTheme="majorBidi" w:cstheme="majorBidi"/>
                <w:b/>
                <w:bCs/>
                <w:sz w:val="24"/>
                <w:szCs w:val="24"/>
              </w:rPr>
            </w:pPr>
            <w:r>
              <w:rPr>
                <w:rFonts w:asciiTheme="majorBidi" w:hAnsiTheme="majorBidi" w:cstheme="majorBidi"/>
                <w:b/>
                <w:bCs/>
                <w:sz w:val="24"/>
                <w:szCs w:val="24"/>
              </w:rPr>
              <w:t>Extrait aqueux</w:t>
            </w:r>
          </w:p>
        </w:tc>
        <w:tc>
          <w:tcPr>
            <w:tcW w:w="2268" w:type="dxa"/>
          </w:tcPr>
          <w:p w14:paraId="70659A9E" w14:textId="77777777" w:rsidR="003E3FB4" w:rsidRDefault="00385ED0">
            <w:pPr>
              <w:tabs>
                <w:tab w:val="left" w:pos="3656"/>
              </w:tabs>
              <w:spacing w:after="0" w:line="240" w:lineRule="auto"/>
              <w:jc w:val="center"/>
              <w:rPr>
                <w:rFonts w:asciiTheme="majorBidi" w:hAnsiTheme="majorBidi" w:cstheme="majorBidi"/>
                <w:b/>
                <w:bCs/>
                <w:sz w:val="24"/>
                <w:szCs w:val="24"/>
              </w:rPr>
            </w:pPr>
            <w:r>
              <w:rPr>
                <w:rFonts w:asciiTheme="majorBidi" w:hAnsiTheme="majorBidi" w:cstheme="majorBidi"/>
                <w:b/>
                <w:bCs/>
                <w:sz w:val="24"/>
                <w:szCs w:val="24"/>
              </w:rPr>
              <w:t>Extrait éthanolique</w:t>
            </w:r>
          </w:p>
        </w:tc>
        <w:tc>
          <w:tcPr>
            <w:tcW w:w="2269" w:type="dxa"/>
          </w:tcPr>
          <w:p w14:paraId="04E98F58" w14:textId="77777777" w:rsidR="003E3FB4" w:rsidRDefault="00385ED0">
            <w:pPr>
              <w:tabs>
                <w:tab w:val="left" w:pos="3656"/>
              </w:tabs>
              <w:spacing w:after="0" w:line="240" w:lineRule="auto"/>
              <w:jc w:val="center"/>
              <w:rPr>
                <w:rFonts w:asciiTheme="majorBidi" w:hAnsiTheme="majorBidi" w:cstheme="majorBidi"/>
                <w:b/>
                <w:bCs/>
                <w:sz w:val="24"/>
                <w:szCs w:val="24"/>
              </w:rPr>
            </w:pPr>
            <w:r>
              <w:rPr>
                <w:rFonts w:asciiTheme="majorBidi" w:hAnsiTheme="majorBidi" w:cstheme="majorBidi"/>
                <w:b/>
                <w:bCs/>
                <w:sz w:val="24"/>
                <w:szCs w:val="24"/>
              </w:rPr>
              <w:t>BHT</w:t>
            </w:r>
          </w:p>
        </w:tc>
        <w:tc>
          <w:tcPr>
            <w:tcW w:w="2269" w:type="dxa"/>
          </w:tcPr>
          <w:p w14:paraId="0F2CE4D6" w14:textId="77777777" w:rsidR="003E3FB4" w:rsidRDefault="00385ED0">
            <w:pPr>
              <w:tabs>
                <w:tab w:val="left" w:pos="3656"/>
              </w:tabs>
              <w:spacing w:after="0" w:line="240" w:lineRule="auto"/>
              <w:jc w:val="center"/>
              <w:rPr>
                <w:rFonts w:asciiTheme="majorBidi" w:hAnsiTheme="majorBidi" w:cstheme="majorBidi"/>
                <w:b/>
                <w:bCs/>
                <w:sz w:val="24"/>
                <w:szCs w:val="24"/>
              </w:rPr>
            </w:pPr>
            <w:r>
              <w:rPr>
                <w:rFonts w:asciiTheme="majorBidi" w:hAnsiTheme="majorBidi" w:cstheme="majorBidi"/>
                <w:b/>
                <w:bCs/>
                <w:sz w:val="24"/>
                <w:szCs w:val="24"/>
              </w:rPr>
              <w:t>Vitamine C</w:t>
            </w:r>
          </w:p>
        </w:tc>
      </w:tr>
      <w:tr w:rsidR="003E3FB4" w14:paraId="263AB709" w14:textId="77777777">
        <w:trPr>
          <w:trHeight w:val="600"/>
        </w:trPr>
        <w:tc>
          <w:tcPr>
            <w:tcW w:w="2267" w:type="dxa"/>
          </w:tcPr>
          <w:p w14:paraId="48388164" w14:textId="77777777" w:rsidR="003E3FB4" w:rsidRDefault="00385ED0">
            <w:pPr>
              <w:tabs>
                <w:tab w:val="left" w:pos="3656"/>
              </w:tabs>
              <w:spacing w:after="0" w:line="240" w:lineRule="auto"/>
              <w:jc w:val="center"/>
              <w:rPr>
                <w:rFonts w:asciiTheme="majorBidi" w:hAnsiTheme="majorBidi" w:cstheme="majorBidi"/>
                <w:sz w:val="24"/>
                <w:szCs w:val="24"/>
              </w:rPr>
            </w:pPr>
            <w:r>
              <w:rPr>
                <w:rFonts w:asciiTheme="majorBidi" w:hAnsiTheme="majorBidi" w:cstheme="majorBidi"/>
                <w:sz w:val="24"/>
                <w:szCs w:val="24"/>
              </w:rPr>
              <w:t>25.27±0.29 a</w:t>
            </w:r>
          </w:p>
        </w:tc>
        <w:tc>
          <w:tcPr>
            <w:tcW w:w="2268" w:type="dxa"/>
          </w:tcPr>
          <w:p w14:paraId="3AC8A2C2" w14:textId="77777777" w:rsidR="003E3FB4" w:rsidRDefault="00385ED0">
            <w:pPr>
              <w:tabs>
                <w:tab w:val="left" w:pos="3656"/>
              </w:tabs>
              <w:spacing w:after="0" w:line="240" w:lineRule="auto"/>
              <w:jc w:val="center"/>
              <w:rPr>
                <w:rFonts w:asciiTheme="majorBidi" w:hAnsiTheme="majorBidi" w:cstheme="majorBidi"/>
                <w:sz w:val="24"/>
                <w:szCs w:val="24"/>
              </w:rPr>
            </w:pPr>
            <w:r>
              <w:rPr>
                <w:rFonts w:asciiTheme="majorBidi" w:hAnsiTheme="majorBidi" w:cstheme="majorBidi"/>
                <w:sz w:val="24"/>
                <w:szCs w:val="24"/>
              </w:rPr>
              <w:t>23.30±0.38 b</w:t>
            </w:r>
          </w:p>
        </w:tc>
        <w:tc>
          <w:tcPr>
            <w:tcW w:w="2269" w:type="dxa"/>
          </w:tcPr>
          <w:p w14:paraId="3E18C69E" w14:textId="77777777" w:rsidR="003E3FB4" w:rsidRDefault="00385ED0">
            <w:pPr>
              <w:tabs>
                <w:tab w:val="left" w:pos="3656"/>
              </w:tabs>
              <w:spacing w:after="0" w:line="240" w:lineRule="auto"/>
              <w:jc w:val="center"/>
              <w:rPr>
                <w:rFonts w:asciiTheme="majorBidi" w:hAnsiTheme="majorBidi" w:cstheme="majorBidi"/>
                <w:sz w:val="24"/>
                <w:szCs w:val="24"/>
              </w:rPr>
            </w:pPr>
            <w:r>
              <w:rPr>
                <w:rFonts w:asciiTheme="majorBidi" w:hAnsiTheme="majorBidi" w:cstheme="majorBidi"/>
                <w:sz w:val="24"/>
                <w:szCs w:val="24"/>
              </w:rPr>
              <w:t>24.53±0.26 a</w:t>
            </w:r>
          </w:p>
        </w:tc>
        <w:tc>
          <w:tcPr>
            <w:tcW w:w="2269" w:type="dxa"/>
          </w:tcPr>
          <w:p w14:paraId="57886294" w14:textId="77777777" w:rsidR="003E3FB4" w:rsidRDefault="00385ED0">
            <w:pPr>
              <w:tabs>
                <w:tab w:val="left" w:pos="3656"/>
              </w:tabs>
              <w:spacing w:after="0" w:line="240" w:lineRule="auto"/>
              <w:jc w:val="center"/>
              <w:rPr>
                <w:rFonts w:asciiTheme="majorBidi" w:hAnsiTheme="majorBidi" w:cstheme="majorBidi"/>
                <w:sz w:val="24"/>
                <w:szCs w:val="24"/>
              </w:rPr>
            </w:pPr>
            <w:r>
              <w:rPr>
                <w:rFonts w:asciiTheme="majorBidi" w:hAnsiTheme="majorBidi" w:cstheme="majorBidi"/>
                <w:sz w:val="24"/>
                <w:szCs w:val="24"/>
              </w:rPr>
              <w:t>20.28±0.24 c</w:t>
            </w:r>
          </w:p>
        </w:tc>
      </w:tr>
    </w:tbl>
    <w:p w14:paraId="358CA3FF" w14:textId="77777777" w:rsidR="003E3FB4" w:rsidRDefault="003E3FB4">
      <w:pPr>
        <w:tabs>
          <w:tab w:val="left" w:pos="3656"/>
        </w:tabs>
        <w:rPr>
          <w:rFonts w:asciiTheme="majorBidi" w:hAnsiTheme="majorBidi" w:cstheme="majorBidi"/>
          <w:sz w:val="24"/>
          <w:szCs w:val="24"/>
        </w:rPr>
      </w:pPr>
    </w:p>
    <w:p w14:paraId="6F7C2B4D" w14:textId="77777777" w:rsidR="003E3FB4" w:rsidRDefault="00385ED0">
      <w:pPr>
        <w:tabs>
          <w:tab w:val="left" w:pos="3656"/>
        </w:tabs>
        <w:spacing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L'IC50, qui représente la concentration nécessaire pour neutraliser 50% du radical libre présent dans le milieu réactionnel, est inversement liée à l'activité antioxydante (Activité antioxydante PI%) d'un composé. Plus la valeur IC50 est élevée, plus la capacité antioxydante est faible, car cela signifie qu'une plus grande quantité d'antioxydant est requise pour atteindre </w:t>
      </w:r>
      <w:r>
        <w:rPr>
          <w:rFonts w:asciiTheme="majorBidi" w:hAnsiTheme="majorBidi" w:cstheme="majorBidi"/>
          <w:sz w:val="24"/>
          <w:szCs w:val="24"/>
        </w:rPr>
        <w:lastRenderedPageBreak/>
        <w:t>cet effet.  Plus un composé a une faible valeur d'IC50, plus son activité anti-radicalaire est appréciable.</w:t>
      </w:r>
    </w:p>
    <w:p w14:paraId="0996159F" w14:textId="77777777" w:rsidR="003E3FB4" w:rsidRDefault="00385ED0">
      <w:pPr>
        <w:tabs>
          <w:tab w:val="left" w:pos="3656"/>
        </w:tabs>
        <w:spacing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Les résultats du </w:t>
      </w:r>
      <w:r>
        <w:rPr>
          <w:rFonts w:asciiTheme="majorBidi" w:hAnsiTheme="majorBidi" w:cstheme="majorBidi"/>
          <w:b/>
          <w:bCs/>
          <w:sz w:val="24"/>
          <w:szCs w:val="24"/>
        </w:rPr>
        <w:t>tableau III.2</w:t>
      </w:r>
      <w:r>
        <w:rPr>
          <w:rFonts w:asciiTheme="majorBidi" w:hAnsiTheme="majorBidi" w:cstheme="majorBidi"/>
          <w:sz w:val="24"/>
          <w:szCs w:val="24"/>
        </w:rPr>
        <w:t xml:space="preserve"> révèle que l'extrait éthanolique des graines présente une valeur d'IC50 plus basse que celle du BHT.  Ceci indique que sa capacité antioxydante est supérieure à celle de l'antioxydant de référence (BHT).  Nous mentionnons, l'extrait aqueux a présenté des IC50 25.27 µg/ml. En ce qui concerne l’acide ascorbique présente une forte capacitée antioxydante est démontrée par une valeur IC50 d'environ 20.28 µg/ml. </w:t>
      </w:r>
    </w:p>
    <w:p w14:paraId="5DC836EC" w14:textId="77777777" w:rsidR="003E3FB4" w:rsidRDefault="00385ED0">
      <w:pPr>
        <w:tabs>
          <w:tab w:val="left" w:pos="3656"/>
        </w:tabs>
        <w:spacing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Selon </w:t>
      </w:r>
      <w:r>
        <w:rPr>
          <w:rFonts w:asciiTheme="majorBidi" w:hAnsiTheme="majorBidi" w:cstheme="majorBidi"/>
          <w:b/>
          <w:bCs/>
          <w:sz w:val="24"/>
          <w:szCs w:val="24"/>
        </w:rPr>
        <w:t>Benamira, (2022)</w:t>
      </w:r>
      <w:r>
        <w:rPr>
          <w:rFonts w:asciiTheme="majorBidi" w:hAnsiTheme="majorBidi" w:cstheme="majorBidi"/>
          <w:sz w:val="24"/>
          <w:szCs w:val="24"/>
        </w:rPr>
        <w:t>, l’extrait aqueux des graines de fenugrec a montré une activité modérée avec une IC50 de 26,20 ± 0,24 %, sont presque similaire à celle enregistrée dans notre étude pour le même extrait.</w:t>
      </w:r>
    </w:p>
    <w:p w14:paraId="621D4056" w14:textId="77777777" w:rsidR="003E3FB4" w:rsidRDefault="00385ED0">
      <w:pPr>
        <w:tabs>
          <w:tab w:val="left" w:pos="3656"/>
        </w:tabs>
        <w:spacing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En comparant les résultats obtenus dans notre étude, qui ont révélé une activité antioxydante de 25,27±0,29 pour l’extrait aqueux et 23,30±0,38 pour l’extrait éthanolique, à ceux d’autres recherches, on observe une variation notable de l’efficacité. Dans l’étude de </w:t>
      </w:r>
      <w:r>
        <w:rPr>
          <w:rFonts w:asciiTheme="majorBidi" w:hAnsiTheme="majorBidi" w:cstheme="majorBidi"/>
          <w:b/>
          <w:bCs/>
          <w:sz w:val="24"/>
          <w:szCs w:val="24"/>
        </w:rPr>
        <w:t>Al Mashkor, (2014)</w:t>
      </w:r>
      <w:r>
        <w:rPr>
          <w:rFonts w:asciiTheme="majorBidi" w:hAnsiTheme="majorBidi" w:cstheme="majorBidi"/>
          <w:sz w:val="24"/>
          <w:szCs w:val="24"/>
        </w:rPr>
        <w:t xml:space="preserve">, l’extrait éthanolique de fenugrec a montré une activité antiradicalaire DPPH d’environ 61 % à une concentration de 50 %, et de 59 % à 70 %, tandis que l’extrait aqueux a présenté l’activité la plus faible avec environ 45 %, ce qui reste inférieur à nos résultats. </w:t>
      </w:r>
    </w:p>
    <w:p w14:paraId="173A1489" w14:textId="77777777" w:rsidR="003E3FB4" w:rsidRDefault="00385ED0">
      <w:pPr>
        <w:tabs>
          <w:tab w:val="left" w:pos="3656"/>
        </w:tabs>
        <w:spacing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D’après </w:t>
      </w:r>
      <w:r>
        <w:rPr>
          <w:rFonts w:asciiTheme="majorBidi" w:hAnsiTheme="majorBidi" w:cstheme="majorBidi"/>
          <w:b/>
          <w:bCs/>
          <w:sz w:val="24"/>
          <w:szCs w:val="24"/>
        </w:rPr>
        <w:t xml:space="preserve">Aylanc et </w:t>
      </w:r>
      <w:r>
        <w:rPr>
          <w:rFonts w:asciiTheme="majorBidi" w:hAnsiTheme="majorBidi" w:cstheme="majorBidi"/>
          <w:b/>
          <w:bCs/>
          <w:i/>
          <w:iCs/>
          <w:sz w:val="24"/>
          <w:szCs w:val="24"/>
        </w:rPr>
        <w:t>al.</w:t>
      </w:r>
      <w:r>
        <w:rPr>
          <w:rFonts w:asciiTheme="majorBidi" w:hAnsiTheme="majorBidi" w:cstheme="majorBidi"/>
          <w:b/>
          <w:bCs/>
          <w:sz w:val="24"/>
          <w:szCs w:val="24"/>
        </w:rPr>
        <w:t>, (2020)</w:t>
      </w:r>
      <w:r>
        <w:rPr>
          <w:rFonts w:asciiTheme="majorBidi" w:hAnsiTheme="majorBidi" w:cstheme="majorBidi"/>
          <w:sz w:val="24"/>
          <w:szCs w:val="24"/>
        </w:rPr>
        <w:t xml:space="preserve"> ont rapporté une forte activité pour l’extrait éthanolique de </w:t>
      </w:r>
      <w:r>
        <w:rPr>
          <w:rFonts w:asciiTheme="majorBidi" w:hAnsiTheme="majorBidi" w:cstheme="majorBidi"/>
          <w:i/>
          <w:iCs/>
          <w:sz w:val="24"/>
          <w:szCs w:val="24"/>
        </w:rPr>
        <w:t>T. spruneriana</w:t>
      </w:r>
      <w:r>
        <w:rPr>
          <w:rFonts w:asciiTheme="majorBidi" w:hAnsiTheme="majorBidi" w:cstheme="majorBidi"/>
          <w:sz w:val="24"/>
          <w:szCs w:val="24"/>
        </w:rPr>
        <w:t>, avec une valeur IC50 de 3,87 ± 0,09 mg/ml, contre 5,28 ± 0,58 mg/ml pour l’extrait aqueux, représentant une activité inferieur à la nôtre.</w:t>
      </w:r>
    </w:p>
    <w:p w14:paraId="2A3297D3" w14:textId="77777777" w:rsidR="003E3FB4" w:rsidRDefault="00385ED0">
      <w:pPr>
        <w:tabs>
          <w:tab w:val="left" w:pos="3656"/>
        </w:tabs>
        <w:spacing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Selon </w:t>
      </w:r>
      <w:r>
        <w:rPr>
          <w:rFonts w:asciiTheme="majorBidi" w:hAnsiTheme="majorBidi" w:cstheme="majorBidi"/>
          <w:b/>
          <w:bCs/>
          <w:sz w:val="24"/>
          <w:szCs w:val="24"/>
        </w:rPr>
        <w:t xml:space="preserve">Saxena et </w:t>
      </w:r>
      <w:r>
        <w:rPr>
          <w:rFonts w:asciiTheme="majorBidi" w:hAnsiTheme="majorBidi" w:cstheme="majorBidi"/>
          <w:b/>
          <w:bCs/>
          <w:i/>
          <w:iCs/>
          <w:sz w:val="24"/>
          <w:szCs w:val="24"/>
        </w:rPr>
        <w:t>al.</w:t>
      </w:r>
      <w:r>
        <w:rPr>
          <w:rFonts w:asciiTheme="majorBidi" w:hAnsiTheme="majorBidi" w:cstheme="majorBidi"/>
          <w:b/>
          <w:bCs/>
          <w:sz w:val="24"/>
          <w:szCs w:val="24"/>
        </w:rPr>
        <w:t>, (2011)</w:t>
      </w:r>
      <w:r>
        <w:rPr>
          <w:rFonts w:asciiTheme="majorBidi" w:hAnsiTheme="majorBidi" w:cstheme="majorBidi"/>
          <w:sz w:val="24"/>
          <w:szCs w:val="24"/>
        </w:rPr>
        <w:t xml:space="preserve">, l’extrait éthanolique des graines de fenugrec (variétés AM1 et RMT305) a présenté une puissante activité antioxydante, avec un pourcentage d’inhibition du radical DPPH supérieur à 90 %, tandis que l’extrait aqueux a atteint environ 80 %, ce qui reste inférieur à nos valeurs. De son côté, </w:t>
      </w:r>
      <w:r>
        <w:rPr>
          <w:rFonts w:asciiTheme="majorBidi" w:hAnsiTheme="majorBidi" w:cstheme="majorBidi"/>
          <w:b/>
          <w:bCs/>
          <w:sz w:val="24"/>
          <w:szCs w:val="24"/>
        </w:rPr>
        <w:t>Benziane, (2020)</w:t>
      </w:r>
      <w:r>
        <w:rPr>
          <w:rFonts w:asciiTheme="majorBidi" w:hAnsiTheme="majorBidi" w:cstheme="majorBidi"/>
          <w:sz w:val="24"/>
          <w:szCs w:val="24"/>
        </w:rPr>
        <w:t xml:space="preserve">, en évaluant l’activité antioxydante de l’extrait aqueux des graines de fenugrec algérien par la méthode DPPH, a obtenu une IC50 de 56,37 ± 0,24 mg d’EAA/100g, valeur bien supérieure à la nôtre. </w:t>
      </w:r>
    </w:p>
    <w:p w14:paraId="71F73B23" w14:textId="77777777" w:rsidR="003E3FB4" w:rsidRDefault="00385ED0">
      <w:pPr>
        <w:tabs>
          <w:tab w:val="left" w:pos="3656"/>
        </w:tabs>
        <w:spacing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Par ailleurs, les résultats de </w:t>
      </w:r>
      <w:r>
        <w:rPr>
          <w:rFonts w:asciiTheme="majorBidi" w:hAnsiTheme="majorBidi" w:cstheme="majorBidi"/>
          <w:b/>
          <w:bCs/>
          <w:sz w:val="24"/>
          <w:szCs w:val="24"/>
        </w:rPr>
        <w:t xml:space="preserve">Birjees Bukhari et </w:t>
      </w:r>
      <w:r>
        <w:rPr>
          <w:rFonts w:asciiTheme="majorBidi" w:hAnsiTheme="majorBidi" w:cstheme="majorBidi"/>
          <w:b/>
          <w:bCs/>
          <w:i/>
          <w:iCs/>
          <w:sz w:val="24"/>
          <w:szCs w:val="24"/>
        </w:rPr>
        <w:t>al.</w:t>
      </w:r>
      <w:r>
        <w:rPr>
          <w:rFonts w:asciiTheme="majorBidi" w:hAnsiTheme="majorBidi" w:cstheme="majorBidi"/>
          <w:b/>
          <w:bCs/>
          <w:sz w:val="24"/>
          <w:szCs w:val="24"/>
        </w:rPr>
        <w:t>, (2008)</w:t>
      </w:r>
      <w:r>
        <w:rPr>
          <w:rFonts w:asciiTheme="majorBidi" w:hAnsiTheme="majorBidi" w:cstheme="majorBidi"/>
          <w:sz w:val="24"/>
          <w:szCs w:val="24"/>
        </w:rPr>
        <w:t xml:space="preserve"> indiquent que l’activité antioxydante des extraits éthanolique et méthanolique de fenugrec par la méthode DPPH a donné des IC50 de 10,88 µg/ml et 12,42 µg/ml respectivement, soit des valeurs nettement supérieures aux nôtres. </w:t>
      </w:r>
    </w:p>
    <w:p w14:paraId="34A4A47A" w14:textId="231AB953" w:rsidR="003E3FB4" w:rsidRDefault="00385ED0" w:rsidP="006F4B07">
      <w:pPr>
        <w:tabs>
          <w:tab w:val="left" w:pos="3656"/>
        </w:tabs>
        <w:spacing w:line="360" w:lineRule="auto"/>
        <w:jc w:val="both"/>
        <w:rPr>
          <w:rFonts w:asciiTheme="majorBidi" w:hAnsiTheme="majorBidi" w:cstheme="majorBidi"/>
          <w:sz w:val="24"/>
          <w:szCs w:val="24"/>
        </w:rPr>
      </w:pPr>
      <w:r>
        <w:rPr>
          <w:rFonts w:asciiTheme="majorBidi" w:hAnsiTheme="majorBidi" w:cstheme="majorBidi"/>
          <w:sz w:val="24"/>
          <w:szCs w:val="24"/>
        </w:rPr>
        <w:t xml:space="preserve">           La variation de l'activité antioxydante entre les extraits, ainsi qu'entre les résultats de notre étude et ceux des études précédentes, peut être expliquée par plusieurs facteurs. L’un des </w:t>
      </w:r>
      <w:r>
        <w:rPr>
          <w:rFonts w:asciiTheme="majorBidi" w:hAnsiTheme="majorBidi" w:cstheme="majorBidi"/>
          <w:sz w:val="24"/>
          <w:szCs w:val="24"/>
        </w:rPr>
        <w:lastRenderedPageBreak/>
        <w:t xml:space="preserve">plus importants est la différence dans la teneur en composés phénoliques et flavonoïdes : dans notre étude, l'extrait aqueux a montré une concentration plus élevée de ces composés, ce qui renforce son efficacité en tant qu'antioxydant, tandis que l'extrait éthanolique contenait une proportion plus élevée de tanins, également reconnus pour leur capacité à neutraliser les radicaux libres. De plus, le type de composés phénoliques présents dans chaque extrait peut varier en termes de structure chimique et d’efficacité biologique. </w:t>
      </w:r>
    </w:p>
    <w:p w14:paraId="52375B08" w14:textId="03DD1E10" w:rsidR="003E3FB4" w:rsidRDefault="00385ED0" w:rsidP="006F4B07">
      <w:pPr>
        <w:tabs>
          <w:tab w:val="left" w:pos="3656"/>
        </w:tabs>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Pr>
          <w:rFonts w:asciiTheme="majorBidi" w:hAnsiTheme="majorBidi" w:cstheme="majorBidi"/>
          <w:b/>
          <w:bCs/>
          <w:sz w:val="24"/>
          <w:szCs w:val="24"/>
        </w:rPr>
        <w:t>III.3.2. Test de réduction de fer FRAP</w:t>
      </w:r>
    </w:p>
    <w:p w14:paraId="30AC2989" w14:textId="77777777" w:rsidR="003E3FB4" w:rsidRDefault="00385ED0">
      <w:pPr>
        <w:tabs>
          <w:tab w:val="left" w:pos="3656"/>
        </w:tabs>
        <w:spacing w:line="360" w:lineRule="auto"/>
        <w:ind w:firstLine="567"/>
        <w:jc w:val="both"/>
        <w:rPr>
          <w:rFonts w:asciiTheme="majorBidi" w:hAnsiTheme="majorBidi" w:cstheme="majorBidi"/>
          <w:b/>
          <w:bCs/>
          <w:sz w:val="24"/>
          <w:szCs w:val="24"/>
        </w:rPr>
      </w:pPr>
      <w:r>
        <w:rPr>
          <w:rFonts w:asciiTheme="majorBidi" w:hAnsiTheme="majorBidi" w:cstheme="majorBidi"/>
          <w:sz w:val="24"/>
          <w:szCs w:val="24"/>
        </w:rPr>
        <w:t xml:space="preserve">Les propriétés réductrices des extraits aqueux et éthanolique des graines de fenugrec a été évaluées en utilisant la méthode de FRAP. Elle est basée sur la capacité de l’extrait à réduire le fer ferrique Fe3+ en fer ferreux Fe2+ </w:t>
      </w:r>
      <w:r>
        <w:rPr>
          <w:rFonts w:asciiTheme="majorBidi" w:hAnsiTheme="majorBidi" w:cstheme="majorBidi"/>
          <w:b/>
          <w:bCs/>
          <w:sz w:val="24"/>
          <w:szCs w:val="24"/>
        </w:rPr>
        <w:t>(figure III.6.).</w:t>
      </w:r>
    </w:p>
    <w:p w14:paraId="57C22843" w14:textId="77777777" w:rsidR="003E3FB4" w:rsidRDefault="00385ED0">
      <w:pPr>
        <w:tabs>
          <w:tab w:val="left" w:pos="3656"/>
        </w:tabs>
        <w:spacing w:line="360" w:lineRule="auto"/>
        <w:jc w:val="center"/>
        <w:rPr>
          <w:rFonts w:asciiTheme="majorBidi" w:hAnsiTheme="majorBidi" w:cstheme="majorBidi"/>
          <w:b/>
          <w:bCs/>
          <w:sz w:val="24"/>
          <w:szCs w:val="24"/>
        </w:rPr>
      </w:pPr>
      <w:r>
        <w:rPr>
          <w:noProof/>
          <w:sz w:val="24"/>
          <w:szCs w:val="24"/>
        </w:rPr>
        <w:drawing>
          <wp:inline distT="0" distB="0" distL="0" distR="0" wp14:anchorId="1E0D6CB0" wp14:editId="040F4D9E">
            <wp:extent cx="4705350" cy="3352800"/>
            <wp:effectExtent l="0" t="0" r="0" b="0"/>
            <wp:docPr id="635982775"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14:paraId="4E8F74B8" w14:textId="77777777" w:rsidR="003E3FB4" w:rsidRDefault="00385ED0">
      <w:pPr>
        <w:tabs>
          <w:tab w:val="left" w:pos="3656"/>
        </w:tabs>
        <w:spacing w:after="120" w:line="360" w:lineRule="auto"/>
        <w:jc w:val="center"/>
        <w:rPr>
          <w:rFonts w:asciiTheme="majorBidi" w:hAnsiTheme="majorBidi" w:cstheme="majorBidi"/>
          <w:sz w:val="24"/>
          <w:szCs w:val="24"/>
        </w:rPr>
      </w:pPr>
      <w:r>
        <w:rPr>
          <w:rFonts w:asciiTheme="majorBidi" w:hAnsiTheme="majorBidi" w:cstheme="majorBidi"/>
          <w:b/>
          <w:bCs/>
          <w:sz w:val="24"/>
          <w:szCs w:val="24"/>
        </w:rPr>
        <w:t>Figure III. 6.</w:t>
      </w:r>
      <w:r>
        <w:rPr>
          <w:rFonts w:asciiTheme="majorBidi" w:hAnsiTheme="majorBidi" w:cstheme="majorBidi"/>
          <w:sz w:val="24"/>
          <w:szCs w:val="24"/>
        </w:rPr>
        <w:t xml:space="preserve"> Évaluation des absorbances des différents extraits aqueux et éthanolique des graines de fenugrec en fonction des concentrations dans le test de réduction de fer.</w:t>
      </w:r>
    </w:p>
    <w:p w14:paraId="707DA3A3" w14:textId="77777777" w:rsidR="003E3FB4" w:rsidRDefault="00385ED0">
      <w:pPr>
        <w:tabs>
          <w:tab w:val="left" w:pos="3656"/>
        </w:tabs>
        <w:spacing w:line="360" w:lineRule="auto"/>
        <w:ind w:firstLine="567"/>
        <w:jc w:val="both"/>
        <w:rPr>
          <w:rFonts w:asciiTheme="majorBidi" w:hAnsiTheme="majorBidi" w:cstheme="majorBidi"/>
          <w:sz w:val="24"/>
          <w:szCs w:val="24"/>
        </w:rPr>
      </w:pPr>
      <w:r>
        <w:rPr>
          <w:rFonts w:asciiTheme="majorBidi" w:hAnsiTheme="majorBidi" w:cstheme="majorBidi"/>
          <w:sz w:val="24"/>
          <w:szCs w:val="24"/>
        </w:rPr>
        <w:t>L'analyse des courbes obtenues par le test de FRAP révèle que les extraits des graines de fenugrec possédant une activité anti oxydante significative. Cette activité est mise en évidence par une augmentation régulière de l'absorbance en fonction des concentrations testées, traduisent une forte capacité à réduire les ions Fe</w:t>
      </w:r>
      <w:r>
        <w:rPr>
          <w:rFonts w:asciiTheme="majorBidi" w:hAnsiTheme="majorBidi" w:cstheme="majorBidi"/>
          <w:sz w:val="24"/>
          <w:szCs w:val="24"/>
          <w:vertAlign w:val="superscript"/>
        </w:rPr>
        <w:t>+3</w:t>
      </w:r>
      <w:r>
        <w:rPr>
          <w:rFonts w:asciiTheme="majorBidi" w:hAnsiTheme="majorBidi" w:cstheme="majorBidi"/>
          <w:sz w:val="24"/>
          <w:szCs w:val="24"/>
        </w:rPr>
        <w:t xml:space="preserve"> en Fe</w:t>
      </w:r>
      <w:r>
        <w:rPr>
          <w:rFonts w:asciiTheme="majorBidi" w:hAnsiTheme="majorBidi" w:cstheme="majorBidi"/>
          <w:sz w:val="24"/>
          <w:szCs w:val="24"/>
          <w:vertAlign w:val="superscript"/>
        </w:rPr>
        <w:t>+2</w:t>
      </w:r>
      <w:r>
        <w:rPr>
          <w:rFonts w:asciiTheme="majorBidi" w:hAnsiTheme="majorBidi" w:cstheme="majorBidi"/>
          <w:sz w:val="24"/>
          <w:szCs w:val="24"/>
        </w:rPr>
        <w:t xml:space="preserve">. </w:t>
      </w:r>
    </w:p>
    <w:p w14:paraId="1EFB9A87" w14:textId="77777777" w:rsidR="003E3FB4" w:rsidRDefault="003E3FB4">
      <w:pPr>
        <w:tabs>
          <w:tab w:val="left" w:pos="3656"/>
        </w:tabs>
        <w:spacing w:line="360" w:lineRule="auto"/>
        <w:ind w:firstLine="567"/>
        <w:jc w:val="both"/>
        <w:rPr>
          <w:rFonts w:asciiTheme="majorBidi" w:hAnsiTheme="majorBidi" w:cstheme="majorBidi"/>
          <w:sz w:val="24"/>
          <w:szCs w:val="24"/>
        </w:rPr>
      </w:pPr>
    </w:p>
    <w:p w14:paraId="3563FFB1" w14:textId="77777777" w:rsidR="003E3FB4" w:rsidRDefault="003E3FB4">
      <w:pPr>
        <w:tabs>
          <w:tab w:val="left" w:pos="3656"/>
        </w:tabs>
        <w:spacing w:line="360" w:lineRule="auto"/>
        <w:ind w:firstLine="567"/>
        <w:jc w:val="both"/>
        <w:rPr>
          <w:rFonts w:asciiTheme="majorBidi" w:hAnsiTheme="majorBidi" w:cstheme="majorBidi"/>
          <w:sz w:val="24"/>
          <w:szCs w:val="24"/>
        </w:rPr>
      </w:pPr>
    </w:p>
    <w:p w14:paraId="5854EA30" w14:textId="77777777" w:rsidR="003E3FB4" w:rsidRDefault="00385ED0">
      <w:pPr>
        <w:tabs>
          <w:tab w:val="left" w:pos="3656"/>
        </w:tabs>
        <w:spacing w:line="360" w:lineRule="auto"/>
        <w:ind w:firstLine="567"/>
        <w:jc w:val="both"/>
        <w:rPr>
          <w:rFonts w:asciiTheme="majorBidi" w:hAnsiTheme="majorBidi" w:cstheme="majorBidi"/>
          <w:sz w:val="24"/>
          <w:szCs w:val="24"/>
        </w:rPr>
      </w:pPr>
      <w:r>
        <w:rPr>
          <w:rFonts w:asciiTheme="majorBidi" w:hAnsiTheme="majorBidi" w:cstheme="majorBidi"/>
          <w:sz w:val="24"/>
          <w:szCs w:val="24"/>
        </w:rPr>
        <w:lastRenderedPageBreak/>
        <w:t>Lors de l’évaluation du pouvoir réducteur des extraits éthanolique et aqueux de fenugrec, en comparaison avec le BHT et l’acide ascorbique, à une concentration de 400 μg/ml, il a été observé que l’extrait éthanolique présentait une capacité de réduction du fer notable, avec une absorbance de 0,582, tandis que l’extrait aqueux atteignait une valeur légèrement supérieure, à 0,613. À une concentration plus faible (10 μg/ml), une activité antioxydante minimale a été enregistrée, avec des valeurs d’absorbance de 0,112 pour l’extrait éthanolique et de 0,080 pour l’extrait aqueux.</w:t>
      </w:r>
    </w:p>
    <w:p w14:paraId="4CA918D1" w14:textId="77777777" w:rsidR="003E3FB4" w:rsidRDefault="00385ED0">
      <w:pPr>
        <w:tabs>
          <w:tab w:val="left" w:pos="3656"/>
        </w:tabs>
        <w:spacing w:line="360" w:lineRule="auto"/>
        <w:ind w:firstLine="567"/>
        <w:jc w:val="both"/>
        <w:rPr>
          <w:rFonts w:asciiTheme="majorBidi" w:hAnsiTheme="majorBidi" w:cstheme="majorBidi"/>
          <w:sz w:val="24"/>
          <w:szCs w:val="24"/>
        </w:rPr>
      </w:pPr>
      <w:r>
        <w:rPr>
          <w:rFonts w:asciiTheme="majorBidi" w:hAnsiTheme="majorBidi" w:cstheme="majorBidi"/>
          <w:sz w:val="24"/>
          <w:szCs w:val="24"/>
        </w:rPr>
        <w:t>En ce qui concerne les standards de référence, le BHT et l’acide ascorbique ont affiché une absorbance maximale de 0,618 à 400 μg/ml, traduisant une capacité réductrice plus marquée. À 10 μg/ml, leur activité reste modérée avec une absorbance de 0,180.</w:t>
      </w:r>
    </w:p>
    <w:p w14:paraId="0E29DA8D" w14:textId="77777777" w:rsidR="003E3FB4" w:rsidRDefault="00385ED0">
      <w:pPr>
        <w:tabs>
          <w:tab w:val="left" w:pos="3656"/>
        </w:tabs>
        <w:spacing w:line="360" w:lineRule="auto"/>
        <w:ind w:firstLine="567"/>
        <w:jc w:val="both"/>
        <w:rPr>
          <w:rFonts w:asciiTheme="majorBidi" w:hAnsiTheme="majorBidi" w:cstheme="majorBidi"/>
          <w:sz w:val="24"/>
          <w:szCs w:val="24"/>
        </w:rPr>
      </w:pPr>
      <w:r>
        <w:rPr>
          <w:rFonts w:asciiTheme="majorBidi" w:hAnsiTheme="majorBidi" w:cstheme="majorBidi"/>
          <w:sz w:val="24"/>
          <w:szCs w:val="24"/>
        </w:rPr>
        <w:t>Ces résultats indiquent que, selon la méthode FRAP, les extraits aqueux et éthanolique de fenugrec possèdent une activité antioxydante comparable à celle du BHT et de l’acide ascorbique, bien que ces derniers demeurent légèrement plus efficaces.</w:t>
      </w:r>
    </w:p>
    <w:p w14:paraId="76B217C7" w14:textId="77777777" w:rsidR="003E3FB4" w:rsidRDefault="00385ED0">
      <w:pPr>
        <w:tabs>
          <w:tab w:val="left" w:pos="3656"/>
        </w:tabs>
        <w:spacing w:line="360" w:lineRule="auto"/>
        <w:ind w:firstLine="567"/>
        <w:jc w:val="both"/>
        <w:rPr>
          <w:rFonts w:asciiTheme="majorBidi" w:hAnsiTheme="majorBidi" w:cstheme="majorBidi"/>
          <w:sz w:val="24"/>
          <w:szCs w:val="24"/>
        </w:rPr>
      </w:pPr>
      <w:r>
        <w:rPr>
          <w:rFonts w:asciiTheme="majorBidi" w:hAnsiTheme="majorBidi" w:cstheme="majorBidi"/>
          <w:sz w:val="24"/>
          <w:szCs w:val="24"/>
        </w:rPr>
        <w:t>Le pouvoir antioxydant des extraits aqueux et éthanolique des graines fenugrec est le plus souvent évalué par la détermination de la concentration inhibitrice IC50, car elle reflète la concentration d’un antioxydant nécessaire pour neutraliser 50 % de la concentration initiale du radical libre dans le milieu réactionnel. Elle est inversement liée à la capacité test réducteur de fer FRAP de l’antioxydant, plus elle est basse, plus l’activité antioxydante d’un extrait est plus élevée.</w:t>
      </w:r>
    </w:p>
    <w:p w14:paraId="29473537" w14:textId="77777777" w:rsidR="003E3FB4" w:rsidRDefault="00385ED0">
      <w:pPr>
        <w:tabs>
          <w:tab w:val="left" w:pos="3656"/>
        </w:tabs>
        <w:spacing w:line="360" w:lineRule="auto"/>
        <w:ind w:firstLine="567"/>
        <w:jc w:val="both"/>
        <w:rPr>
          <w:rFonts w:asciiTheme="majorBidi" w:hAnsiTheme="majorBidi" w:cstheme="majorBidi"/>
          <w:sz w:val="24"/>
          <w:szCs w:val="24"/>
        </w:rPr>
      </w:pPr>
      <w:r>
        <w:rPr>
          <w:rFonts w:asciiTheme="majorBidi" w:hAnsiTheme="majorBidi" w:cstheme="majorBidi"/>
          <w:sz w:val="24"/>
          <w:szCs w:val="24"/>
        </w:rPr>
        <w:t>Les résultats de l’analyse de variance présentent une différence très significative entre les deux types d’extrait de fenugrec et le BHT (</w:t>
      </w:r>
      <w:r>
        <w:rPr>
          <w:rFonts w:asciiTheme="majorBidi" w:hAnsiTheme="majorBidi" w:cstheme="majorBidi"/>
          <w:i/>
          <w:iCs/>
          <w:sz w:val="24"/>
          <w:szCs w:val="24"/>
        </w:rPr>
        <w:t>p</w:t>
      </w:r>
      <w:r>
        <w:rPr>
          <w:rFonts w:asciiTheme="majorBidi" w:hAnsiTheme="majorBidi" w:cstheme="majorBidi"/>
          <w:sz w:val="24"/>
          <w:szCs w:val="24"/>
        </w:rPr>
        <w:t xml:space="preserve">=1.2*10-5  </w:t>
      </w:r>
      <w:r>
        <w:rPr>
          <w:rFonts w:asciiTheme="majorBidi" w:hAnsiTheme="majorBidi" w:cstheme="majorBidi"/>
          <w:i/>
          <w:iCs/>
          <w:sz w:val="24"/>
          <w:szCs w:val="24"/>
        </w:rPr>
        <w:t xml:space="preserve"> p</w:t>
      </w:r>
      <w:r>
        <w:rPr>
          <w:rFonts w:asciiTheme="majorBidi" w:hAnsiTheme="majorBidi" w:cstheme="majorBidi"/>
          <w:sz w:val="24"/>
          <w:szCs w:val="24"/>
        </w:rPr>
        <w:t xml:space="preserve">&lt;0.05).  </w:t>
      </w:r>
    </w:p>
    <w:p w14:paraId="2BD145A4" w14:textId="77777777" w:rsidR="003E3FB4" w:rsidRDefault="00385ED0">
      <w:pPr>
        <w:tabs>
          <w:tab w:val="left" w:pos="3656"/>
        </w:tabs>
        <w:spacing w:line="360" w:lineRule="auto"/>
        <w:jc w:val="center"/>
        <w:rPr>
          <w:rFonts w:asciiTheme="majorBidi" w:hAnsiTheme="majorBidi" w:cstheme="majorBidi"/>
          <w:sz w:val="24"/>
          <w:szCs w:val="24"/>
        </w:rPr>
      </w:pPr>
      <w:r>
        <w:rPr>
          <w:rFonts w:asciiTheme="majorBidi" w:hAnsiTheme="majorBidi" w:cstheme="majorBidi"/>
          <w:b/>
          <w:bCs/>
          <w:sz w:val="24"/>
          <w:szCs w:val="24"/>
        </w:rPr>
        <w:t xml:space="preserve">Tableau III.3. </w:t>
      </w:r>
      <w:r>
        <w:rPr>
          <w:rFonts w:asciiTheme="majorBidi" w:hAnsiTheme="majorBidi" w:cstheme="majorBidi"/>
          <w:sz w:val="24"/>
          <w:szCs w:val="24"/>
        </w:rPr>
        <w:t>Concentration inhibitrice IC50 (µg/ml) de test de réduction de fer FRAP</w:t>
      </w:r>
    </w:p>
    <w:tbl>
      <w:tblPr>
        <w:tblStyle w:val="Grilledutableau"/>
        <w:tblW w:w="9102" w:type="dxa"/>
        <w:tblLook w:val="04A0" w:firstRow="1" w:lastRow="0" w:firstColumn="1" w:lastColumn="0" w:noHBand="0" w:noVBand="1"/>
      </w:tblPr>
      <w:tblGrid>
        <w:gridCol w:w="2237"/>
        <w:gridCol w:w="2294"/>
        <w:gridCol w:w="1769"/>
        <w:gridCol w:w="2802"/>
      </w:tblGrid>
      <w:tr w:rsidR="003E3FB4" w14:paraId="75DE7F71" w14:textId="77777777">
        <w:trPr>
          <w:trHeight w:val="582"/>
        </w:trPr>
        <w:tc>
          <w:tcPr>
            <w:tcW w:w="2237" w:type="dxa"/>
          </w:tcPr>
          <w:p w14:paraId="16696312" w14:textId="77777777" w:rsidR="003E3FB4" w:rsidRDefault="00385ED0">
            <w:pPr>
              <w:tabs>
                <w:tab w:val="left" w:pos="3656"/>
              </w:tabs>
              <w:spacing w:after="0" w:line="240" w:lineRule="auto"/>
              <w:jc w:val="center"/>
              <w:rPr>
                <w:rFonts w:asciiTheme="majorBidi" w:hAnsiTheme="majorBidi" w:cstheme="majorBidi"/>
                <w:b/>
                <w:bCs/>
                <w:sz w:val="24"/>
                <w:szCs w:val="24"/>
              </w:rPr>
            </w:pPr>
            <w:r>
              <w:rPr>
                <w:rFonts w:asciiTheme="majorBidi" w:hAnsiTheme="majorBidi" w:cstheme="majorBidi"/>
                <w:b/>
                <w:bCs/>
                <w:sz w:val="24"/>
                <w:szCs w:val="24"/>
              </w:rPr>
              <w:t>Extrait aqueux</w:t>
            </w:r>
          </w:p>
        </w:tc>
        <w:tc>
          <w:tcPr>
            <w:tcW w:w="2294" w:type="dxa"/>
          </w:tcPr>
          <w:p w14:paraId="640A6FBF" w14:textId="77777777" w:rsidR="003E3FB4" w:rsidRDefault="00385ED0">
            <w:pPr>
              <w:tabs>
                <w:tab w:val="left" w:pos="3656"/>
              </w:tabs>
              <w:spacing w:after="0" w:line="240" w:lineRule="auto"/>
              <w:jc w:val="center"/>
              <w:rPr>
                <w:rFonts w:asciiTheme="majorBidi" w:hAnsiTheme="majorBidi" w:cstheme="majorBidi"/>
                <w:b/>
                <w:bCs/>
                <w:sz w:val="24"/>
                <w:szCs w:val="24"/>
              </w:rPr>
            </w:pPr>
            <w:r>
              <w:rPr>
                <w:rFonts w:asciiTheme="majorBidi" w:hAnsiTheme="majorBidi" w:cstheme="majorBidi"/>
                <w:b/>
                <w:bCs/>
                <w:sz w:val="24"/>
                <w:szCs w:val="24"/>
              </w:rPr>
              <w:t>Extrait éthanolique</w:t>
            </w:r>
          </w:p>
        </w:tc>
        <w:tc>
          <w:tcPr>
            <w:tcW w:w="1769" w:type="dxa"/>
          </w:tcPr>
          <w:p w14:paraId="7F6DD3CA" w14:textId="77777777" w:rsidR="003E3FB4" w:rsidRDefault="00385ED0">
            <w:pPr>
              <w:tabs>
                <w:tab w:val="left" w:pos="3656"/>
              </w:tabs>
              <w:spacing w:after="0" w:line="240" w:lineRule="auto"/>
              <w:jc w:val="center"/>
              <w:rPr>
                <w:rFonts w:asciiTheme="majorBidi" w:hAnsiTheme="majorBidi" w:cstheme="majorBidi"/>
                <w:b/>
                <w:bCs/>
                <w:sz w:val="24"/>
                <w:szCs w:val="24"/>
              </w:rPr>
            </w:pPr>
            <w:r>
              <w:rPr>
                <w:rFonts w:asciiTheme="majorBidi" w:hAnsiTheme="majorBidi" w:cstheme="majorBidi"/>
                <w:b/>
                <w:bCs/>
                <w:sz w:val="24"/>
                <w:szCs w:val="24"/>
              </w:rPr>
              <w:t>BHT</w:t>
            </w:r>
          </w:p>
        </w:tc>
        <w:tc>
          <w:tcPr>
            <w:tcW w:w="2802" w:type="dxa"/>
          </w:tcPr>
          <w:p w14:paraId="3362F1AE" w14:textId="77777777" w:rsidR="003E3FB4" w:rsidRDefault="00385ED0">
            <w:pPr>
              <w:tabs>
                <w:tab w:val="left" w:pos="3656"/>
              </w:tabs>
              <w:spacing w:after="0" w:line="240" w:lineRule="auto"/>
              <w:jc w:val="center"/>
              <w:rPr>
                <w:rFonts w:asciiTheme="majorBidi" w:hAnsiTheme="majorBidi" w:cstheme="majorBidi"/>
                <w:b/>
                <w:bCs/>
                <w:sz w:val="24"/>
                <w:szCs w:val="24"/>
              </w:rPr>
            </w:pPr>
            <w:r>
              <w:rPr>
                <w:rFonts w:asciiTheme="majorBidi" w:hAnsiTheme="majorBidi" w:cstheme="majorBidi"/>
                <w:b/>
                <w:bCs/>
                <w:sz w:val="24"/>
                <w:szCs w:val="24"/>
              </w:rPr>
              <w:t>Acide ascorbique</w:t>
            </w:r>
          </w:p>
        </w:tc>
      </w:tr>
      <w:tr w:rsidR="003E3FB4" w14:paraId="716F3A78" w14:textId="77777777">
        <w:trPr>
          <w:trHeight w:val="547"/>
        </w:trPr>
        <w:tc>
          <w:tcPr>
            <w:tcW w:w="2237" w:type="dxa"/>
          </w:tcPr>
          <w:p w14:paraId="73CC0D15" w14:textId="77777777" w:rsidR="003E3FB4" w:rsidRDefault="00385ED0">
            <w:pPr>
              <w:tabs>
                <w:tab w:val="left" w:pos="3656"/>
              </w:tabs>
              <w:spacing w:after="0" w:line="240" w:lineRule="auto"/>
              <w:jc w:val="center"/>
              <w:rPr>
                <w:rFonts w:asciiTheme="majorBidi" w:hAnsiTheme="majorBidi" w:cstheme="majorBidi"/>
                <w:sz w:val="24"/>
                <w:szCs w:val="24"/>
              </w:rPr>
            </w:pPr>
            <w:r>
              <w:rPr>
                <w:rFonts w:asciiTheme="majorBidi" w:hAnsiTheme="majorBidi" w:cstheme="majorBidi"/>
                <w:sz w:val="24"/>
                <w:szCs w:val="24"/>
              </w:rPr>
              <w:t>49,89±0.70 a</w:t>
            </w:r>
          </w:p>
        </w:tc>
        <w:tc>
          <w:tcPr>
            <w:tcW w:w="2294" w:type="dxa"/>
          </w:tcPr>
          <w:p w14:paraId="761EC25B" w14:textId="77777777" w:rsidR="003E3FB4" w:rsidRDefault="00385ED0">
            <w:pPr>
              <w:tabs>
                <w:tab w:val="left" w:pos="3656"/>
              </w:tabs>
              <w:spacing w:after="0" w:line="240" w:lineRule="auto"/>
              <w:jc w:val="center"/>
              <w:rPr>
                <w:rFonts w:asciiTheme="majorBidi" w:hAnsiTheme="majorBidi" w:cstheme="majorBidi"/>
                <w:sz w:val="24"/>
                <w:szCs w:val="24"/>
              </w:rPr>
            </w:pPr>
            <w:r>
              <w:rPr>
                <w:rFonts w:asciiTheme="majorBidi" w:hAnsiTheme="majorBidi" w:cstheme="majorBidi"/>
                <w:sz w:val="24"/>
                <w:szCs w:val="24"/>
              </w:rPr>
              <w:t xml:space="preserve">36,96±0.25 b </w:t>
            </w:r>
          </w:p>
        </w:tc>
        <w:tc>
          <w:tcPr>
            <w:tcW w:w="1769" w:type="dxa"/>
          </w:tcPr>
          <w:p w14:paraId="15131446" w14:textId="77777777" w:rsidR="003E3FB4" w:rsidRDefault="00385ED0">
            <w:pPr>
              <w:tabs>
                <w:tab w:val="left" w:pos="3656"/>
              </w:tabs>
              <w:spacing w:after="0" w:line="240" w:lineRule="auto"/>
              <w:jc w:val="center"/>
              <w:rPr>
                <w:rFonts w:asciiTheme="majorBidi" w:hAnsiTheme="majorBidi" w:cstheme="majorBidi"/>
                <w:sz w:val="24"/>
                <w:szCs w:val="24"/>
              </w:rPr>
            </w:pPr>
            <w:r>
              <w:rPr>
                <w:rFonts w:asciiTheme="majorBidi" w:hAnsiTheme="majorBidi" w:cstheme="majorBidi"/>
                <w:sz w:val="24"/>
                <w:szCs w:val="24"/>
              </w:rPr>
              <w:t>36,41± 1.32 b</w:t>
            </w:r>
          </w:p>
        </w:tc>
        <w:tc>
          <w:tcPr>
            <w:tcW w:w="2802" w:type="dxa"/>
          </w:tcPr>
          <w:p w14:paraId="17FD749C" w14:textId="77777777" w:rsidR="003E3FB4" w:rsidRDefault="00385ED0">
            <w:pPr>
              <w:tabs>
                <w:tab w:val="left" w:pos="3656"/>
              </w:tabs>
              <w:spacing w:after="0" w:line="240" w:lineRule="auto"/>
              <w:jc w:val="center"/>
              <w:rPr>
                <w:rFonts w:asciiTheme="majorBidi" w:hAnsiTheme="majorBidi" w:cstheme="majorBidi"/>
                <w:sz w:val="24"/>
                <w:szCs w:val="24"/>
              </w:rPr>
            </w:pPr>
            <w:r>
              <w:rPr>
                <w:rFonts w:asciiTheme="majorBidi" w:hAnsiTheme="majorBidi" w:cstheme="majorBidi"/>
                <w:sz w:val="24"/>
                <w:szCs w:val="24"/>
              </w:rPr>
              <w:t>35,51±1.58 b</w:t>
            </w:r>
          </w:p>
        </w:tc>
      </w:tr>
    </w:tbl>
    <w:p w14:paraId="5322F777" w14:textId="77777777" w:rsidR="003E3FB4" w:rsidRDefault="003E3FB4">
      <w:pPr>
        <w:tabs>
          <w:tab w:val="left" w:pos="3656"/>
        </w:tabs>
        <w:spacing w:line="360" w:lineRule="auto"/>
        <w:jc w:val="both"/>
        <w:rPr>
          <w:rFonts w:asciiTheme="majorBidi" w:hAnsiTheme="majorBidi" w:cstheme="majorBidi"/>
          <w:sz w:val="24"/>
          <w:szCs w:val="24"/>
        </w:rPr>
      </w:pPr>
    </w:p>
    <w:p w14:paraId="7F7C8364" w14:textId="77777777" w:rsidR="003E3FB4" w:rsidRDefault="00385ED0">
      <w:pPr>
        <w:tabs>
          <w:tab w:val="left" w:pos="3656"/>
        </w:tabs>
        <w:spacing w:line="360" w:lineRule="auto"/>
        <w:ind w:firstLine="567"/>
        <w:jc w:val="both"/>
        <w:rPr>
          <w:rFonts w:asciiTheme="majorBidi" w:hAnsiTheme="majorBidi" w:cstheme="majorBidi"/>
          <w:sz w:val="24"/>
          <w:szCs w:val="24"/>
        </w:rPr>
      </w:pPr>
      <w:r>
        <w:rPr>
          <w:rFonts w:asciiTheme="majorBidi" w:hAnsiTheme="majorBidi" w:cstheme="majorBidi"/>
          <w:sz w:val="24"/>
          <w:szCs w:val="24"/>
        </w:rPr>
        <w:t>Les résultats présentés dans le tableau III.3 du test FRAP montrent que l’extrait aqueux a révélé une activité antioxydante plus faible, avec une valeur d’IC₅₀ de 49,89 ± 0.70 µg/ml, comparativement à l’extrait éthanolique dont l’IC₅₀ est de 36,96 ± 0,25 µg/ml. En comparaison, le BHT, utilisé comme standard, a affiché une valeur d’IC₅₀ de 36,41 ± 1,32 µg/ml, légèrement supérieure à celle de l’acide ascorbique, qui a enregistré une IC₅₀ de 35,51 µg/ml.</w:t>
      </w:r>
    </w:p>
    <w:p w14:paraId="66C99A7F" w14:textId="77777777" w:rsidR="003E3FB4" w:rsidRDefault="00385ED0">
      <w:pPr>
        <w:tabs>
          <w:tab w:val="left" w:pos="3656"/>
        </w:tabs>
        <w:spacing w:line="360" w:lineRule="auto"/>
        <w:ind w:firstLine="567"/>
        <w:jc w:val="both"/>
        <w:rPr>
          <w:rFonts w:asciiTheme="majorBidi" w:hAnsiTheme="majorBidi" w:cstheme="majorBidi"/>
          <w:sz w:val="24"/>
          <w:szCs w:val="24"/>
        </w:rPr>
      </w:pPr>
      <w:r>
        <w:rPr>
          <w:rFonts w:asciiTheme="majorBidi" w:hAnsiTheme="majorBidi" w:cstheme="majorBidi"/>
          <w:sz w:val="24"/>
          <w:szCs w:val="24"/>
        </w:rPr>
        <w:lastRenderedPageBreak/>
        <w:t>Étant donné que la valeur d’IC₅₀ est inversement proportionnelle à la capacité antioxydante, ces résultats suggèrent que l’acide ascorbique possède le pouvoir réducteur le plus élevé, suivi du BHT, de l’extrait éthanolique, puis de l’extrait aqueux.</w:t>
      </w:r>
    </w:p>
    <w:p w14:paraId="5F38EE0D" w14:textId="77777777" w:rsidR="003E3FB4" w:rsidRDefault="00385ED0">
      <w:pPr>
        <w:tabs>
          <w:tab w:val="left" w:pos="3656"/>
        </w:tabs>
        <w:spacing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 En comparaison, l’étude de </w:t>
      </w:r>
      <w:r>
        <w:rPr>
          <w:rFonts w:asciiTheme="majorBidi" w:hAnsiTheme="majorBidi" w:cstheme="majorBidi"/>
          <w:b/>
          <w:bCs/>
          <w:sz w:val="24"/>
          <w:szCs w:val="24"/>
        </w:rPr>
        <w:t xml:space="preserve">Volkan Aylanc et </w:t>
      </w:r>
      <w:r>
        <w:rPr>
          <w:rFonts w:asciiTheme="majorBidi" w:hAnsiTheme="majorBidi" w:cstheme="majorBidi"/>
          <w:b/>
          <w:bCs/>
          <w:i/>
          <w:iCs/>
          <w:sz w:val="24"/>
          <w:szCs w:val="24"/>
        </w:rPr>
        <w:t>al.</w:t>
      </w:r>
      <w:r>
        <w:rPr>
          <w:rFonts w:asciiTheme="majorBidi" w:hAnsiTheme="majorBidi" w:cstheme="majorBidi"/>
          <w:b/>
          <w:bCs/>
          <w:sz w:val="24"/>
          <w:szCs w:val="24"/>
        </w:rPr>
        <w:t xml:space="preserve">, (2020) </w:t>
      </w:r>
      <w:r>
        <w:rPr>
          <w:rFonts w:asciiTheme="majorBidi" w:hAnsiTheme="majorBidi" w:cstheme="majorBidi"/>
          <w:sz w:val="24"/>
          <w:szCs w:val="24"/>
        </w:rPr>
        <w:t xml:space="preserve">a également évalué l’activité antioxydante par la méthode FRAP sur les extraits de </w:t>
      </w:r>
      <w:r>
        <w:rPr>
          <w:rFonts w:asciiTheme="majorBidi" w:hAnsiTheme="majorBidi" w:cstheme="majorBidi"/>
          <w:i/>
          <w:iCs/>
          <w:sz w:val="24"/>
          <w:szCs w:val="24"/>
        </w:rPr>
        <w:t>T. spruneriana</w:t>
      </w:r>
      <w:r>
        <w:rPr>
          <w:rFonts w:asciiTheme="majorBidi" w:hAnsiTheme="majorBidi" w:cstheme="majorBidi"/>
          <w:sz w:val="24"/>
          <w:szCs w:val="24"/>
        </w:rPr>
        <w:t xml:space="preserve"> à l’aide de solvants de polarité variable. Les extraits méthanolique et éthanolique ont présenté les valeurs les plus élevées de pouvoir réducteur, tandis que l’extrait aqueux a affiché la valeur la plus faible. Ces résultats indiquent que, dans leur cas, les solvants polaires comme le méthanol et l’éthanol ont permis une meilleure extraction des composés antioxydants.</w:t>
      </w:r>
    </w:p>
    <w:p w14:paraId="2611427D" w14:textId="77777777" w:rsidR="003E3FB4" w:rsidRDefault="00385ED0">
      <w:pPr>
        <w:tabs>
          <w:tab w:val="left" w:pos="3656"/>
        </w:tabs>
        <w:spacing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 Cette différence peut être attribuée à la composition chimique des plantes étudiées (</w:t>
      </w:r>
      <w:r>
        <w:rPr>
          <w:rFonts w:asciiTheme="majorBidi" w:hAnsiTheme="majorBidi" w:cstheme="majorBidi"/>
          <w:i/>
          <w:iCs/>
          <w:sz w:val="24"/>
          <w:szCs w:val="24"/>
        </w:rPr>
        <w:t>T. foenum-graecum, T. spruneriana</w:t>
      </w:r>
      <w:r>
        <w:rPr>
          <w:rFonts w:asciiTheme="majorBidi" w:hAnsiTheme="majorBidi" w:cstheme="majorBidi"/>
          <w:sz w:val="24"/>
          <w:szCs w:val="24"/>
        </w:rPr>
        <w:t>), ainsi qu’à l’influence du solvant utilisé.</w:t>
      </w:r>
      <w:r>
        <w:rPr>
          <w:sz w:val="24"/>
          <w:szCs w:val="24"/>
        </w:rPr>
        <w:t xml:space="preserve"> </w:t>
      </w:r>
      <w:r>
        <w:rPr>
          <w:rFonts w:asciiTheme="majorBidi" w:hAnsiTheme="majorBidi" w:cstheme="majorBidi"/>
          <w:sz w:val="24"/>
          <w:szCs w:val="24"/>
        </w:rPr>
        <w:t>En effet, la polarité du solvant joue un rôle crucial dans l’extraction des composés antioxydants, comme le soulignent plusieurs études.</w:t>
      </w:r>
    </w:p>
    <w:p w14:paraId="7F30801C" w14:textId="77777777" w:rsidR="003E3FB4" w:rsidRDefault="00385ED0">
      <w:pPr>
        <w:tabs>
          <w:tab w:val="left" w:pos="3656"/>
        </w:tabs>
        <w:spacing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 La corrélation positive observée entre les teneurs en flavonoïdes totaux (TFC) et l’activité FRAP chez </w:t>
      </w:r>
      <w:r>
        <w:rPr>
          <w:rFonts w:asciiTheme="majorBidi" w:hAnsiTheme="majorBidi" w:cstheme="majorBidi"/>
          <w:i/>
          <w:iCs/>
          <w:sz w:val="24"/>
          <w:szCs w:val="24"/>
        </w:rPr>
        <w:t>T. spruneriana</w:t>
      </w:r>
      <w:r>
        <w:rPr>
          <w:rFonts w:asciiTheme="majorBidi" w:hAnsiTheme="majorBidi" w:cstheme="majorBidi"/>
          <w:sz w:val="24"/>
          <w:szCs w:val="24"/>
        </w:rPr>
        <w:t xml:space="preserve"> appuie cette idée. En revanche, l’étude menée par</w:t>
      </w:r>
      <w:r>
        <w:rPr>
          <w:rFonts w:asciiTheme="majorBidi" w:hAnsiTheme="majorBidi" w:cstheme="majorBidi"/>
          <w:b/>
          <w:bCs/>
          <w:sz w:val="24"/>
          <w:szCs w:val="24"/>
        </w:rPr>
        <w:t xml:space="preserve"> Benziane et </w:t>
      </w:r>
      <w:r>
        <w:rPr>
          <w:rFonts w:asciiTheme="majorBidi" w:hAnsiTheme="majorBidi" w:cstheme="majorBidi"/>
          <w:b/>
          <w:bCs/>
          <w:i/>
          <w:iCs/>
          <w:sz w:val="24"/>
          <w:szCs w:val="24"/>
        </w:rPr>
        <w:t>al.</w:t>
      </w:r>
      <w:r>
        <w:rPr>
          <w:rFonts w:asciiTheme="majorBidi" w:hAnsiTheme="majorBidi" w:cstheme="majorBidi"/>
          <w:b/>
          <w:bCs/>
          <w:sz w:val="24"/>
          <w:szCs w:val="24"/>
        </w:rPr>
        <w:t>, (2019</w:t>
      </w:r>
      <w:r>
        <w:rPr>
          <w:rFonts w:asciiTheme="majorBidi" w:hAnsiTheme="majorBidi" w:cstheme="majorBidi"/>
          <w:sz w:val="24"/>
          <w:szCs w:val="24"/>
        </w:rPr>
        <w:t xml:space="preserve">) a montré que l’activité antioxydante mesurée par le test FRAP pour les extraits de fenugrec préparés par macération et décoction était respectivement de 56,37 ± 0,24 et 56,90 ± 0,013 mg équivalent acide ascorbique/100 g. Malgré la différence dans les unités de mesure (IC₅₀ µg/ml dans notre étude contre mg AAE/100 g dans l’étude comparative), les résultats indiquent une activité réductrice notable des extraits de fenugrec dans les deux études. De plus, la proximité des valeurs obtenues par macération et décoction dans l’étude précédente renforce l’idée que les extraits aqueux, sous différentes conditions d’extraction, peuvent conserver une bonne efficacité antioxydante, ce qui est en accord avec nos résultats. </w:t>
      </w:r>
    </w:p>
    <w:p w14:paraId="02AFB60D" w14:textId="77777777" w:rsidR="003E3FB4" w:rsidRDefault="00385ED0">
      <w:pPr>
        <w:tabs>
          <w:tab w:val="left" w:pos="3656"/>
        </w:tabs>
        <w:spacing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Dans une étude menée par </w:t>
      </w:r>
      <w:r>
        <w:rPr>
          <w:rFonts w:asciiTheme="majorBidi" w:hAnsiTheme="majorBidi" w:cstheme="majorBidi"/>
          <w:b/>
          <w:bCs/>
          <w:sz w:val="24"/>
          <w:szCs w:val="24"/>
        </w:rPr>
        <w:t xml:space="preserve">Bukhari et </w:t>
      </w:r>
      <w:r>
        <w:rPr>
          <w:rFonts w:asciiTheme="majorBidi" w:hAnsiTheme="majorBidi" w:cstheme="majorBidi"/>
          <w:b/>
          <w:bCs/>
          <w:i/>
          <w:iCs/>
          <w:sz w:val="24"/>
          <w:szCs w:val="24"/>
        </w:rPr>
        <w:t>al.</w:t>
      </w:r>
      <w:r>
        <w:rPr>
          <w:rFonts w:asciiTheme="majorBidi" w:hAnsiTheme="majorBidi" w:cstheme="majorBidi"/>
          <w:b/>
          <w:bCs/>
          <w:sz w:val="24"/>
          <w:szCs w:val="24"/>
        </w:rPr>
        <w:t>, (2008)</w:t>
      </w:r>
      <w:r>
        <w:rPr>
          <w:rFonts w:asciiTheme="majorBidi" w:hAnsiTheme="majorBidi" w:cstheme="majorBidi"/>
          <w:sz w:val="24"/>
          <w:szCs w:val="24"/>
        </w:rPr>
        <w:t xml:space="preserve"> sur l’extrait méthanolique des graines de fenugrec, il a été observé que la valeur FRAP a 0.5 était supérieure à 200 µg/ml. Cela indique que l’extrait n’a pas atteint une capacité de réduction de 50 % dans la gamme de</w:t>
      </w:r>
      <w:r>
        <w:rPr>
          <w:sz w:val="24"/>
          <w:szCs w:val="24"/>
        </w:rPr>
        <w:t xml:space="preserve"> </w:t>
      </w:r>
      <w:r>
        <w:rPr>
          <w:rFonts w:asciiTheme="majorBidi" w:hAnsiTheme="majorBidi" w:cstheme="majorBidi"/>
          <w:sz w:val="24"/>
          <w:szCs w:val="24"/>
        </w:rPr>
        <w:t xml:space="preserve">concentrations testée, traduisant ainsi une activité antioxydante relativement faible selon le test FRAP, et ne permettant pas la détermination précise de la valeur A0.5. Les résultats du test du pouvoir antioxydant réducteur du fer (FRAP), mené par </w:t>
      </w:r>
      <w:r>
        <w:rPr>
          <w:rFonts w:asciiTheme="majorBidi" w:hAnsiTheme="majorBidi" w:cstheme="majorBidi"/>
          <w:b/>
          <w:bCs/>
          <w:sz w:val="24"/>
          <w:szCs w:val="24"/>
        </w:rPr>
        <w:t>Al Mashkor en 2014</w:t>
      </w:r>
      <w:r>
        <w:rPr>
          <w:rFonts w:asciiTheme="majorBidi" w:hAnsiTheme="majorBidi" w:cstheme="majorBidi"/>
          <w:sz w:val="24"/>
          <w:szCs w:val="24"/>
        </w:rPr>
        <w:t xml:space="preserve">, ont montré que l'extrait de graines de fenugrec obtenu avec de l'acétone à 50 % présentait l'activité réductrice la plus élevée, avec une moyenne de 47,39 mg équivalent Trolox (TE)/100 g de matière sèche, suivi par l'extrait au méthanol à 50 %, qui a enregistré une valeur de 43,92 mg TE/100 g. Ces </w:t>
      </w:r>
      <w:r>
        <w:rPr>
          <w:rFonts w:asciiTheme="majorBidi" w:hAnsiTheme="majorBidi" w:cstheme="majorBidi"/>
          <w:sz w:val="24"/>
          <w:szCs w:val="24"/>
        </w:rPr>
        <w:lastRenderedPageBreak/>
        <w:t>différences étaient statistiquement significatives (</w:t>
      </w:r>
      <w:r>
        <w:rPr>
          <w:rFonts w:asciiTheme="majorBidi" w:hAnsiTheme="majorBidi" w:cstheme="majorBidi"/>
          <w:i/>
          <w:iCs/>
          <w:sz w:val="24"/>
          <w:szCs w:val="24"/>
        </w:rPr>
        <w:t>P</w:t>
      </w:r>
      <w:r>
        <w:rPr>
          <w:rFonts w:asciiTheme="majorBidi" w:hAnsiTheme="majorBidi" w:cstheme="majorBidi"/>
          <w:sz w:val="24"/>
          <w:szCs w:val="24"/>
        </w:rPr>
        <w:t>&lt;0,05), indiquant que l’utilisation de solvants organiques mélangés à 50 % d’eau améliore l’efficacité d’extraction des composés bioactifs à activité antioxydante. En revanche, les extraits obtenus avec de l’eau pure ont montré une activité plus faible, ce qui appuie l’hypothèse selon laquelle l’ajout d’une certaine quantité d’eau au solvant organique favorise le gonflement de la matrice végétale, améliorant ainsi le contact entre les parois cellulaires de la plante et le solvant, et augmentant par conséquent l’efficacité de l’extraction.</w:t>
      </w:r>
    </w:p>
    <w:p w14:paraId="29E7B836" w14:textId="77777777" w:rsidR="003E3FB4" w:rsidRDefault="00385ED0">
      <w:pPr>
        <w:tabs>
          <w:tab w:val="left" w:pos="3656"/>
        </w:tabs>
        <w:spacing w:line="360" w:lineRule="auto"/>
        <w:ind w:firstLine="567"/>
        <w:jc w:val="both"/>
        <w:rPr>
          <w:rFonts w:asciiTheme="majorBidi" w:hAnsiTheme="majorBidi" w:cstheme="majorBidi"/>
          <w:sz w:val="24"/>
          <w:szCs w:val="24"/>
        </w:rPr>
      </w:pPr>
      <w:r>
        <w:rPr>
          <w:rFonts w:asciiTheme="majorBidi" w:hAnsiTheme="majorBidi" w:cstheme="majorBidi"/>
          <w:sz w:val="24"/>
          <w:szCs w:val="24"/>
        </w:rPr>
        <w:t>Ces différences potentielles sont attribuées à plusieurs facteurs, notamment la source des graines, les conditions environnementales, ainsi que le taux des composés phénoliques (polyphénols totaux et les flavonoïdes ainsi que les tanins) et la composition phytochimique de la plante.</w:t>
      </w:r>
    </w:p>
    <w:p w14:paraId="3992BEE5" w14:textId="77777777" w:rsidR="003E3FB4" w:rsidRDefault="00385ED0">
      <w:pPr>
        <w:tabs>
          <w:tab w:val="left" w:pos="3656"/>
        </w:tabs>
        <w:spacing w:line="360" w:lineRule="auto"/>
        <w:jc w:val="both"/>
        <w:rPr>
          <w:rFonts w:asciiTheme="majorBidi" w:hAnsiTheme="majorBidi" w:cstheme="majorBidi"/>
          <w:b/>
          <w:bCs/>
          <w:sz w:val="24"/>
          <w:szCs w:val="24"/>
        </w:rPr>
      </w:pPr>
      <w:r>
        <w:rPr>
          <w:rFonts w:asciiTheme="majorBidi" w:hAnsiTheme="majorBidi" w:cstheme="majorBidi"/>
          <w:b/>
          <w:bCs/>
          <w:sz w:val="24"/>
          <w:szCs w:val="24"/>
        </w:rPr>
        <w:t>III.4. Activité anti inflammatoire de l’extrait aqueux et éthanolique des graines de fenugrec</w:t>
      </w:r>
    </w:p>
    <w:p w14:paraId="4DB2286A" w14:textId="77777777" w:rsidR="003E3FB4" w:rsidRDefault="00385ED0">
      <w:pPr>
        <w:tabs>
          <w:tab w:val="left" w:pos="3656"/>
        </w:tabs>
        <w:spacing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La dénaturation des protéines est une cause de l’inflammation, elle est exploitée dans le cadre de l’enquête sur les mécanismes de l’activité anti-inflammatoire. La dénaturation des protéines est un phénomène dans lequel les protéines perdent leurs structures secondaire et tertiaire sous l’effet d’un stress ou d’une substance externe, comme un acide fort, une base forte, un solvant organique ou de la chaleur. La plupart des protéines biologiques perdent leur fonction une fois dénaturées </w:t>
      </w:r>
      <w:r>
        <w:rPr>
          <w:rFonts w:asciiTheme="majorBidi" w:hAnsiTheme="majorBidi" w:cstheme="majorBidi"/>
          <w:b/>
          <w:bCs/>
          <w:sz w:val="24"/>
          <w:szCs w:val="24"/>
        </w:rPr>
        <w:t>(Leelaprakash et Dass, 2011)</w:t>
      </w:r>
      <w:r>
        <w:rPr>
          <w:rFonts w:asciiTheme="majorBidi" w:hAnsiTheme="majorBidi" w:cstheme="majorBidi"/>
          <w:sz w:val="24"/>
          <w:szCs w:val="24"/>
        </w:rPr>
        <w:t>.</w:t>
      </w:r>
    </w:p>
    <w:p w14:paraId="46C54073" w14:textId="77777777" w:rsidR="003E3FB4" w:rsidRDefault="00385ED0">
      <w:pPr>
        <w:tabs>
          <w:tab w:val="left" w:pos="3656"/>
        </w:tabs>
        <w:spacing w:after="0" w:line="360" w:lineRule="auto"/>
        <w:rPr>
          <w:rFonts w:asciiTheme="majorBidi" w:hAnsiTheme="majorBidi" w:cstheme="majorBidi"/>
          <w:b/>
          <w:bCs/>
          <w:sz w:val="24"/>
          <w:szCs w:val="24"/>
        </w:rPr>
      </w:pPr>
      <w:r>
        <w:rPr>
          <w:rFonts w:asciiTheme="majorBidi" w:hAnsiTheme="majorBidi" w:cstheme="majorBidi"/>
          <w:b/>
          <w:bCs/>
          <w:sz w:val="24"/>
          <w:szCs w:val="24"/>
        </w:rPr>
        <w:t xml:space="preserve">III.4.1. Activité anti inflammatoire de fenugrec </w:t>
      </w:r>
      <w:r>
        <w:rPr>
          <w:rFonts w:asciiTheme="majorBidi" w:hAnsiTheme="majorBidi" w:cstheme="majorBidi"/>
          <w:b/>
          <w:bCs/>
          <w:i/>
          <w:iCs/>
          <w:sz w:val="24"/>
          <w:szCs w:val="24"/>
        </w:rPr>
        <w:t>in vitro</w:t>
      </w:r>
      <w:r>
        <w:rPr>
          <w:rFonts w:asciiTheme="majorBidi" w:hAnsiTheme="majorBidi" w:cstheme="majorBidi"/>
          <w:b/>
          <w:bCs/>
          <w:sz w:val="24"/>
          <w:szCs w:val="24"/>
        </w:rPr>
        <w:t xml:space="preserve"> </w:t>
      </w:r>
    </w:p>
    <w:p w14:paraId="184662BB" w14:textId="77777777" w:rsidR="003E3FB4" w:rsidRDefault="00385ED0">
      <w:pPr>
        <w:pStyle w:val="Paragraphedeliste"/>
        <w:numPr>
          <w:ilvl w:val="0"/>
          <w:numId w:val="9"/>
        </w:numPr>
        <w:tabs>
          <w:tab w:val="left" w:pos="284"/>
        </w:tabs>
        <w:spacing w:after="0" w:line="360" w:lineRule="auto"/>
        <w:rPr>
          <w:rFonts w:asciiTheme="majorBidi" w:hAnsiTheme="majorBidi" w:cstheme="majorBidi"/>
          <w:b/>
          <w:bCs/>
          <w:sz w:val="24"/>
          <w:szCs w:val="24"/>
        </w:rPr>
      </w:pPr>
      <w:r>
        <w:rPr>
          <w:rFonts w:asciiTheme="majorBidi" w:hAnsiTheme="majorBidi" w:cstheme="majorBidi"/>
          <w:b/>
          <w:bCs/>
          <w:sz w:val="24"/>
          <w:szCs w:val="24"/>
        </w:rPr>
        <w:t>Pourcentage d’inhibition de la dénaturation de l’ovalbumine</w:t>
      </w:r>
    </w:p>
    <w:p w14:paraId="5F466970" w14:textId="77777777" w:rsidR="003E3FB4" w:rsidRDefault="00385ED0">
      <w:pPr>
        <w:tabs>
          <w:tab w:val="left" w:pos="3656"/>
        </w:tabs>
        <w:spacing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Pour évaluer l’activité anti-inflammatoire des extraits de fenugrec, la capacité des extraits à inhiber la dénaturation thermique de la protéine ovalbumine a été estimée. </w:t>
      </w:r>
    </w:p>
    <w:p w14:paraId="1EB436EC" w14:textId="52E73C33" w:rsidR="006F4B07" w:rsidRPr="006F4B07" w:rsidRDefault="006F4B07">
      <w:pPr>
        <w:tabs>
          <w:tab w:val="left" w:pos="3656"/>
        </w:tabs>
        <w:spacing w:line="360" w:lineRule="auto"/>
        <w:ind w:firstLine="567"/>
        <w:jc w:val="both"/>
        <w:rPr>
          <w:rFonts w:asciiTheme="majorBidi" w:hAnsiTheme="majorBidi" w:cstheme="majorBidi"/>
          <w:sz w:val="24"/>
          <w:szCs w:val="24"/>
        </w:rPr>
      </w:pPr>
      <w:r w:rsidRPr="006F4B07">
        <w:rPr>
          <w:rFonts w:asciiTheme="majorBidi" w:hAnsiTheme="majorBidi" w:cstheme="majorBidi"/>
          <w:sz w:val="24"/>
          <w:szCs w:val="24"/>
        </w:rPr>
        <w:t xml:space="preserve">Les résultats obtenus dans la figure III.7. Montre que les pourcentages d’inhibition de la dénaturation de l’albumine des différents extraits sont similaires et supérieur de celle de standard (Aspirine) aux concentrations 50µg/ml, 100 µg/ml,150 µg/ml. Cependant, l’Aspirine présente un pourcentage élevé et supérieur de celle de l’extrait aqueux et éthanolique de Fenugrec à partir de la concentration 200µg/ml jusqu’aux 300µg/ml. Il est à noter que l’extrait aqueux et éthanolique des graines de fenugrec et le standard (Aspirine) a atteint sa plus haute capacité d'inhibition à une concentration de 400 μg/ml, avec un taux d'inhibition de 94.08%, 94.18% et 93.34% respectivement. </w:t>
      </w:r>
    </w:p>
    <w:p w14:paraId="7CD52B2B" w14:textId="77777777" w:rsidR="003E3FB4" w:rsidRDefault="00385ED0">
      <w:pPr>
        <w:tabs>
          <w:tab w:val="left" w:pos="3656"/>
        </w:tabs>
        <w:spacing w:after="0" w:line="240" w:lineRule="auto"/>
        <w:jc w:val="center"/>
        <w:rPr>
          <w:rFonts w:asciiTheme="majorBidi" w:hAnsiTheme="majorBidi" w:cstheme="majorBidi"/>
          <w:b/>
          <w:bCs/>
          <w:sz w:val="24"/>
          <w:szCs w:val="24"/>
        </w:rPr>
      </w:pPr>
      <w:r>
        <w:rPr>
          <w:noProof/>
          <w:sz w:val="24"/>
          <w:szCs w:val="24"/>
        </w:rPr>
        <w:lastRenderedPageBreak/>
        <w:drawing>
          <wp:inline distT="0" distB="0" distL="0" distR="0" wp14:anchorId="5A216A48" wp14:editId="00342C7D">
            <wp:extent cx="4210050" cy="2352675"/>
            <wp:effectExtent l="0" t="0" r="0" b="9525"/>
            <wp:docPr id="700941076"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r>
        <w:rPr>
          <w:rFonts w:asciiTheme="majorBidi" w:hAnsiTheme="majorBidi" w:cstheme="majorBidi"/>
          <w:b/>
          <w:bCs/>
          <w:sz w:val="24"/>
          <w:szCs w:val="24"/>
        </w:rPr>
        <w:br w:type="textWrapping" w:clear="all"/>
      </w:r>
    </w:p>
    <w:p w14:paraId="18E60044" w14:textId="77777777" w:rsidR="003E3FB4" w:rsidRDefault="00385ED0">
      <w:pPr>
        <w:tabs>
          <w:tab w:val="left" w:pos="3656"/>
        </w:tabs>
        <w:spacing w:after="0" w:line="240" w:lineRule="auto"/>
        <w:jc w:val="center"/>
        <w:rPr>
          <w:rFonts w:asciiTheme="majorBidi" w:hAnsiTheme="majorBidi" w:cstheme="majorBidi"/>
          <w:b/>
          <w:bCs/>
          <w:sz w:val="24"/>
          <w:szCs w:val="24"/>
        </w:rPr>
      </w:pPr>
      <w:r>
        <w:rPr>
          <w:rFonts w:asciiTheme="majorBidi" w:hAnsiTheme="majorBidi" w:cstheme="majorBidi"/>
          <w:b/>
          <w:bCs/>
          <w:sz w:val="24"/>
          <w:szCs w:val="24"/>
        </w:rPr>
        <w:t xml:space="preserve">Figure III.7. </w:t>
      </w:r>
      <w:r>
        <w:rPr>
          <w:rFonts w:asciiTheme="majorBidi" w:hAnsiTheme="majorBidi" w:cstheme="majorBidi"/>
          <w:sz w:val="24"/>
          <w:szCs w:val="24"/>
        </w:rPr>
        <w:t>Pourcentage d’inhibition de la dénaturation de l’ovalbumine en fonction de la concentration de l’Aspirine</w:t>
      </w:r>
      <w:r>
        <w:rPr>
          <w:rFonts w:asciiTheme="majorBidi" w:hAnsiTheme="majorBidi" w:cstheme="majorBidi"/>
          <w:b/>
          <w:bCs/>
          <w:sz w:val="24"/>
          <w:szCs w:val="24"/>
        </w:rPr>
        <w:t xml:space="preserve"> </w:t>
      </w:r>
    </w:p>
    <w:p w14:paraId="4AA4FD0E" w14:textId="77777777" w:rsidR="003E3FB4" w:rsidRDefault="003E3FB4">
      <w:pPr>
        <w:tabs>
          <w:tab w:val="left" w:pos="3656"/>
        </w:tabs>
        <w:spacing w:after="0" w:line="240" w:lineRule="auto"/>
        <w:jc w:val="center"/>
        <w:rPr>
          <w:rFonts w:asciiTheme="majorBidi" w:hAnsiTheme="majorBidi" w:cstheme="majorBidi"/>
          <w:b/>
          <w:bCs/>
          <w:sz w:val="24"/>
          <w:szCs w:val="24"/>
        </w:rPr>
      </w:pPr>
    </w:p>
    <w:p w14:paraId="5564FEB1" w14:textId="77777777" w:rsidR="003E3FB4" w:rsidRDefault="00385ED0">
      <w:pPr>
        <w:tabs>
          <w:tab w:val="left" w:pos="3656"/>
        </w:tabs>
        <w:spacing w:line="360" w:lineRule="auto"/>
        <w:ind w:firstLine="567"/>
        <w:rPr>
          <w:rFonts w:asciiTheme="majorBidi" w:hAnsiTheme="majorBidi" w:cstheme="majorBidi"/>
          <w:b/>
          <w:bCs/>
          <w:sz w:val="24"/>
          <w:szCs w:val="24"/>
        </w:rPr>
      </w:pPr>
      <w:r>
        <w:rPr>
          <w:rFonts w:asciiTheme="majorBidi" w:hAnsiTheme="majorBidi" w:cstheme="majorBidi"/>
          <w:b/>
          <w:bCs/>
          <w:sz w:val="24"/>
          <w:szCs w:val="24"/>
        </w:rPr>
        <w:t xml:space="preserve">B. IC50 de pouvoir anti inflammatoire </w:t>
      </w:r>
      <w:r>
        <w:rPr>
          <w:rFonts w:asciiTheme="majorBidi" w:hAnsiTheme="majorBidi" w:cstheme="majorBidi"/>
          <w:b/>
          <w:bCs/>
          <w:i/>
          <w:iCs/>
          <w:sz w:val="24"/>
          <w:szCs w:val="24"/>
        </w:rPr>
        <w:t>in vitro</w:t>
      </w:r>
    </w:p>
    <w:p w14:paraId="1E8BA3D2" w14:textId="77777777" w:rsidR="003E3FB4" w:rsidRDefault="00385ED0">
      <w:pPr>
        <w:tabs>
          <w:tab w:val="left" w:pos="3656"/>
        </w:tabs>
        <w:spacing w:line="360" w:lineRule="auto"/>
        <w:jc w:val="both"/>
        <w:rPr>
          <w:rFonts w:asciiTheme="majorBidi" w:hAnsiTheme="majorBidi" w:cstheme="majorBidi"/>
          <w:sz w:val="24"/>
          <w:szCs w:val="24"/>
        </w:rPr>
      </w:pPr>
      <w:r>
        <w:rPr>
          <w:rFonts w:asciiTheme="majorBidi" w:hAnsiTheme="majorBidi" w:cstheme="majorBidi"/>
          <w:sz w:val="24"/>
          <w:szCs w:val="24"/>
        </w:rPr>
        <w:t xml:space="preserve">         Le </w:t>
      </w:r>
      <w:r>
        <w:rPr>
          <w:rFonts w:asciiTheme="majorBidi" w:hAnsiTheme="majorBidi" w:cstheme="majorBidi"/>
          <w:b/>
          <w:bCs/>
          <w:sz w:val="24"/>
          <w:szCs w:val="24"/>
        </w:rPr>
        <w:t>tableau III.4.</w:t>
      </w:r>
      <w:r>
        <w:rPr>
          <w:rFonts w:asciiTheme="majorBidi" w:hAnsiTheme="majorBidi" w:cstheme="majorBidi"/>
          <w:sz w:val="24"/>
          <w:szCs w:val="24"/>
        </w:rPr>
        <w:t xml:space="preserve"> Ci-dessous représente le IC50 de pouvoir anti inflammatoire in </w:t>
      </w:r>
      <w:r>
        <w:rPr>
          <w:rFonts w:asciiTheme="majorBidi" w:hAnsiTheme="majorBidi" w:cstheme="majorBidi"/>
          <w:i/>
          <w:iCs/>
          <w:sz w:val="24"/>
          <w:szCs w:val="24"/>
        </w:rPr>
        <w:t>vitro</w:t>
      </w:r>
      <w:r>
        <w:rPr>
          <w:rFonts w:asciiTheme="majorBidi" w:hAnsiTheme="majorBidi" w:cstheme="majorBidi"/>
          <w:sz w:val="24"/>
          <w:szCs w:val="24"/>
        </w:rPr>
        <w:t xml:space="preserve"> de référence (Aspirine), de l’extrait aqueux et l’extrait éthanolique des graines de fenugrec.</w:t>
      </w:r>
    </w:p>
    <w:tbl>
      <w:tblPr>
        <w:tblStyle w:val="Grilledutableau"/>
        <w:tblW w:w="0" w:type="auto"/>
        <w:tblLook w:val="04A0" w:firstRow="1" w:lastRow="0" w:firstColumn="1" w:lastColumn="0" w:noHBand="0" w:noVBand="1"/>
      </w:tblPr>
      <w:tblGrid>
        <w:gridCol w:w="3020"/>
        <w:gridCol w:w="3021"/>
        <w:gridCol w:w="3021"/>
      </w:tblGrid>
      <w:tr w:rsidR="003E3FB4" w14:paraId="293B1965" w14:textId="77777777">
        <w:tc>
          <w:tcPr>
            <w:tcW w:w="3020" w:type="dxa"/>
          </w:tcPr>
          <w:p w14:paraId="6E1868C2" w14:textId="77777777" w:rsidR="003E3FB4" w:rsidRDefault="00385ED0">
            <w:pPr>
              <w:tabs>
                <w:tab w:val="left" w:pos="3656"/>
              </w:tabs>
              <w:spacing w:after="0" w:line="360" w:lineRule="auto"/>
              <w:jc w:val="center"/>
              <w:rPr>
                <w:rFonts w:asciiTheme="majorBidi" w:hAnsiTheme="majorBidi" w:cstheme="majorBidi"/>
                <w:b/>
                <w:bCs/>
                <w:sz w:val="24"/>
                <w:szCs w:val="24"/>
              </w:rPr>
            </w:pPr>
            <w:r>
              <w:rPr>
                <w:rFonts w:asciiTheme="majorBidi" w:hAnsiTheme="majorBidi" w:cstheme="majorBidi"/>
                <w:b/>
                <w:bCs/>
                <w:sz w:val="24"/>
                <w:szCs w:val="24"/>
              </w:rPr>
              <w:t>Extrait aqueux</w:t>
            </w:r>
          </w:p>
        </w:tc>
        <w:tc>
          <w:tcPr>
            <w:tcW w:w="3021" w:type="dxa"/>
          </w:tcPr>
          <w:p w14:paraId="3977C088" w14:textId="77777777" w:rsidR="003E3FB4" w:rsidRDefault="00385ED0">
            <w:pPr>
              <w:tabs>
                <w:tab w:val="left" w:pos="3656"/>
              </w:tabs>
              <w:spacing w:after="0" w:line="360" w:lineRule="auto"/>
              <w:jc w:val="center"/>
              <w:rPr>
                <w:rFonts w:asciiTheme="majorBidi" w:hAnsiTheme="majorBidi" w:cstheme="majorBidi"/>
                <w:b/>
                <w:bCs/>
                <w:sz w:val="24"/>
                <w:szCs w:val="24"/>
              </w:rPr>
            </w:pPr>
            <w:r>
              <w:rPr>
                <w:rFonts w:asciiTheme="majorBidi" w:hAnsiTheme="majorBidi" w:cstheme="majorBidi"/>
                <w:b/>
                <w:bCs/>
                <w:sz w:val="24"/>
                <w:szCs w:val="24"/>
              </w:rPr>
              <w:t>Extrait éthanolique</w:t>
            </w:r>
          </w:p>
        </w:tc>
        <w:tc>
          <w:tcPr>
            <w:tcW w:w="3021" w:type="dxa"/>
          </w:tcPr>
          <w:p w14:paraId="4221E42B" w14:textId="77777777" w:rsidR="003E3FB4" w:rsidRDefault="00385ED0">
            <w:pPr>
              <w:tabs>
                <w:tab w:val="left" w:pos="3656"/>
              </w:tabs>
              <w:spacing w:after="0" w:line="360" w:lineRule="auto"/>
              <w:jc w:val="center"/>
              <w:rPr>
                <w:rFonts w:asciiTheme="majorBidi" w:hAnsiTheme="majorBidi" w:cstheme="majorBidi"/>
                <w:b/>
                <w:bCs/>
                <w:sz w:val="24"/>
                <w:szCs w:val="24"/>
              </w:rPr>
            </w:pPr>
            <w:r>
              <w:rPr>
                <w:rFonts w:asciiTheme="majorBidi" w:hAnsiTheme="majorBidi" w:cstheme="majorBidi"/>
                <w:b/>
                <w:bCs/>
                <w:sz w:val="24"/>
                <w:szCs w:val="24"/>
              </w:rPr>
              <w:t>Aspirine</w:t>
            </w:r>
          </w:p>
        </w:tc>
      </w:tr>
      <w:tr w:rsidR="003E3FB4" w14:paraId="341D5325" w14:textId="77777777">
        <w:tc>
          <w:tcPr>
            <w:tcW w:w="3020" w:type="dxa"/>
          </w:tcPr>
          <w:p w14:paraId="5B49EE03" w14:textId="77777777" w:rsidR="003E3FB4" w:rsidRDefault="00385ED0">
            <w:pPr>
              <w:tabs>
                <w:tab w:val="left" w:pos="3656"/>
              </w:tabs>
              <w:spacing w:after="0" w:line="360" w:lineRule="auto"/>
              <w:jc w:val="center"/>
              <w:rPr>
                <w:rFonts w:asciiTheme="majorBidi" w:hAnsiTheme="majorBidi" w:cstheme="majorBidi"/>
                <w:sz w:val="24"/>
                <w:szCs w:val="24"/>
              </w:rPr>
            </w:pPr>
            <w:r>
              <w:rPr>
                <w:rFonts w:asciiTheme="majorBidi" w:hAnsiTheme="majorBidi" w:cstheme="majorBidi"/>
                <w:sz w:val="24"/>
                <w:szCs w:val="24"/>
              </w:rPr>
              <w:t>86.48±0.58 b</w:t>
            </w:r>
          </w:p>
        </w:tc>
        <w:tc>
          <w:tcPr>
            <w:tcW w:w="3021" w:type="dxa"/>
          </w:tcPr>
          <w:p w14:paraId="3E3CDD61" w14:textId="77777777" w:rsidR="003E3FB4" w:rsidRDefault="00385ED0">
            <w:pPr>
              <w:tabs>
                <w:tab w:val="left" w:pos="3656"/>
              </w:tabs>
              <w:spacing w:after="0" w:line="360" w:lineRule="auto"/>
              <w:jc w:val="center"/>
              <w:rPr>
                <w:rFonts w:asciiTheme="majorBidi" w:hAnsiTheme="majorBidi" w:cstheme="majorBidi"/>
                <w:sz w:val="24"/>
                <w:szCs w:val="24"/>
              </w:rPr>
            </w:pPr>
            <w:r>
              <w:rPr>
                <w:rFonts w:asciiTheme="majorBidi" w:hAnsiTheme="majorBidi" w:cstheme="majorBidi"/>
                <w:sz w:val="24"/>
                <w:szCs w:val="24"/>
              </w:rPr>
              <w:t>83.93±0.67 b</w:t>
            </w:r>
          </w:p>
        </w:tc>
        <w:tc>
          <w:tcPr>
            <w:tcW w:w="3021" w:type="dxa"/>
          </w:tcPr>
          <w:p w14:paraId="4005A87B" w14:textId="77777777" w:rsidR="003E3FB4" w:rsidRDefault="00385ED0">
            <w:pPr>
              <w:tabs>
                <w:tab w:val="left" w:pos="3656"/>
              </w:tabs>
              <w:spacing w:after="0" w:line="360" w:lineRule="auto"/>
              <w:jc w:val="center"/>
              <w:rPr>
                <w:rFonts w:asciiTheme="majorBidi" w:hAnsiTheme="majorBidi" w:cstheme="majorBidi"/>
                <w:sz w:val="24"/>
                <w:szCs w:val="24"/>
              </w:rPr>
            </w:pPr>
            <w:r>
              <w:rPr>
                <w:rFonts w:asciiTheme="majorBidi" w:hAnsiTheme="majorBidi" w:cstheme="majorBidi"/>
                <w:sz w:val="24"/>
                <w:szCs w:val="24"/>
              </w:rPr>
              <w:t>129.02±0.31 a</w:t>
            </w:r>
          </w:p>
        </w:tc>
      </w:tr>
    </w:tbl>
    <w:p w14:paraId="640B91D3" w14:textId="77777777" w:rsidR="003E3FB4" w:rsidRDefault="003E3FB4">
      <w:pPr>
        <w:tabs>
          <w:tab w:val="left" w:pos="3656"/>
        </w:tabs>
        <w:spacing w:after="0" w:line="360" w:lineRule="auto"/>
        <w:jc w:val="both"/>
        <w:rPr>
          <w:rFonts w:asciiTheme="majorBidi" w:hAnsiTheme="majorBidi" w:cstheme="majorBidi"/>
          <w:sz w:val="24"/>
          <w:szCs w:val="24"/>
        </w:rPr>
      </w:pPr>
    </w:p>
    <w:p w14:paraId="2AE62E42" w14:textId="77777777" w:rsidR="003E3FB4" w:rsidRDefault="00385ED0">
      <w:pPr>
        <w:tabs>
          <w:tab w:val="left" w:pos="3656"/>
        </w:tabs>
        <w:spacing w:after="0" w:line="360" w:lineRule="auto"/>
        <w:ind w:firstLine="567"/>
        <w:jc w:val="both"/>
        <w:rPr>
          <w:rFonts w:asciiTheme="majorBidi" w:hAnsiTheme="majorBidi" w:cstheme="majorBidi"/>
          <w:sz w:val="24"/>
          <w:szCs w:val="24"/>
        </w:rPr>
      </w:pPr>
      <w:r>
        <w:rPr>
          <w:rFonts w:asciiTheme="majorBidi" w:hAnsiTheme="majorBidi" w:cstheme="majorBidi"/>
          <w:sz w:val="24"/>
          <w:szCs w:val="24"/>
        </w:rPr>
        <w:t>L’analyse de la variance a montré qu’il existe une différence hautement significative entre le témoin (Aspirine), l’extrait éthanolique et aqueux des graines de fenugrec (</w:t>
      </w:r>
      <w:r>
        <w:rPr>
          <w:rFonts w:asciiTheme="majorBidi" w:hAnsiTheme="majorBidi" w:cstheme="majorBidi"/>
          <w:i/>
          <w:iCs/>
          <w:sz w:val="24"/>
          <w:szCs w:val="24"/>
        </w:rPr>
        <w:t>p</w:t>
      </w:r>
      <w:r>
        <w:rPr>
          <w:rFonts w:asciiTheme="majorBidi" w:hAnsiTheme="majorBidi" w:cstheme="majorBidi"/>
          <w:sz w:val="24"/>
          <w:szCs w:val="24"/>
        </w:rPr>
        <w:t xml:space="preserve">=0.00026   </w:t>
      </w:r>
      <w:r>
        <w:rPr>
          <w:rFonts w:asciiTheme="majorBidi" w:hAnsiTheme="majorBidi" w:cstheme="majorBidi"/>
          <w:i/>
          <w:iCs/>
          <w:sz w:val="24"/>
          <w:szCs w:val="24"/>
        </w:rPr>
        <w:t>p</w:t>
      </w:r>
      <w:r>
        <w:rPr>
          <w:rFonts w:asciiTheme="majorBidi" w:hAnsiTheme="majorBidi" w:cstheme="majorBidi"/>
          <w:sz w:val="24"/>
          <w:szCs w:val="24"/>
        </w:rPr>
        <w:t>&lt;0.05).</w:t>
      </w:r>
    </w:p>
    <w:p w14:paraId="5B897550" w14:textId="77777777" w:rsidR="003E3FB4" w:rsidRDefault="00385ED0">
      <w:pPr>
        <w:tabs>
          <w:tab w:val="left" w:pos="3656"/>
        </w:tabs>
        <w:spacing w:after="0" w:line="360" w:lineRule="auto"/>
        <w:ind w:firstLine="567"/>
        <w:jc w:val="both"/>
        <w:rPr>
          <w:rFonts w:asciiTheme="majorBidi" w:hAnsiTheme="majorBidi" w:cstheme="majorBidi"/>
          <w:sz w:val="24"/>
          <w:szCs w:val="24"/>
        </w:rPr>
      </w:pPr>
      <w:r>
        <w:rPr>
          <w:rFonts w:asciiTheme="majorBidi" w:hAnsiTheme="majorBidi" w:cstheme="majorBidi"/>
          <w:sz w:val="24"/>
          <w:szCs w:val="24"/>
        </w:rPr>
        <w:t>Les données recueillies révèlent que le pouvoir anti-inflammatoire exprimé par la valeur IC</w:t>
      </w:r>
      <w:r>
        <w:rPr>
          <w:rFonts w:asciiTheme="majorBidi" w:hAnsiTheme="majorBidi" w:cstheme="majorBidi"/>
          <w:sz w:val="24"/>
          <w:szCs w:val="24"/>
          <w:vertAlign w:val="superscript"/>
        </w:rPr>
        <w:t>50</w:t>
      </w:r>
      <w:r>
        <w:rPr>
          <w:rFonts w:asciiTheme="majorBidi" w:hAnsiTheme="majorBidi" w:cstheme="majorBidi"/>
          <w:sz w:val="24"/>
          <w:szCs w:val="24"/>
        </w:rPr>
        <w:t xml:space="preserve"> de l’extrait aqueux et éthanolique des graines de fenugrec (respectivement 86.48 µg/ml, 83.93 µg/ml). En comparaison, l’aspirine (129.35 µg/ml).</w:t>
      </w:r>
    </w:p>
    <w:p w14:paraId="43666803" w14:textId="77777777" w:rsidR="003E3FB4" w:rsidRDefault="00385ED0">
      <w:pPr>
        <w:tabs>
          <w:tab w:val="left" w:pos="3656"/>
        </w:tabs>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Ces observations indiquent que, bien que l’Aspirine démontre une capacité anti inflammatoire, leur efficacité est inférieure à celle de l’extrait aqueux et de l’extrait éthanolique des graines. De plus, la valeur IC50 de l’extrait éthanolique des graines présente un effet hautement significatif par rapport aux extraits aqueux de la même plante.</w:t>
      </w:r>
    </w:p>
    <w:p w14:paraId="4AB10EC9" w14:textId="77777777" w:rsidR="003E3FB4" w:rsidRDefault="00385ED0">
      <w:pPr>
        <w:tabs>
          <w:tab w:val="left" w:pos="3656"/>
        </w:tabs>
        <w:spacing w:line="360" w:lineRule="auto"/>
        <w:ind w:firstLine="567"/>
        <w:jc w:val="both"/>
        <w:rPr>
          <w:rFonts w:asciiTheme="majorBidi" w:hAnsiTheme="majorBidi" w:cstheme="majorBidi"/>
          <w:sz w:val="24"/>
          <w:szCs w:val="24"/>
        </w:rPr>
      </w:pPr>
      <w:r>
        <w:rPr>
          <w:rFonts w:asciiTheme="majorBidi" w:hAnsiTheme="majorBidi" w:cstheme="majorBidi"/>
          <w:sz w:val="24"/>
          <w:szCs w:val="24"/>
        </w:rPr>
        <w:t>Nous constatons que nos résultats sont en accord avec ceux rapportés dans une étude par</w:t>
      </w:r>
      <w:r>
        <w:rPr>
          <w:rFonts w:asciiTheme="majorBidi" w:hAnsiTheme="majorBidi" w:cstheme="majorBidi"/>
          <w:b/>
          <w:bCs/>
          <w:sz w:val="24"/>
          <w:szCs w:val="24"/>
        </w:rPr>
        <w:t xml:space="preserve"> </w:t>
      </w:r>
      <w:r>
        <w:rPr>
          <w:rFonts w:asciiTheme="majorBidi" w:hAnsiTheme="majorBidi" w:cstheme="majorBidi"/>
          <w:b/>
          <w:bCs/>
          <w:sz w:val="24"/>
          <w:szCs w:val="24"/>
          <w:shd w:val="clear" w:color="auto" w:fill="FFFFFF"/>
        </w:rPr>
        <w:t>Sindhusha et Rajasekar,</w:t>
      </w:r>
      <w:r>
        <w:rPr>
          <w:rFonts w:asciiTheme="majorBidi" w:hAnsiTheme="majorBidi" w:cstheme="majorBidi"/>
          <w:b/>
          <w:bCs/>
          <w:sz w:val="24"/>
          <w:szCs w:val="24"/>
        </w:rPr>
        <w:t xml:space="preserve"> (2023)</w:t>
      </w:r>
      <w:r>
        <w:rPr>
          <w:rFonts w:asciiTheme="majorBidi" w:hAnsiTheme="majorBidi" w:cstheme="majorBidi"/>
          <w:sz w:val="24"/>
          <w:szCs w:val="24"/>
        </w:rPr>
        <w:t xml:space="preserve">, qui a montré une activité anti-inflammatoire significative de l’extrait de fenugrec à l’aide de la méthode de dénaturation de l’albumine. Dans cette étude, le taux d’inhibition maximal observé à la concentration de 100 µg/ml était de 67,15 ± 1,36 %, contre 64,43 ± 2,95 % pour l’aspirine. </w:t>
      </w:r>
    </w:p>
    <w:p w14:paraId="05910ABE" w14:textId="77777777" w:rsidR="003E3FB4" w:rsidRDefault="00385ED0">
      <w:pPr>
        <w:tabs>
          <w:tab w:val="left" w:pos="3656"/>
        </w:tabs>
        <w:spacing w:line="360" w:lineRule="auto"/>
        <w:jc w:val="both"/>
        <w:rPr>
          <w:rFonts w:asciiTheme="majorBidi" w:hAnsiTheme="majorBidi" w:cstheme="majorBidi"/>
          <w:sz w:val="24"/>
          <w:szCs w:val="24"/>
        </w:rPr>
      </w:pPr>
      <w:r>
        <w:rPr>
          <w:rFonts w:asciiTheme="majorBidi" w:hAnsiTheme="majorBidi" w:cstheme="majorBidi"/>
          <w:sz w:val="24"/>
          <w:szCs w:val="24"/>
        </w:rPr>
        <w:lastRenderedPageBreak/>
        <w:t xml:space="preserve">           En outre, cette même étude indique que l’extrait éthanolique était plus actif que l’extrait aqueux, ce qui concorde avec nos résultats, où l’extrait éthanolique de fenugrec a affiché une valeur IC50 plus faible (83,93 ± 0,67 µg/ml) comparée à l’extrait aqueux (86,48 ± 0,58 µg/ml) et à l’aspirine (129,02 ± 0,31 µg/ml), soulignant ainsi une efficacité biologique supérieure des extraits naturels de fenugrec.</w:t>
      </w:r>
    </w:p>
    <w:p w14:paraId="2855C6B5" w14:textId="77777777" w:rsidR="003E3FB4" w:rsidRDefault="00385ED0">
      <w:pPr>
        <w:tabs>
          <w:tab w:val="left" w:pos="3656"/>
        </w:tabs>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III.5. Evaluation de l’activité antibactérienne</w:t>
      </w:r>
    </w:p>
    <w:p w14:paraId="7DB4E39E" w14:textId="77777777" w:rsidR="003E3FB4" w:rsidRDefault="00385ED0">
      <w:pPr>
        <w:tabs>
          <w:tab w:val="left" w:pos="3656"/>
        </w:tabs>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III.5.1. Activité antibactérienne</w:t>
      </w:r>
    </w:p>
    <w:p w14:paraId="01B7F2EA" w14:textId="77777777" w:rsidR="006F4B07" w:rsidRDefault="00385ED0" w:rsidP="006F4B07">
      <w:pPr>
        <w:tabs>
          <w:tab w:val="left" w:pos="3656"/>
        </w:tabs>
        <w:spacing w:line="360" w:lineRule="auto"/>
        <w:ind w:firstLine="567"/>
        <w:jc w:val="both"/>
        <w:rPr>
          <w:rFonts w:asciiTheme="majorBidi" w:hAnsiTheme="majorBidi" w:cstheme="majorBidi"/>
          <w:b/>
          <w:bCs/>
          <w:sz w:val="24"/>
          <w:szCs w:val="24"/>
        </w:rPr>
      </w:pPr>
      <w:r>
        <w:rPr>
          <w:rFonts w:asciiTheme="majorBidi" w:hAnsiTheme="majorBidi" w:cstheme="majorBidi"/>
          <w:sz w:val="24"/>
          <w:szCs w:val="24"/>
        </w:rPr>
        <w:t xml:space="preserve">L'évaluation de l'efficacité des extraits (extrait aqueux et éthanolique) des graines de fenugrec contre six bactéries pathogènes est réalisée par l'observation des zones d'inhibition formées autour des disques imprégnés des extraits sur un milieu de culture. Ces zones incolores indiquent le degré d'activité antibactérienne des agents antimicrobiens testés. Les résultats obtenus sont organisés et présentés dans le </w:t>
      </w:r>
      <w:r>
        <w:rPr>
          <w:rFonts w:asciiTheme="majorBidi" w:hAnsiTheme="majorBidi" w:cstheme="majorBidi"/>
          <w:b/>
          <w:bCs/>
          <w:sz w:val="24"/>
          <w:szCs w:val="24"/>
        </w:rPr>
        <w:t>tableau III.5.</w:t>
      </w:r>
    </w:p>
    <w:p w14:paraId="3D3F5513" w14:textId="447E0131" w:rsidR="003E3FB4" w:rsidRDefault="00385ED0" w:rsidP="006F4B07">
      <w:pPr>
        <w:tabs>
          <w:tab w:val="left" w:pos="3656"/>
        </w:tabs>
        <w:spacing w:line="360" w:lineRule="auto"/>
        <w:ind w:firstLine="567"/>
        <w:jc w:val="both"/>
        <w:rPr>
          <w:rFonts w:asciiTheme="majorBidi" w:hAnsiTheme="majorBidi" w:cstheme="majorBidi"/>
          <w:b/>
          <w:bCs/>
          <w:sz w:val="24"/>
          <w:szCs w:val="24"/>
        </w:rPr>
      </w:pPr>
      <w:r>
        <w:rPr>
          <w:rFonts w:asciiTheme="majorBidi" w:hAnsiTheme="majorBidi" w:cstheme="majorBidi"/>
          <w:b/>
          <w:bCs/>
          <w:sz w:val="24"/>
          <w:szCs w:val="24"/>
        </w:rPr>
        <w:t>Tableau III.5</w:t>
      </w:r>
      <w:r>
        <w:rPr>
          <w:rFonts w:asciiTheme="majorBidi" w:hAnsiTheme="majorBidi" w:cstheme="majorBidi"/>
          <w:sz w:val="24"/>
          <w:szCs w:val="24"/>
        </w:rPr>
        <w:t>. Effet des extraits de fenugrec sur L’effet de l’extrait aqueux et éthanolique sur les bactéries de Gram + et Gram</w:t>
      </w:r>
      <w:r w:rsidR="006F4B07">
        <w:rPr>
          <w:rFonts w:asciiTheme="majorBidi" w:hAnsiTheme="majorBidi" w:cstheme="majorBidi"/>
          <w:sz w:val="24"/>
          <w:szCs w:val="24"/>
        </w:rPr>
        <w:t xml:space="preserve"> -</w:t>
      </w:r>
    </w:p>
    <w:tbl>
      <w:tblPr>
        <w:tblStyle w:val="Grilledutableau"/>
        <w:tblpPr w:leftFromText="141" w:rightFromText="141" w:vertAnchor="text" w:horzAnchor="margin" w:tblpY="-5"/>
        <w:tblW w:w="8997" w:type="dxa"/>
        <w:tblLook w:val="04A0" w:firstRow="1" w:lastRow="0" w:firstColumn="1" w:lastColumn="0" w:noHBand="0" w:noVBand="1"/>
      </w:tblPr>
      <w:tblGrid>
        <w:gridCol w:w="993"/>
        <w:gridCol w:w="1841"/>
        <w:gridCol w:w="1697"/>
        <w:gridCol w:w="1697"/>
        <w:gridCol w:w="1259"/>
        <w:gridCol w:w="1510"/>
      </w:tblGrid>
      <w:tr w:rsidR="003E3FB4" w14:paraId="7F74F4E6" w14:textId="77777777">
        <w:tc>
          <w:tcPr>
            <w:tcW w:w="993" w:type="dxa"/>
          </w:tcPr>
          <w:p w14:paraId="41AF83C8" w14:textId="77777777" w:rsidR="003E3FB4" w:rsidRDefault="003E3FB4">
            <w:pPr>
              <w:tabs>
                <w:tab w:val="left" w:pos="3656"/>
              </w:tabs>
              <w:spacing w:after="0" w:line="360" w:lineRule="auto"/>
              <w:jc w:val="both"/>
              <w:rPr>
                <w:rFonts w:asciiTheme="majorBidi" w:hAnsiTheme="majorBidi" w:cstheme="majorBidi"/>
                <w:b/>
                <w:bCs/>
                <w:sz w:val="24"/>
                <w:szCs w:val="24"/>
              </w:rPr>
            </w:pPr>
          </w:p>
        </w:tc>
        <w:tc>
          <w:tcPr>
            <w:tcW w:w="1843" w:type="dxa"/>
          </w:tcPr>
          <w:p w14:paraId="7CBD4720" w14:textId="045E8320" w:rsidR="006F4B07" w:rsidRDefault="00385ED0" w:rsidP="006F4B07">
            <w:pPr>
              <w:tabs>
                <w:tab w:val="left" w:pos="3656"/>
              </w:tabs>
              <w:spacing w:after="0" w:line="360" w:lineRule="auto"/>
              <w:jc w:val="center"/>
              <w:rPr>
                <w:rFonts w:asciiTheme="majorBidi" w:hAnsiTheme="majorBidi" w:cstheme="majorBidi"/>
                <w:b/>
                <w:bCs/>
                <w:sz w:val="24"/>
                <w:szCs w:val="24"/>
              </w:rPr>
            </w:pPr>
            <w:r>
              <w:rPr>
                <w:rFonts w:asciiTheme="majorBidi" w:hAnsiTheme="majorBidi" w:cstheme="majorBidi"/>
                <w:b/>
                <w:bCs/>
                <w:sz w:val="24"/>
                <w:szCs w:val="24"/>
              </w:rPr>
              <w:t>Souche</w:t>
            </w:r>
          </w:p>
          <w:p w14:paraId="055F6D3F" w14:textId="31008A10" w:rsidR="003E3FB4" w:rsidRDefault="00385ED0" w:rsidP="006F4B07">
            <w:pPr>
              <w:tabs>
                <w:tab w:val="left" w:pos="3656"/>
              </w:tabs>
              <w:spacing w:after="0" w:line="360" w:lineRule="auto"/>
              <w:jc w:val="center"/>
              <w:rPr>
                <w:rFonts w:asciiTheme="majorBidi" w:hAnsiTheme="majorBidi" w:cstheme="majorBidi"/>
                <w:b/>
                <w:bCs/>
                <w:sz w:val="24"/>
                <w:szCs w:val="24"/>
              </w:rPr>
            </w:pPr>
            <w:r>
              <w:rPr>
                <w:rFonts w:asciiTheme="majorBidi" w:hAnsiTheme="majorBidi" w:cstheme="majorBidi"/>
                <w:b/>
                <w:bCs/>
                <w:sz w:val="24"/>
                <w:szCs w:val="24"/>
              </w:rPr>
              <w:t>ATCC</w:t>
            </w:r>
          </w:p>
        </w:tc>
        <w:tc>
          <w:tcPr>
            <w:tcW w:w="1701" w:type="dxa"/>
          </w:tcPr>
          <w:p w14:paraId="38EEB858" w14:textId="77777777" w:rsidR="003E3FB4" w:rsidRDefault="00385ED0" w:rsidP="006F4B07">
            <w:pPr>
              <w:tabs>
                <w:tab w:val="left" w:pos="3656"/>
              </w:tabs>
              <w:spacing w:after="0" w:line="360" w:lineRule="auto"/>
              <w:jc w:val="center"/>
              <w:rPr>
                <w:rFonts w:asciiTheme="majorBidi" w:hAnsiTheme="majorBidi" w:cstheme="majorBidi"/>
                <w:b/>
                <w:bCs/>
                <w:sz w:val="24"/>
                <w:szCs w:val="24"/>
              </w:rPr>
            </w:pPr>
            <w:r>
              <w:rPr>
                <w:rFonts w:asciiTheme="majorBidi" w:hAnsiTheme="majorBidi" w:cstheme="majorBidi"/>
                <w:b/>
                <w:bCs/>
                <w:sz w:val="24"/>
                <w:szCs w:val="24"/>
              </w:rPr>
              <w:t>Extrait aqueux</w:t>
            </w:r>
          </w:p>
        </w:tc>
        <w:tc>
          <w:tcPr>
            <w:tcW w:w="1700" w:type="dxa"/>
          </w:tcPr>
          <w:p w14:paraId="3922D31F" w14:textId="77777777" w:rsidR="003E3FB4" w:rsidRDefault="00385ED0" w:rsidP="006F4B07">
            <w:pPr>
              <w:tabs>
                <w:tab w:val="left" w:pos="3656"/>
              </w:tabs>
              <w:spacing w:after="0" w:line="360" w:lineRule="auto"/>
              <w:jc w:val="center"/>
              <w:rPr>
                <w:rFonts w:asciiTheme="majorBidi" w:hAnsiTheme="majorBidi" w:cstheme="majorBidi"/>
                <w:b/>
                <w:bCs/>
                <w:sz w:val="24"/>
                <w:szCs w:val="24"/>
              </w:rPr>
            </w:pPr>
            <w:r>
              <w:rPr>
                <w:rFonts w:asciiTheme="majorBidi" w:hAnsiTheme="majorBidi" w:cstheme="majorBidi"/>
                <w:b/>
                <w:bCs/>
                <w:sz w:val="24"/>
                <w:szCs w:val="24"/>
              </w:rPr>
              <w:t>Extrait éthanolique</w:t>
            </w:r>
          </w:p>
        </w:tc>
        <w:tc>
          <w:tcPr>
            <w:tcW w:w="1263" w:type="dxa"/>
          </w:tcPr>
          <w:p w14:paraId="080A2D39" w14:textId="77777777" w:rsidR="003E3FB4" w:rsidRDefault="00385ED0" w:rsidP="006F4B07">
            <w:pPr>
              <w:tabs>
                <w:tab w:val="left" w:pos="3656"/>
              </w:tabs>
              <w:spacing w:after="0" w:line="360" w:lineRule="auto"/>
              <w:jc w:val="center"/>
              <w:rPr>
                <w:rFonts w:asciiTheme="majorBidi" w:hAnsiTheme="majorBidi" w:cstheme="majorBidi"/>
                <w:b/>
                <w:bCs/>
                <w:sz w:val="24"/>
                <w:szCs w:val="24"/>
              </w:rPr>
            </w:pPr>
            <w:r>
              <w:rPr>
                <w:rFonts w:asciiTheme="majorBidi" w:hAnsiTheme="majorBidi" w:cstheme="majorBidi"/>
                <w:b/>
                <w:bCs/>
                <w:sz w:val="24"/>
                <w:szCs w:val="24"/>
              </w:rPr>
              <w:t>DMSO</w:t>
            </w:r>
          </w:p>
        </w:tc>
        <w:tc>
          <w:tcPr>
            <w:tcW w:w="1497" w:type="dxa"/>
          </w:tcPr>
          <w:p w14:paraId="097598D6" w14:textId="77777777" w:rsidR="003E3FB4" w:rsidRDefault="00385ED0" w:rsidP="006F4B07">
            <w:pPr>
              <w:tabs>
                <w:tab w:val="left" w:pos="3656"/>
              </w:tabs>
              <w:spacing w:after="0" w:line="360" w:lineRule="auto"/>
              <w:jc w:val="center"/>
              <w:rPr>
                <w:rFonts w:asciiTheme="majorBidi" w:hAnsiTheme="majorBidi" w:cstheme="majorBidi"/>
                <w:b/>
                <w:bCs/>
                <w:sz w:val="24"/>
                <w:szCs w:val="24"/>
              </w:rPr>
            </w:pPr>
            <w:r>
              <w:rPr>
                <w:rFonts w:asciiTheme="majorBidi" w:hAnsiTheme="majorBidi" w:cstheme="majorBidi"/>
                <w:b/>
                <w:bCs/>
                <w:sz w:val="24"/>
                <w:szCs w:val="24"/>
              </w:rPr>
              <w:t>Antibiotique</w:t>
            </w:r>
          </w:p>
        </w:tc>
      </w:tr>
      <w:tr w:rsidR="003E3FB4" w14:paraId="6B6D23F2" w14:textId="77777777">
        <w:tc>
          <w:tcPr>
            <w:tcW w:w="993" w:type="dxa"/>
            <w:vMerge w:val="restart"/>
          </w:tcPr>
          <w:p w14:paraId="5C6605B9" w14:textId="77777777" w:rsidR="006F4B07" w:rsidRDefault="006F4B07">
            <w:pPr>
              <w:tabs>
                <w:tab w:val="left" w:pos="3656"/>
              </w:tabs>
              <w:spacing w:after="0" w:line="360" w:lineRule="auto"/>
              <w:jc w:val="both"/>
              <w:rPr>
                <w:rFonts w:asciiTheme="majorBidi" w:hAnsiTheme="majorBidi" w:cstheme="majorBidi"/>
                <w:b/>
                <w:bCs/>
                <w:sz w:val="24"/>
                <w:szCs w:val="24"/>
              </w:rPr>
            </w:pPr>
          </w:p>
          <w:p w14:paraId="172F749F" w14:textId="77777777" w:rsidR="006F4B07" w:rsidRDefault="006F4B07">
            <w:pPr>
              <w:tabs>
                <w:tab w:val="left" w:pos="3656"/>
              </w:tabs>
              <w:spacing w:after="0" w:line="360" w:lineRule="auto"/>
              <w:jc w:val="both"/>
              <w:rPr>
                <w:rFonts w:asciiTheme="majorBidi" w:hAnsiTheme="majorBidi" w:cstheme="majorBidi"/>
                <w:b/>
                <w:bCs/>
                <w:sz w:val="24"/>
                <w:szCs w:val="24"/>
              </w:rPr>
            </w:pPr>
          </w:p>
          <w:p w14:paraId="44E40D5F" w14:textId="1299B07C" w:rsidR="003E3FB4" w:rsidRDefault="00385ED0">
            <w:pPr>
              <w:tabs>
                <w:tab w:val="left" w:pos="3656"/>
              </w:tabs>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Gram+</w:t>
            </w:r>
          </w:p>
        </w:tc>
        <w:tc>
          <w:tcPr>
            <w:tcW w:w="1843" w:type="dxa"/>
          </w:tcPr>
          <w:p w14:paraId="7BE1CC0D" w14:textId="77777777" w:rsidR="003E3FB4" w:rsidRDefault="00385ED0">
            <w:pPr>
              <w:tabs>
                <w:tab w:val="left" w:pos="3656"/>
              </w:tabs>
              <w:spacing w:after="0" w:line="240" w:lineRule="auto"/>
              <w:jc w:val="center"/>
              <w:rPr>
                <w:rFonts w:asciiTheme="majorBidi" w:hAnsiTheme="majorBidi" w:cstheme="majorBidi"/>
                <w:i/>
                <w:iCs/>
                <w:sz w:val="24"/>
                <w:szCs w:val="24"/>
              </w:rPr>
            </w:pPr>
            <w:r>
              <w:rPr>
                <w:rFonts w:asciiTheme="majorBidi" w:hAnsiTheme="majorBidi" w:cstheme="majorBidi"/>
                <w:i/>
                <w:iCs/>
                <w:sz w:val="24"/>
                <w:szCs w:val="24"/>
              </w:rPr>
              <w:t>Bacillus subtilis</w:t>
            </w:r>
          </w:p>
          <w:p w14:paraId="205E070F" w14:textId="77777777" w:rsidR="003E3FB4" w:rsidRDefault="00385ED0">
            <w:pPr>
              <w:tabs>
                <w:tab w:val="left" w:pos="3656"/>
              </w:tabs>
              <w:spacing w:after="0" w:line="240" w:lineRule="auto"/>
              <w:jc w:val="center"/>
              <w:rPr>
                <w:rFonts w:asciiTheme="majorBidi" w:hAnsiTheme="majorBidi" w:cstheme="majorBidi"/>
                <w:sz w:val="24"/>
                <w:szCs w:val="24"/>
              </w:rPr>
            </w:pPr>
            <w:r>
              <w:rPr>
                <w:rFonts w:asciiTheme="majorBidi" w:hAnsiTheme="majorBidi" w:cstheme="majorBidi"/>
                <w:sz w:val="24"/>
                <w:szCs w:val="24"/>
              </w:rPr>
              <w:t>ATTC 6633</w:t>
            </w:r>
          </w:p>
        </w:tc>
        <w:tc>
          <w:tcPr>
            <w:tcW w:w="1701" w:type="dxa"/>
          </w:tcPr>
          <w:p w14:paraId="5241997F" w14:textId="77777777" w:rsidR="003E3FB4" w:rsidRDefault="00385ED0">
            <w:pPr>
              <w:tabs>
                <w:tab w:val="left" w:pos="3656"/>
              </w:tabs>
              <w:spacing w:after="0" w:line="240" w:lineRule="auto"/>
              <w:jc w:val="center"/>
              <w:rPr>
                <w:rFonts w:asciiTheme="majorBidi" w:hAnsiTheme="majorBidi" w:cstheme="majorBidi"/>
                <w:sz w:val="24"/>
                <w:szCs w:val="24"/>
              </w:rPr>
            </w:pPr>
            <w:r>
              <w:rPr>
                <w:rFonts w:asciiTheme="majorBidi" w:hAnsiTheme="majorBidi" w:cstheme="majorBidi"/>
                <w:sz w:val="24"/>
                <w:szCs w:val="24"/>
              </w:rPr>
              <w:t xml:space="preserve">12mm±0.12 </w:t>
            </w:r>
            <w:r>
              <w:rPr>
                <w:rFonts w:asciiTheme="majorBidi" w:hAnsiTheme="majorBidi" w:cstheme="majorBidi"/>
                <w:b/>
                <w:bCs/>
                <w:sz w:val="24"/>
                <w:szCs w:val="24"/>
              </w:rPr>
              <w:t>b</w:t>
            </w:r>
          </w:p>
          <w:p w14:paraId="39AA8F2E" w14:textId="77777777" w:rsidR="003E3FB4" w:rsidRDefault="00385ED0">
            <w:pPr>
              <w:tabs>
                <w:tab w:val="left" w:pos="3656"/>
              </w:tabs>
              <w:spacing w:after="0"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1700" w:type="dxa"/>
          </w:tcPr>
          <w:p w14:paraId="5F439CB8" w14:textId="77777777" w:rsidR="003E3FB4" w:rsidRDefault="00385ED0">
            <w:pPr>
              <w:tabs>
                <w:tab w:val="left" w:pos="3656"/>
              </w:tabs>
              <w:spacing w:after="0" w:line="240" w:lineRule="auto"/>
              <w:jc w:val="center"/>
              <w:rPr>
                <w:rFonts w:asciiTheme="majorBidi" w:hAnsiTheme="majorBidi" w:cstheme="majorBidi"/>
                <w:b/>
                <w:bCs/>
                <w:sz w:val="24"/>
                <w:szCs w:val="24"/>
              </w:rPr>
            </w:pPr>
            <w:r>
              <w:rPr>
                <w:rFonts w:asciiTheme="majorBidi" w:hAnsiTheme="majorBidi" w:cstheme="majorBidi"/>
                <w:sz w:val="24"/>
                <w:szCs w:val="24"/>
              </w:rPr>
              <w:t xml:space="preserve">0 </w:t>
            </w:r>
            <w:r>
              <w:rPr>
                <w:rFonts w:asciiTheme="majorBidi" w:hAnsiTheme="majorBidi" w:cstheme="majorBidi"/>
                <w:b/>
                <w:bCs/>
                <w:sz w:val="24"/>
                <w:szCs w:val="24"/>
              </w:rPr>
              <w:t>c</w:t>
            </w:r>
          </w:p>
          <w:p w14:paraId="3FE023D9" w14:textId="77777777" w:rsidR="003E3FB4" w:rsidRDefault="00385ED0">
            <w:pPr>
              <w:tabs>
                <w:tab w:val="left" w:pos="3656"/>
              </w:tabs>
              <w:spacing w:after="0"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1263" w:type="dxa"/>
          </w:tcPr>
          <w:p w14:paraId="14CC0FFB" w14:textId="77777777" w:rsidR="003E3FB4" w:rsidRDefault="00385ED0">
            <w:pPr>
              <w:tabs>
                <w:tab w:val="left" w:pos="3656"/>
              </w:tabs>
              <w:spacing w:after="0" w:line="240" w:lineRule="auto"/>
              <w:jc w:val="center"/>
              <w:rPr>
                <w:rFonts w:asciiTheme="majorBidi" w:hAnsiTheme="majorBidi" w:cstheme="majorBidi"/>
                <w:sz w:val="24"/>
                <w:szCs w:val="24"/>
              </w:rPr>
            </w:pPr>
            <w:r>
              <w:rPr>
                <w:rFonts w:asciiTheme="majorBidi" w:hAnsiTheme="majorBidi" w:cstheme="majorBidi"/>
                <w:sz w:val="24"/>
                <w:szCs w:val="24"/>
              </w:rPr>
              <w:t>0</w:t>
            </w:r>
            <w:r>
              <w:rPr>
                <w:rFonts w:asciiTheme="majorBidi" w:hAnsiTheme="majorBidi" w:cstheme="majorBidi"/>
                <w:b/>
                <w:bCs/>
                <w:sz w:val="24"/>
                <w:szCs w:val="24"/>
              </w:rPr>
              <w:t xml:space="preserve"> c</w:t>
            </w:r>
          </w:p>
          <w:p w14:paraId="738DC2FB" w14:textId="77777777" w:rsidR="003E3FB4" w:rsidRDefault="00385ED0">
            <w:pPr>
              <w:tabs>
                <w:tab w:val="left" w:pos="3656"/>
              </w:tabs>
              <w:spacing w:after="0"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1497" w:type="dxa"/>
          </w:tcPr>
          <w:p w14:paraId="207E1D3C" w14:textId="77777777" w:rsidR="003E3FB4" w:rsidRDefault="00385ED0">
            <w:pPr>
              <w:tabs>
                <w:tab w:val="left" w:pos="3656"/>
              </w:tabs>
              <w:spacing w:after="0" w:line="240" w:lineRule="auto"/>
              <w:jc w:val="center"/>
              <w:rPr>
                <w:rFonts w:asciiTheme="majorBidi" w:hAnsiTheme="majorBidi" w:cstheme="majorBidi"/>
                <w:b/>
                <w:bCs/>
                <w:sz w:val="24"/>
                <w:szCs w:val="24"/>
              </w:rPr>
            </w:pPr>
            <w:r>
              <w:rPr>
                <w:rFonts w:asciiTheme="majorBidi" w:hAnsiTheme="majorBidi" w:cstheme="majorBidi"/>
                <w:sz w:val="24"/>
                <w:szCs w:val="24"/>
              </w:rPr>
              <w:t xml:space="preserve">48mm±0.06 </w:t>
            </w:r>
            <w:r>
              <w:rPr>
                <w:rFonts w:asciiTheme="majorBidi" w:hAnsiTheme="majorBidi" w:cstheme="majorBidi"/>
                <w:b/>
                <w:bCs/>
                <w:sz w:val="24"/>
                <w:szCs w:val="24"/>
              </w:rPr>
              <w:t>a</w:t>
            </w:r>
          </w:p>
          <w:p w14:paraId="213438A0" w14:textId="77777777" w:rsidR="003E3FB4" w:rsidRDefault="00385ED0">
            <w:pPr>
              <w:tabs>
                <w:tab w:val="left" w:pos="3656"/>
              </w:tabs>
              <w:spacing w:after="0" w:line="240" w:lineRule="auto"/>
              <w:jc w:val="center"/>
              <w:rPr>
                <w:rFonts w:asciiTheme="majorBidi" w:hAnsiTheme="majorBidi" w:cstheme="majorBidi"/>
                <w:sz w:val="24"/>
                <w:szCs w:val="24"/>
              </w:rPr>
            </w:pPr>
            <w:r>
              <w:rPr>
                <w:rFonts w:asciiTheme="majorBidi" w:hAnsiTheme="majorBidi" w:cstheme="majorBidi"/>
                <w:b/>
                <w:bCs/>
                <w:sz w:val="24"/>
                <w:szCs w:val="24"/>
              </w:rPr>
              <w:t>+++</w:t>
            </w:r>
          </w:p>
        </w:tc>
      </w:tr>
      <w:tr w:rsidR="003E3FB4" w14:paraId="2B6F5C83" w14:textId="77777777">
        <w:tc>
          <w:tcPr>
            <w:tcW w:w="993" w:type="dxa"/>
            <w:vMerge/>
          </w:tcPr>
          <w:p w14:paraId="5508E23D" w14:textId="77777777" w:rsidR="003E3FB4" w:rsidRDefault="003E3FB4">
            <w:pPr>
              <w:tabs>
                <w:tab w:val="left" w:pos="3656"/>
              </w:tabs>
              <w:spacing w:after="0" w:line="360" w:lineRule="auto"/>
              <w:jc w:val="both"/>
              <w:rPr>
                <w:rFonts w:asciiTheme="majorBidi" w:hAnsiTheme="majorBidi" w:cstheme="majorBidi"/>
                <w:b/>
                <w:bCs/>
                <w:sz w:val="24"/>
                <w:szCs w:val="24"/>
              </w:rPr>
            </w:pPr>
          </w:p>
        </w:tc>
        <w:tc>
          <w:tcPr>
            <w:tcW w:w="1843" w:type="dxa"/>
          </w:tcPr>
          <w:p w14:paraId="50DC2A95" w14:textId="77777777" w:rsidR="003E3FB4" w:rsidRDefault="00385ED0">
            <w:pPr>
              <w:tabs>
                <w:tab w:val="left" w:pos="3656"/>
              </w:tabs>
              <w:spacing w:after="0" w:line="240" w:lineRule="auto"/>
              <w:jc w:val="center"/>
              <w:rPr>
                <w:rFonts w:asciiTheme="majorBidi" w:hAnsiTheme="majorBidi" w:cstheme="majorBidi"/>
                <w:i/>
                <w:iCs/>
                <w:sz w:val="24"/>
                <w:szCs w:val="24"/>
              </w:rPr>
            </w:pPr>
            <w:r>
              <w:rPr>
                <w:rFonts w:asciiTheme="majorBidi" w:hAnsiTheme="majorBidi" w:cstheme="majorBidi"/>
                <w:i/>
                <w:iCs/>
                <w:sz w:val="24"/>
                <w:szCs w:val="24"/>
              </w:rPr>
              <w:t>Staphylococcus epidermidis</w:t>
            </w:r>
          </w:p>
          <w:p w14:paraId="295A699A" w14:textId="77777777" w:rsidR="003E3FB4" w:rsidRDefault="00385ED0">
            <w:pPr>
              <w:tabs>
                <w:tab w:val="left" w:pos="3656"/>
              </w:tabs>
              <w:spacing w:after="0" w:line="240" w:lineRule="auto"/>
              <w:jc w:val="center"/>
              <w:rPr>
                <w:rFonts w:asciiTheme="majorBidi" w:hAnsiTheme="majorBidi" w:cstheme="majorBidi"/>
                <w:sz w:val="24"/>
                <w:szCs w:val="24"/>
              </w:rPr>
            </w:pPr>
            <w:r>
              <w:rPr>
                <w:rFonts w:asciiTheme="majorBidi" w:hAnsiTheme="majorBidi" w:cstheme="majorBidi"/>
                <w:sz w:val="24"/>
                <w:szCs w:val="24"/>
              </w:rPr>
              <w:t>ATTC 12228</w:t>
            </w:r>
          </w:p>
        </w:tc>
        <w:tc>
          <w:tcPr>
            <w:tcW w:w="1701" w:type="dxa"/>
          </w:tcPr>
          <w:p w14:paraId="0C91F9C3" w14:textId="77777777" w:rsidR="003E3FB4" w:rsidRDefault="00385ED0">
            <w:pPr>
              <w:tabs>
                <w:tab w:val="left" w:pos="3656"/>
              </w:tabs>
              <w:spacing w:after="0" w:line="240" w:lineRule="auto"/>
              <w:jc w:val="center"/>
              <w:rPr>
                <w:rFonts w:asciiTheme="majorBidi" w:hAnsiTheme="majorBidi" w:cstheme="majorBidi"/>
                <w:b/>
                <w:bCs/>
                <w:sz w:val="24"/>
                <w:szCs w:val="24"/>
              </w:rPr>
            </w:pPr>
            <w:r>
              <w:rPr>
                <w:rFonts w:asciiTheme="majorBidi" w:hAnsiTheme="majorBidi" w:cstheme="majorBidi"/>
                <w:sz w:val="24"/>
                <w:szCs w:val="24"/>
              </w:rPr>
              <w:t xml:space="preserve">15mm±0.15 </w:t>
            </w:r>
            <w:r>
              <w:rPr>
                <w:rFonts w:asciiTheme="majorBidi" w:hAnsiTheme="majorBidi" w:cstheme="majorBidi"/>
                <w:b/>
                <w:bCs/>
                <w:sz w:val="24"/>
                <w:szCs w:val="24"/>
              </w:rPr>
              <w:t>ab</w:t>
            </w:r>
          </w:p>
          <w:p w14:paraId="572765E3" w14:textId="77777777" w:rsidR="003E3FB4" w:rsidRDefault="00385ED0">
            <w:pPr>
              <w:tabs>
                <w:tab w:val="left" w:pos="3656"/>
              </w:tabs>
              <w:spacing w:after="0" w:line="240" w:lineRule="auto"/>
              <w:jc w:val="center"/>
              <w:rPr>
                <w:rFonts w:asciiTheme="majorBidi" w:hAnsiTheme="majorBidi" w:cstheme="majorBidi"/>
                <w:b/>
                <w:bCs/>
                <w:sz w:val="24"/>
                <w:szCs w:val="24"/>
              </w:rPr>
            </w:pPr>
            <w:r>
              <w:rPr>
                <w:rFonts w:asciiTheme="majorBidi" w:hAnsiTheme="majorBidi" w:cstheme="majorBidi"/>
                <w:b/>
                <w:bCs/>
                <w:sz w:val="24"/>
                <w:szCs w:val="24"/>
              </w:rPr>
              <w:t>++</w:t>
            </w:r>
          </w:p>
        </w:tc>
        <w:tc>
          <w:tcPr>
            <w:tcW w:w="1700" w:type="dxa"/>
          </w:tcPr>
          <w:p w14:paraId="1D7C8A36" w14:textId="77777777" w:rsidR="003E3FB4" w:rsidRDefault="00385ED0">
            <w:pPr>
              <w:tabs>
                <w:tab w:val="left" w:pos="3656"/>
              </w:tabs>
              <w:spacing w:after="0" w:line="240" w:lineRule="auto"/>
              <w:jc w:val="center"/>
              <w:rPr>
                <w:rFonts w:asciiTheme="majorBidi" w:hAnsiTheme="majorBidi" w:cstheme="majorBidi"/>
                <w:b/>
                <w:bCs/>
                <w:sz w:val="24"/>
                <w:szCs w:val="24"/>
              </w:rPr>
            </w:pPr>
            <w:r>
              <w:rPr>
                <w:rFonts w:asciiTheme="majorBidi" w:hAnsiTheme="majorBidi" w:cstheme="majorBidi"/>
                <w:sz w:val="24"/>
                <w:szCs w:val="24"/>
              </w:rPr>
              <w:t xml:space="preserve">11mm±0.17 </w:t>
            </w:r>
            <w:r>
              <w:rPr>
                <w:rFonts w:asciiTheme="majorBidi" w:hAnsiTheme="majorBidi" w:cstheme="majorBidi"/>
                <w:b/>
                <w:bCs/>
                <w:sz w:val="24"/>
                <w:szCs w:val="24"/>
              </w:rPr>
              <w:t>b</w:t>
            </w:r>
          </w:p>
          <w:p w14:paraId="4DCEFDCD" w14:textId="77777777" w:rsidR="003E3FB4" w:rsidRDefault="00385ED0">
            <w:pPr>
              <w:tabs>
                <w:tab w:val="left" w:pos="3656"/>
              </w:tabs>
              <w:spacing w:after="0" w:line="240" w:lineRule="auto"/>
              <w:jc w:val="center"/>
              <w:rPr>
                <w:rFonts w:asciiTheme="majorBidi" w:hAnsiTheme="majorBidi" w:cstheme="majorBidi"/>
                <w:b/>
                <w:bCs/>
                <w:sz w:val="24"/>
                <w:szCs w:val="24"/>
              </w:rPr>
            </w:pPr>
            <w:r>
              <w:rPr>
                <w:rFonts w:asciiTheme="majorBidi" w:hAnsiTheme="majorBidi" w:cstheme="majorBidi"/>
                <w:b/>
                <w:bCs/>
                <w:sz w:val="24"/>
                <w:szCs w:val="24"/>
              </w:rPr>
              <w:t>+</w:t>
            </w:r>
          </w:p>
        </w:tc>
        <w:tc>
          <w:tcPr>
            <w:tcW w:w="1263" w:type="dxa"/>
          </w:tcPr>
          <w:p w14:paraId="18EB868E" w14:textId="77777777" w:rsidR="003E3FB4" w:rsidRDefault="00385ED0">
            <w:pPr>
              <w:tabs>
                <w:tab w:val="left" w:pos="3656"/>
              </w:tabs>
              <w:spacing w:after="0" w:line="240" w:lineRule="auto"/>
              <w:jc w:val="center"/>
              <w:rPr>
                <w:rFonts w:asciiTheme="majorBidi" w:hAnsiTheme="majorBidi" w:cstheme="majorBidi"/>
                <w:b/>
                <w:bCs/>
                <w:sz w:val="24"/>
                <w:szCs w:val="24"/>
              </w:rPr>
            </w:pPr>
            <w:r>
              <w:rPr>
                <w:rFonts w:asciiTheme="majorBidi" w:hAnsiTheme="majorBidi" w:cstheme="majorBidi"/>
                <w:sz w:val="24"/>
                <w:szCs w:val="24"/>
              </w:rPr>
              <w:t xml:space="preserve">0 </w:t>
            </w:r>
            <w:r>
              <w:rPr>
                <w:rFonts w:asciiTheme="majorBidi" w:hAnsiTheme="majorBidi" w:cstheme="majorBidi"/>
                <w:b/>
                <w:bCs/>
                <w:sz w:val="24"/>
                <w:szCs w:val="24"/>
              </w:rPr>
              <w:t>c</w:t>
            </w:r>
          </w:p>
          <w:p w14:paraId="1E95AA56" w14:textId="77777777" w:rsidR="003E3FB4" w:rsidRDefault="00385ED0">
            <w:pPr>
              <w:tabs>
                <w:tab w:val="left" w:pos="3656"/>
              </w:tabs>
              <w:spacing w:after="0" w:line="240" w:lineRule="auto"/>
              <w:jc w:val="center"/>
              <w:rPr>
                <w:rFonts w:asciiTheme="majorBidi" w:hAnsiTheme="majorBidi" w:cstheme="majorBidi"/>
                <w:b/>
                <w:bCs/>
                <w:sz w:val="24"/>
                <w:szCs w:val="24"/>
              </w:rPr>
            </w:pPr>
            <w:r>
              <w:rPr>
                <w:rFonts w:asciiTheme="majorBidi" w:hAnsiTheme="majorBidi" w:cstheme="majorBidi"/>
                <w:b/>
                <w:bCs/>
                <w:sz w:val="24"/>
                <w:szCs w:val="24"/>
              </w:rPr>
              <w:t>-</w:t>
            </w:r>
          </w:p>
        </w:tc>
        <w:tc>
          <w:tcPr>
            <w:tcW w:w="1497" w:type="dxa"/>
          </w:tcPr>
          <w:p w14:paraId="6EB47A49" w14:textId="77777777" w:rsidR="003E3FB4" w:rsidRDefault="00385ED0">
            <w:pPr>
              <w:tabs>
                <w:tab w:val="left" w:pos="3656"/>
              </w:tabs>
              <w:spacing w:after="0" w:line="240" w:lineRule="auto"/>
              <w:jc w:val="center"/>
              <w:rPr>
                <w:rFonts w:asciiTheme="majorBidi" w:hAnsiTheme="majorBidi" w:cstheme="majorBidi"/>
                <w:sz w:val="24"/>
                <w:szCs w:val="24"/>
              </w:rPr>
            </w:pPr>
            <w:r>
              <w:rPr>
                <w:rFonts w:asciiTheme="majorBidi" w:hAnsiTheme="majorBidi" w:cstheme="majorBidi"/>
                <w:sz w:val="24"/>
                <w:szCs w:val="24"/>
              </w:rPr>
              <w:t>47mm±0.08</w:t>
            </w:r>
            <w:r>
              <w:rPr>
                <w:rFonts w:asciiTheme="majorBidi" w:hAnsiTheme="majorBidi" w:cstheme="majorBidi"/>
                <w:b/>
                <w:bCs/>
                <w:sz w:val="24"/>
                <w:szCs w:val="24"/>
              </w:rPr>
              <w:t xml:space="preserve"> a</w:t>
            </w:r>
          </w:p>
          <w:p w14:paraId="1CC42295" w14:textId="77777777" w:rsidR="003E3FB4" w:rsidRDefault="00385ED0">
            <w:pPr>
              <w:tabs>
                <w:tab w:val="left" w:pos="3656"/>
              </w:tabs>
              <w:spacing w:after="0" w:line="240" w:lineRule="auto"/>
              <w:jc w:val="center"/>
              <w:rPr>
                <w:rFonts w:asciiTheme="majorBidi" w:hAnsiTheme="majorBidi" w:cstheme="majorBidi"/>
                <w:sz w:val="24"/>
                <w:szCs w:val="24"/>
              </w:rPr>
            </w:pPr>
            <w:r>
              <w:rPr>
                <w:rFonts w:asciiTheme="majorBidi" w:hAnsiTheme="majorBidi" w:cstheme="majorBidi"/>
                <w:sz w:val="24"/>
                <w:szCs w:val="24"/>
              </w:rPr>
              <w:t>+++</w:t>
            </w:r>
          </w:p>
        </w:tc>
      </w:tr>
      <w:tr w:rsidR="003E3FB4" w14:paraId="6AEC3DA6" w14:textId="77777777">
        <w:tc>
          <w:tcPr>
            <w:tcW w:w="993" w:type="dxa"/>
            <w:vMerge/>
          </w:tcPr>
          <w:p w14:paraId="6A3CD1C6" w14:textId="77777777" w:rsidR="003E3FB4" w:rsidRDefault="003E3FB4">
            <w:pPr>
              <w:tabs>
                <w:tab w:val="left" w:pos="3656"/>
              </w:tabs>
              <w:spacing w:after="0" w:line="360" w:lineRule="auto"/>
              <w:jc w:val="both"/>
              <w:rPr>
                <w:rFonts w:asciiTheme="majorBidi" w:hAnsiTheme="majorBidi" w:cstheme="majorBidi"/>
                <w:b/>
                <w:bCs/>
                <w:sz w:val="24"/>
                <w:szCs w:val="24"/>
              </w:rPr>
            </w:pPr>
          </w:p>
        </w:tc>
        <w:tc>
          <w:tcPr>
            <w:tcW w:w="1843" w:type="dxa"/>
          </w:tcPr>
          <w:p w14:paraId="3A487E02" w14:textId="77777777" w:rsidR="003E3FB4" w:rsidRDefault="00385ED0">
            <w:pPr>
              <w:tabs>
                <w:tab w:val="left" w:pos="3656"/>
              </w:tabs>
              <w:spacing w:after="0" w:line="240" w:lineRule="auto"/>
              <w:jc w:val="center"/>
              <w:rPr>
                <w:rFonts w:asciiTheme="majorBidi" w:hAnsiTheme="majorBidi" w:cstheme="majorBidi"/>
                <w:i/>
                <w:iCs/>
                <w:sz w:val="24"/>
                <w:szCs w:val="24"/>
              </w:rPr>
            </w:pPr>
            <w:r>
              <w:rPr>
                <w:rFonts w:asciiTheme="majorBidi" w:hAnsiTheme="majorBidi" w:cstheme="majorBidi"/>
                <w:i/>
                <w:iCs/>
                <w:sz w:val="24"/>
                <w:szCs w:val="24"/>
              </w:rPr>
              <w:t>Staphylococcus aureus</w:t>
            </w:r>
          </w:p>
          <w:p w14:paraId="0A16EDD8" w14:textId="77777777" w:rsidR="003E3FB4" w:rsidRDefault="00385ED0">
            <w:pPr>
              <w:tabs>
                <w:tab w:val="left" w:pos="3656"/>
              </w:tabs>
              <w:spacing w:after="0" w:line="240" w:lineRule="auto"/>
              <w:jc w:val="center"/>
              <w:rPr>
                <w:rFonts w:asciiTheme="majorBidi" w:hAnsiTheme="majorBidi" w:cstheme="majorBidi"/>
                <w:sz w:val="24"/>
                <w:szCs w:val="24"/>
              </w:rPr>
            </w:pPr>
            <w:r>
              <w:rPr>
                <w:rFonts w:asciiTheme="majorBidi" w:hAnsiTheme="majorBidi" w:cstheme="majorBidi"/>
                <w:sz w:val="24"/>
                <w:szCs w:val="24"/>
              </w:rPr>
              <w:t>ATTC 6538</w:t>
            </w:r>
          </w:p>
        </w:tc>
        <w:tc>
          <w:tcPr>
            <w:tcW w:w="1701" w:type="dxa"/>
          </w:tcPr>
          <w:p w14:paraId="2CAF2627" w14:textId="77777777" w:rsidR="003E3FB4" w:rsidRDefault="00385ED0">
            <w:pPr>
              <w:tabs>
                <w:tab w:val="left" w:pos="3656"/>
              </w:tabs>
              <w:spacing w:after="0" w:line="240" w:lineRule="auto"/>
              <w:jc w:val="center"/>
              <w:rPr>
                <w:rFonts w:asciiTheme="majorBidi" w:hAnsiTheme="majorBidi" w:cstheme="majorBidi"/>
                <w:sz w:val="24"/>
                <w:szCs w:val="24"/>
              </w:rPr>
            </w:pPr>
            <w:r>
              <w:rPr>
                <w:rFonts w:asciiTheme="majorBidi" w:hAnsiTheme="majorBidi" w:cstheme="majorBidi"/>
                <w:sz w:val="24"/>
                <w:szCs w:val="24"/>
              </w:rPr>
              <w:t>0 c</w:t>
            </w:r>
          </w:p>
          <w:p w14:paraId="56575FDD" w14:textId="77777777" w:rsidR="003E3FB4" w:rsidRDefault="00385ED0">
            <w:pPr>
              <w:tabs>
                <w:tab w:val="left" w:pos="3656"/>
              </w:tabs>
              <w:spacing w:after="0"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1700" w:type="dxa"/>
          </w:tcPr>
          <w:p w14:paraId="710575E0" w14:textId="77777777" w:rsidR="003E3FB4" w:rsidRDefault="00385ED0">
            <w:pPr>
              <w:tabs>
                <w:tab w:val="left" w:pos="3656"/>
              </w:tabs>
              <w:spacing w:after="0" w:line="240" w:lineRule="auto"/>
              <w:jc w:val="center"/>
              <w:rPr>
                <w:rFonts w:asciiTheme="majorBidi" w:hAnsiTheme="majorBidi" w:cstheme="majorBidi"/>
                <w:b/>
                <w:bCs/>
                <w:sz w:val="24"/>
                <w:szCs w:val="24"/>
              </w:rPr>
            </w:pPr>
            <w:r>
              <w:rPr>
                <w:rFonts w:asciiTheme="majorBidi" w:hAnsiTheme="majorBidi" w:cstheme="majorBidi"/>
                <w:sz w:val="24"/>
                <w:szCs w:val="24"/>
              </w:rPr>
              <w:t xml:space="preserve">0 </w:t>
            </w:r>
            <w:r>
              <w:rPr>
                <w:rFonts w:asciiTheme="majorBidi" w:hAnsiTheme="majorBidi" w:cstheme="majorBidi"/>
                <w:b/>
                <w:bCs/>
                <w:sz w:val="24"/>
                <w:szCs w:val="24"/>
              </w:rPr>
              <w:t>c</w:t>
            </w:r>
          </w:p>
          <w:p w14:paraId="79881559" w14:textId="77777777" w:rsidR="003E3FB4" w:rsidRDefault="00385ED0">
            <w:pPr>
              <w:tabs>
                <w:tab w:val="left" w:pos="3656"/>
              </w:tabs>
              <w:spacing w:after="0" w:line="240" w:lineRule="auto"/>
              <w:jc w:val="center"/>
              <w:rPr>
                <w:rFonts w:asciiTheme="majorBidi" w:hAnsiTheme="majorBidi" w:cstheme="majorBidi"/>
                <w:b/>
                <w:bCs/>
                <w:sz w:val="24"/>
                <w:szCs w:val="24"/>
              </w:rPr>
            </w:pPr>
            <w:r>
              <w:rPr>
                <w:rFonts w:asciiTheme="majorBidi" w:hAnsiTheme="majorBidi" w:cstheme="majorBidi"/>
                <w:b/>
                <w:bCs/>
                <w:sz w:val="24"/>
                <w:szCs w:val="24"/>
              </w:rPr>
              <w:t>-</w:t>
            </w:r>
          </w:p>
        </w:tc>
        <w:tc>
          <w:tcPr>
            <w:tcW w:w="1263" w:type="dxa"/>
          </w:tcPr>
          <w:p w14:paraId="74A7E4A6" w14:textId="77777777" w:rsidR="003E3FB4" w:rsidRDefault="00385ED0">
            <w:pPr>
              <w:tabs>
                <w:tab w:val="left" w:pos="3656"/>
              </w:tabs>
              <w:spacing w:after="0" w:line="240" w:lineRule="auto"/>
              <w:jc w:val="center"/>
              <w:rPr>
                <w:rFonts w:asciiTheme="majorBidi" w:hAnsiTheme="majorBidi" w:cstheme="majorBidi"/>
                <w:b/>
                <w:bCs/>
                <w:sz w:val="24"/>
                <w:szCs w:val="24"/>
              </w:rPr>
            </w:pPr>
            <w:r>
              <w:rPr>
                <w:rFonts w:asciiTheme="majorBidi" w:hAnsiTheme="majorBidi" w:cstheme="majorBidi"/>
                <w:sz w:val="24"/>
                <w:szCs w:val="24"/>
              </w:rPr>
              <w:t xml:space="preserve">0 </w:t>
            </w:r>
            <w:r>
              <w:rPr>
                <w:rFonts w:asciiTheme="majorBidi" w:hAnsiTheme="majorBidi" w:cstheme="majorBidi"/>
                <w:b/>
                <w:bCs/>
                <w:sz w:val="24"/>
                <w:szCs w:val="24"/>
              </w:rPr>
              <w:t>c</w:t>
            </w:r>
          </w:p>
          <w:p w14:paraId="67FBB51B" w14:textId="77777777" w:rsidR="003E3FB4" w:rsidRDefault="00385ED0">
            <w:pPr>
              <w:tabs>
                <w:tab w:val="left" w:pos="3656"/>
              </w:tabs>
              <w:spacing w:after="0" w:line="240" w:lineRule="auto"/>
              <w:jc w:val="center"/>
              <w:rPr>
                <w:rFonts w:asciiTheme="majorBidi" w:hAnsiTheme="majorBidi" w:cstheme="majorBidi"/>
                <w:b/>
                <w:bCs/>
                <w:sz w:val="24"/>
                <w:szCs w:val="24"/>
              </w:rPr>
            </w:pPr>
            <w:r>
              <w:rPr>
                <w:rFonts w:asciiTheme="majorBidi" w:hAnsiTheme="majorBidi" w:cstheme="majorBidi"/>
                <w:b/>
                <w:bCs/>
                <w:sz w:val="24"/>
                <w:szCs w:val="24"/>
              </w:rPr>
              <w:t>-</w:t>
            </w:r>
          </w:p>
        </w:tc>
        <w:tc>
          <w:tcPr>
            <w:tcW w:w="1497" w:type="dxa"/>
          </w:tcPr>
          <w:p w14:paraId="3E5FAFF0" w14:textId="77777777" w:rsidR="003E3FB4" w:rsidRDefault="00385ED0">
            <w:pPr>
              <w:tabs>
                <w:tab w:val="left" w:pos="3656"/>
              </w:tabs>
              <w:spacing w:after="0" w:line="240" w:lineRule="auto"/>
              <w:jc w:val="center"/>
              <w:rPr>
                <w:rFonts w:asciiTheme="majorBidi" w:hAnsiTheme="majorBidi" w:cstheme="majorBidi"/>
                <w:b/>
                <w:bCs/>
                <w:sz w:val="24"/>
                <w:szCs w:val="24"/>
              </w:rPr>
            </w:pPr>
            <w:r>
              <w:rPr>
                <w:rFonts w:asciiTheme="majorBidi" w:hAnsiTheme="majorBidi" w:cstheme="majorBidi"/>
                <w:sz w:val="24"/>
                <w:szCs w:val="24"/>
              </w:rPr>
              <w:t xml:space="preserve">45mm±0.1 </w:t>
            </w:r>
            <w:r>
              <w:rPr>
                <w:rFonts w:asciiTheme="majorBidi" w:hAnsiTheme="majorBidi" w:cstheme="majorBidi"/>
                <w:b/>
                <w:bCs/>
                <w:sz w:val="24"/>
                <w:szCs w:val="24"/>
              </w:rPr>
              <w:t>a</w:t>
            </w:r>
          </w:p>
          <w:p w14:paraId="77ED6FF0" w14:textId="77777777" w:rsidR="003E3FB4" w:rsidRDefault="00385ED0">
            <w:pPr>
              <w:tabs>
                <w:tab w:val="left" w:pos="3656"/>
              </w:tabs>
              <w:spacing w:after="0" w:line="240" w:lineRule="auto"/>
              <w:jc w:val="center"/>
              <w:rPr>
                <w:rFonts w:asciiTheme="majorBidi" w:hAnsiTheme="majorBidi" w:cstheme="majorBidi"/>
                <w:sz w:val="24"/>
                <w:szCs w:val="24"/>
              </w:rPr>
            </w:pPr>
            <w:r>
              <w:rPr>
                <w:rFonts w:asciiTheme="majorBidi" w:hAnsiTheme="majorBidi" w:cstheme="majorBidi"/>
                <w:b/>
                <w:bCs/>
                <w:sz w:val="24"/>
                <w:szCs w:val="24"/>
              </w:rPr>
              <w:t>+++</w:t>
            </w:r>
          </w:p>
        </w:tc>
      </w:tr>
      <w:tr w:rsidR="003E3FB4" w14:paraId="04E449C4" w14:textId="77777777">
        <w:tc>
          <w:tcPr>
            <w:tcW w:w="993" w:type="dxa"/>
            <w:vMerge w:val="restart"/>
          </w:tcPr>
          <w:p w14:paraId="271A29FD" w14:textId="77777777" w:rsidR="006F4B07" w:rsidRDefault="006F4B07">
            <w:pPr>
              <w:tabs>
                <w:tab w:val="left" w:pos="3656"/>
              </w:tabs>
              <w:spacing w:after="0" w:line="360" w:lineRule="auto"/>
              <w:jc w:val="both"/>
              <w:rPr>
                <w:rFonts w:asciiTheme="majorBidi" w:hAnsiTheme="majorBidi" w:cstheme="majorBidi"/>
                <w:b/>
                <w:bCs/>
                <w:sz w:val="24"/>
                <w:szCs w:val="24"/>
              </w:rPr>
            </w:pPr>
          </w:p>
          <w:p w14:paraId="1BD253AC" w14:textId="77777777" w:rsidR="006F4B07" w:rsidRDefault="006F4B07">
            <w:pPr>
              <w:tabs>
                <w:tab w:val="left" w:pos="3656"/>
              </w:tabs>
              <w:spacing w:after="0" w:line="360" w:lineRule="auto"/>
              <w:jc w:val="both"/>
              <w:rPr>
                <w:rFonts w:asciiTheme="majorBidi" w:hAnsiTheme="majorBidi" w:cstheme="majorBidi"/>
                <w:b/>
                <w:bCs/>
                <w:sz w:val="24"/>
                <w:szCs w:val="24"/>
              </w:rPr>
            </w:pPr>
          </w:p>
          <w:p w14:paraId="04060610" w14:textId="6EE0AFCB" w:rsidR="003E3FB4" w:rsidRDefault="00385ED0">
            <w:pPr>
              <w:tabs>
                <w:tab w:val="left" w:pos="3656"/>
              </w:tabs>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Gram-</w:t>
            </w:r>
          </w:p>
        </w:tc>
        <w:tc>
          <w:tcPr>
            <w:tcW w:w="1843" w:type="dxa"/>
          </w:tcPr>
          <w:p w14:paraId="762357EB" w14:textId="77777777" w:rsidR="003E3FB4" w:rsidRDefault="00385ED0">
            <w:pPr>
              <w:tabs>
                <w:tab w:val="left" w:pos="3656"/>
              </w:tabs>
              <w:spacing w:after="0" w:line="240" w:lineRule="auto"/>
              <w:jc w:val="center"/>
              <w:rPr>
                <w:rFonts w:asciiTheme="majorBidi" w:hAnsiTheme="majorBidi" w:cstheme="majorBidi"/>
                <w:i/>
                <w:iCs/>
                <w:sz w:val="24"/>
                <w:szCs w:val="24"/>
              </w:rPr>
            </w:pPr>
            <w:r>
              <w:rPr>
                <w:rFonts w:asciiTheme="majorBidi" w:hAnsiTheme="majorBidi" w:cstheme="majorBidi"/>
                <w:i/>
                <w:iCs/>
                <w:sz w:val="24"/>
                <w:szCs w:val="24"/>
              </w:rPr>
              <w:t>Escherichia coli</w:t>
            </w:r>
          </w:p>
          <w:p w14:paraId="44F0D6D8" w14:textId="77777777" w:rsidR="003E3FB4" w:rsidRDefault="00385ED0">
            <w:pPr>
              <w:tabs>
                <w:tab w:val="left" w:pos="3656"/>
              </w:tabs>
              <w:spacing w:after="0" w:line="240" w:lineRule="auto"/>
              <w:jc w:val="center"/>
              <w:rPr>
                <w:rFonts w:asciiTheme="majorBidi" w:hAnsiTheme="majorBidi" w:cstheme="majorBidi"/>
                <w:sz w:val="24"/>
                <w:szCs w:val="24"/>
              </w:rPr>
            </w:pPr>
            <w:r>
              <w:rPr>
                <w:rFonts w:asciiTheme="majorBidi" w:hAnsiTheme="majorBidi" w:cstheme="majorBidi"/>
                <w:sz w:val="24"/>
                <w:szCs w:val="24"/>
              </w:rPr>
              <w:t>ATTC 8739</w:t>
            </w:r>
          </w:p>
        </w:tc>
        <w:tc>
          <w:tcPr>
            <w:tcW w:w="1701" w:type="dxa"/>
          </w:tcPr>
          <w:p w14:paraId="666EFBB3" w14:textId="77777777" w:rsidR="003E3FB4" w:rsidRDefault="00385ED0">
            <w:pPr>
              <w:tabs>
                <w:tab w:val="left" w:pos="3656"/>
              </w:tabs>
              <w:spacing w:after="0" w:line="240" w:lineRule="auto"/>
              <w:jc w:val="center"/>
              <w:rPr>
                <w:rFonts w:asciiTheme="majorBidi" w:hAnsiTheme="majorBidi" w:cstheme="majorBidi"/>
                <w:sz w:val="24"/>
                <w:szCs w:val="24"/>
              </w:rPr>
            </w:pPr>
            <w:r>
              <w:rPr>
                <w:rFonts w:asciiTheme="majorBidi" w:hAnsiTheme="majorBidi" w:cstheme="majorBidi"/>
                <w:sz w:val="24"/>
                <w:szCs w:val="24"/>
              </w:rPr>
              <w:t>0 c</w:t>
            </w:r>
          </w:p>
          <w:p w14:paraId="4ABAFD0F" w14:textId="77777777" w:rsidR="003E3FB4" w:rsidRDefault="00385ED0">
            <w:pPr>
              <w:tabs>
                <w:tab w:val="left" w:pos="3656"/>
              </w:tabs>
              <w:spacing w:after="0" w:line="240" w:lineRule="auto"/>
              <w:jc w:val="center"/>
              <w:rPr>
                <w:rFonts w:asciiTheme="majorBidi" w:hAnsiTheme="majorBidi" w:cstheme="majorBidi"/>
                <w:b/>
                <w:bCs/>
                <w:sz w:val="24"/>
                <w:szCs w:val="24"/>
              </w:rPr>
            </w:pPr>
            <w:r>
              <w:rPr>
                <w:rFonts w:asciiTheme="majorBidi" w:hAnsiTheme="majorBidi" w:cstheme="majorBidi"/>
                <w:b/>
                <w:bCs/>
                <w:sz w:val="24"/>
                <w:szCs w:val="24"/>
              </w:rPr>
              <w:t>-</w:t>
            </w:r>
          </w:p>
          <w:p w14:paraId="028B0C08" w14:textId="77777777" w:rsidR="003E3FB4" w:rsidRDefault="003E3FB4">
            <w:pPr>
              <w:tabs>
                <w:tab w:val="left" w:pos="3656"/>
              </w:tabs>
              <w:spacing w:after="0" w:line="240" w:lineRule="auto"/>
              <w:jc w:val="center"/>
              <w:rPr>
                <w:rFonts w:asciiTheme="majorBidi" w:hAnsiTheme="majorBidi" w:cstheme="majorBidi"/>
                <w:b/>
                <w:bCs/>
                <w:sz w:val="24"/>
                <w:szCs w:val="24"/>
              </w:rPr>
            </w:pPr>
          </w:p>
        </w:tc>
        <w:tc>
          <w:tcPr>
            <w:tcW w:w="1700" w:type="dxa"/>
          </w:tcPr>
          <w:p w14:paraId="2B5951BE" w14:textId="77777777" w:rsidR="003E3FB4" w:rsidRDefault="00385ED0">
            <w:pPr>
              <w:tabs>
                <w:tab w:val="left" w:pos="3656"/>
              </w:tabs>
              <w:spacing w:after="0" w:line="240" w:lineRule="auto"/>
              <w:jc w:val="center"/>
              <w:rPr>
                <w:rFonts w:asciiTheme="majorBidi" w:hAnsiTheme="majorBidi" w:cstheme="majorBidi"/>
                <w:b/>
                <w:bCs/>
                <w:sz w:val="24"/>
                <w:szCs w:val="24"/>
              </w:rPr>
            </w:pPr>
            <w:r>
              <w:rPr>
                <w:rFonts w:asciiTheme="majorBidi" w:hAnsiTheme="majorBidi" w:cstheme="majorBidi"/>
                <w:sz w:val="24"/>
                <w:szCs w:val="24"/>
              </w:rPr>
              <w:t xml:space="preserve">0 </w:t>
            </w:r>
            <w:r>
              <w:rPr>
                <w:rFonts w:asciiTheme="majorBidi" w:hAnsiTheme="majorBidi" w:cstheme="majorBidi"/>
                <w:b/>
                <w:bCs/>
                <w:sz w:val="24"/>
                <w:szCs w:val="24"/>
              </w:rPr>
              <w:t>c</w:t>
            </w:r>
          </w:p>
          <w:p w14:paraId="1CA1C0C4" w14:textId="77777777" w:rsidR="003E3FB4" w:rsidRDefault="00385ED0">
            <w:pPr>
              <w:tabs>
                <w:tab w:val="left" w:pos="3656"/>
              </w:tabs>
              <w:spacing w:after="0" w:line="240" w:lineRule="auto"/>
              <w:jc w:val="center"/>
              <w:rPr>
                <w:rFonts w:asciiTheme="majorBidi" w:hAnsiTheme="majorBidi" w:cstheme="majorBidi"/>
                <w:b/>
                <w:bCs/>
                <w:sz w:val="24"/>
                <w:szCs w:val="24"/>
              </w:rPr>
            </w:pPr>
            <w:r>
              <w:rPr>
                <w:rFonts w:asciiTheme="majorBidi" w:hAnsiTheme="majorBidi" w:cstheme="majorBidi"/>
                <w:b/>
                <w:bCs/>
                <w:sz w:val="24"/>
                <w:szCs w:val="24"/>
              </w:rPr>
              <w:t>-</w:t>
            </w:r>
          </w:p>
        </w:tc>
        <w:tc>
          <w:tcPr>
            <w:tcW w:w="1263" w:type="dxa"/>
          </w:tcPr>
          <w:p w14:paraId="046CE869" w14:textId="77777777" w:rsidR="003E3FB4" w:rsidRDefault="00385ED0">
            <w:pPr>
              <w:tabs>
                <w:tab w:val="left" w:pos="3656"/>
              </w:tabs>
              <w:spacing w:after="0" w:line="240" w:lineRule="auto"/>
              <w:jc w:val="center"/>
              <w:rPr>
                <w:rFonts w:asciiTheme="majorBidi" w:hAnsiTheme="majorBidi" w:cstheme="majorBidi"/>
                <w:b/>
                <w:bCs/>
                <w:sz w:val="24"/>
                <w:szCs w:val="24"/>
              </w:rPr>
            </w:pPr>
            <w:r>
              <w:rPr>
                <w:rFonts w:asciiTheme="majorBidi" w:hAnsiTheme="majorBidi" w:cstheme="majorBidi"/>
                <w:sz w:val="24"/>
                <w:szCs w:val="24"/>
              </w:rPr>
              <w:t xml:space="preserve">0 </w:t>
            </w:r>
            <w:r>
              <w:rPr>
                <w:rFonts w:asciiTheme="majorBidi" w:hAnsiTheme="majorBidi" w:cstheme="majorBidi"/>
                <w:b/>
                <w:bCs/>
                <w:sz w:val="24"/>
                <w:szCs w:val="24"/>
              </w:rPr>
              <w:t>c</w:t>
            </w:r>
          </w:p>
          <w:p w14:paraId="611CC960" w14:textId="77777777" w:rsidR="003E3FB4" w:rsidRDefault="00385ED0">
            <w:pPr>
              <w:tabs>
                <w:tab w:val="left" w:pos="3656"/>
              </w:tabs>
              <w:spacing w:after="0" w:line="240" w:lineRule="auto"/>
              <w:jc w:val="center"/>
              <w:rPr>
                <w:rFonts w:asciiTheme="majorBidi" w:hAnsiTheme="majorBidi" w:cstheme="majorBidi"/>
                <w:b/>
                <w:bCs/>
                <w:sz w:val="24"/>
                <w:szCs w:val="24"/>
              </w:rPr>
            </w:pPr>
            <w:r>
              <w:rPr>
                <w:rFonts w:asciiTheme="majorBidi" w:hAnsiTheme="majorBidi" w:cstheme="majorBidi"/>
                <w:b/>
                <w:bCs/>
                <w:sz w:val="24"/>
                <w:szCs w:val="24"/>
              </w:rPr>
              <w:t>-</w:t>
            </w:r>
          </w:p>
        </w:tc>
        <w:tc>
          <w:tcPr>
            <w:tcW w:w="1497" w:type="dxa"/>
          </w:tcPr>
          <w:p w14:paraId="286661C9" w14:textId="77777777" w:rsidR="003E3FB4" w:rsidRDefault="00385ED0">
            <w:pPr>
              <w:tabs>
                <w:tab w:val="left" w:pos="3656"/>
              </w:tabs>
              <w:spacing w:after="0" w:line="240" w:lineRule="auto"/>
              <w:jc w:val="center"/>
              <w:rPr>
                <w:rFonts w:asciiTheme="majorBidi" w:hAnsiTheme="majorBidi" w:cstheme="majorBidi"/>
                <w:b/>
                <w:bCs/>
                <w:sz w:val="24"/>
                <w:szCs w:val="24"/>
              </w:rPr>
            </w:pPr>
            <w:r>
              <w:rPr>
                <w:rFonts w:asciiTheme="majorBidi" w:hAnsiTheme="majorBidi" w:cstheme="majorBidi"/>
                <w:sz w:val="24"/>
                <w:szCs w:val="24"/>
              </w:rPr>
              <w:t xml:space="preserve">23mm±0.12 </w:t>
            </w:r>
            <w:r>
              <w:rPr>
                <w:rFonts w:asciiTheme="majorBidi" w:hAnsiTheme="majorBidi" w:cstheme="majorBidi"/>
                <w:b/>
                <w:bCs/>
                <w:sz w:val="24"/>
                <w:szCs w:val="24"/>
              </w:rPr>
              <w:t>a</w:t>
            </w:r>
          </w:p>
          <w:p w14:paraId="7AC223CC" w14:textId="77777777" w:rsidR="003E3FB4" w:rsidRDefault="00385ED0">
            <w:pPr>
              <w:tabs>
                <w:tab w:val="left" w:pos="3656"/>
              </w:tabs>
              <w:spacing w:after="0" w:line="240" w:lineRule="auto"/>
              <w:jc w:val="center"/>
              <w:rPr>
                <w:rFonts w:asciiTheme="majorBidi" w:hAnsiTheme="majorBidi" w:cstheme="majorBidi"/>
                <w:b/>
                <w:bCs/>
                <w:sz w:val="24"/>
                <w:szCs w:val="24"/>
              </w:rPr>
            </w:pPr>
            <w:r>
              <w:rPr>
                <w:rFonts w:asciiTheme="majorBidi" w:hAnsiTheme="majorBidi" w:cstheme="majorBidi"/>
                <w:b/>
                <w:bCs/>
                <w:sz w:val="24"/>
                <w:szCs w:val="24"/>
              </w:rPr>
              <w:t>+++</w:t>
            </w:r>
          </w:p>
        </w:tc>
      </w:tr>
      <w:tr w:rsidR="003E3FB4" w14:paraId="2044B1FB" w14:textId="77777777">
        <w:tc>
          <w:tcPr>
            <w:tcW w:w="993" w:type="dxa"/>
            <w:vMerge/>
          </w:tcPr>
          <w:p w14:paraId="44EE9309" w14:textId="77777777" w:rsidR="003E3FB4" w:rsidRDefault="003E3FB4">
            <w:pPr>
              <w:tabs>
                <w:tab w:val="left" w:pos="3656"/>
              </w:tabs>
              <w:spacing w:after="0" w:line="360" w:lineRule="auto"/>
              <w:jc w:val="both"/>
              <w:rPr>
                <w:rFonts w:asciiTheme="majorBidi" w:hAnsiTheme="majorBidi" w:cstheme="majorBidi"/>
                <w:b/>
                <w:bCs/>
                <w:sz w:val="24"/>
                <w:szCs w:val="24"/>
              </w:rPr>
            </w:pPr>
          </w:p>
        </w:tc>
        <w:tc>
          <w:tcPr>
            <w:tcW w:w="1843" w:type="dxa"/>
          </w:tcPr>
          <w:p w14:paraId="0F8B87E7" w14:textId="77777777" w:rsidR="003E3FB4" w:rsidRDefault="00385ED0">
            <w:pPr>
              <w:tabs>
                <w:tab w:val="left" w:pos="3656"/>
              </w:tabs>
              <w:spacing w:after="0" w:line="240" w:lineRule="auto"/>
              <w:jc w:val="center"/>
              <w:rPr>
                <w:rFonts w:asciiTheme="majorBidi" w:hAnsiTheme="majorBidi" w:cstheme="majorBidi"/>
                <w:i/>
                <w:iCs/>
                <w:sz w:val="24"/>
                <w:szCs w:val="24"/>
              </w:rPr>
            </w:pPr>
            <w:r>
              <w:rPr>
                <w:rFonts w:asciiTheme="majorBidi" w:hAnsiTheme="majorBidi" w:cstheme="majorBidi"/>
                <w:i/>
                <w:iCs/>
                <w:sz w:val="24"/>
                <w:szCs w:val="24"/>
              </w:rPr>
              <w:t>Pseudomonas aeruginosa</w:t>
            </w:r>
          </w:p>
          <w:p w14:paraId="76E97544" w14:textId="77777777" w:rsidR="003E3FB4" w:rsidRDefault="00385ED0">
            <w:pPr>
              <w:tabs>
                <w:tab w:val="left" w:pos="3656"/>
              </w:tabs>
              <w:spacing w:after="0" w:line="240" w:lineRule="auto"/>
              <w:jc w:val="center"/>
              <w:rPr>
                <w:rFonts w:asciiTheme="majorBidi" w:hAnsiTheme="majorBidi" w:cstheme="majorBidi"/>
                <w:sz w:val="24"/>
                <w:szCs w:val="24"/>
              </w:rPr>
            </w:pPr>
            <w:r>
              <w:rPr>
                <w:rFonts w:asciiTheme="majorBidi" w:hAnsiTheme="majorBidi" w:cstheme="majorBidi"/>
                <w:sz w:val="24"/>
                <w:szCs w:val="24"/>
              </w:rPr>
              <w:t>ATCC 9027</w:t>
            </w:r>
          </w:p>
        </w:tc>
        <w:tc>
          <w:tcPr>
            <w:tcW w:w="1701" w:type="dxa"/>
          </w:tcPr>
          <w:p w14:paraId="7544B56D" w14:textId="77777777" w:rsidR="003E3FB4" w:rsidRDefault="00385ED0">
            <w:pPr>
              <w:tabs>
                <w:tab w:val="left" w:pos="3656"/>
              </w:tabs>
              <w:spacing w:after="0" w:line="240" w:lineRule="auto"/>
              <w:jc w:val="center"/>
              <w:rPr>
                <w:rFonts w:asciiTheme="majorBidi" w:hAnsiTheme="majorBidi" w:cstheme="majorBidi"/>
                <w:sz w:val="24"/>
                <w:szCs w:val="24"/>
              </w:rPr>
            </w:pPr>
            <w:r>
              <w:rPr>
                <w:rFonts w:asciiTheme="majorBidi" w:hAnsiTheme="majorBidi" w:cstheme="majorBidi"/>
                <w:sz w:val="24"/>
                <w:szCs w:val="24"/>
              </w:rPr>
              <w:t>0 c</w:t>
            </w:r>
          </w:p>
          <w:p w14:paraId="67F0FD06" w14:textId="77777777" w:rsidR="003E3FB4" w:rsidRDefault="00385ED0">
            <w:pPr>
              <w:tabs>
                <w:tab w:val="left" w:pos="3656"/>
              </w:tabs>
              <w:spacing w:after="0" w:line="240" w:lineRule="auto"/>
              <w:jc w:val="center"/>
              <w:rPr>
                <w:rFonts w:asciiTheme="majorBidi" w:hAnsiTheme="majorBidi" w:cstheme="majorBidi"/>
                <w:sz w:val="24"/>
                <w:szCs w:val="24"/>
              </w:rPr>
            </w:pPr>
            <w:r>
              <w:rPr>
                <w:rFonts w:asciiTheme="majorBidi" w:hAnsiTheme="majorBidi" w:cstheme="majorBidi"/>
                <w:sz w:val="24"/>
                <w:szCs w:val="24"/>
              </w:rPr>
              <w:t>-</w:t>
            </w:r>
          </w:p>
        </w:tc>
        <w:tc>
          <w:tcPr>
            <w:tcW w:w="1700" w:type="dxa"/>
          </w:tcPr>
          <w:p w14:paraId="2327B4B6" w14:textId="77777777" w:rsidR="003E3FB4" w:rsidRDefault="00385ED0">
            <w:pPr>
              <w:tabs>
                <w:tab w:val="left" w:pos="3656"/>
              </w:tabs>
              <w:spacing w:after="0" w:line="240" w:lineRule="auto"/>
              <w:jc w:val="center"/>
              <w:rPr>
                <w:rFonts w:asciiTheme="majorBidi" w:hAnsiTheme="majorBidi" w:cstheme="majorBidi"/>
                <w:sz w:val="24"/>
                <w:szCs w:val="24"/>
              </w:rPr>
            </w:pPr>
            <w:r>
              <w:rPr>
                <w:rFonts w:asciiTheme="majorBidi" w:hAnsiTheme="majorBidi" w:cstheme="majorBidi"/>
                <w:sz w:val="24"/>
                <w:szCs w:val="24"/>
              </w:rPr>
              <w:t>0 c</w:t>
            </w:r>
          </w:p>
          <w:p w14:paraId="454C6250" w14:textId="77777777" w:rsidR="003E3FB4" w:rsidRDefault="00385ED0">
            <w:pPr>
              <w:tabs>
                <w:tab w:val="left" w:pos="3656"/>
              </w:tabs>
              <w:spacing w:after="0" w:line="240" w:lineRule="auto"/>
              <w:jc w:val="center"/>
              <w:rPr>
                <w:rFonts w:asciiTheme="majorBidi" w:hAnsiTheme="majorBidi" w:cstheme="majorBidi"/>
                <w:b/>
                <w:bCs/>
                <w:sz w:val="24"/>
                <w:szCs w:val="24"/>
              </w:rPr>
            </w:pPr>
            <w:r>
              <w:rPr>
                <w:rFonts w:asciiTheme="majorBidi" w:hAnsiTheme="majorBidi" w:cstheme="majorBidi"/>
                <w:sz w:val="24"/>
                <w:szCs w:val="24"/>
              </w:rPr>
              <w:t>-</w:t>
            </w:r>
          </w:p>
        </w:tc>
        <w:tc>
          <w:tcPr>
            <w:tcW w:w="1263" w:type="dxa"/>
          </w:tcPr>
          <w:p w14:paraId="1E6479BF" w14:textId="77777777" w:rsidR="003E3FB4" w:rsidRDefault="00385ED0">
            <w:pPr>
              <w:tabs>
                <w:tab w:val="left" w:pos="3656"/>
              </w:tabs>
              <w:spacing w:after="0" w:line="240" w:lineRule="auto"/>
              <w:jc w:val="center"/>
              <w:rPr>
                <w:rFonts w:asciiTheme="majorBidi" w:hAnsiTheme="majorBidi" w:cstheme="majorBidi"/>
                <w:b/>
                <w:bCs/>
                <w:sz w:val="24"/>
                <w:szCs w:val="24"/>
              </w:rPr>
            </w:pPr>
            <w:r>
              <w:rPr>
                <w:rFonts w:asciiTheme="majorBidi" w:hAnsiTheme="majorBidi" w:cstheme="majorBidi"/>
                <w:sz w:val="24"/>
                <w:szCs w:val="24"/>
              </w:rPr>
              <w:t xml:space="preserve">0 </w:t>
            </w:r>
            <w:r>
              <w:rPr>
                <w:rFonts w:asciiTheme="majorBidi" w:hAnsiTheme="majorBidi" w:cstheme="majorBidi"/>
                <w:b/>
                <w:bCs/>
                <w:sz w:val="24"/>
                <w:szCs w:val="24"/>
              </w:rPr>
              <w:t>c</w:t>
            </w:r>
          </w:p>
          <w:p w14:paraId="0F9F5055" w14:textId="77777777" w:rsidR="003E3FB4" w:rsidRDefault="00385ED0">
            <w:pPr>
              <w:tabs>
                <w:tab w:val="left" w:pos="3656"/>
              </w:tabs>
              <w:spacing w:after="0" w:line="240" w:lineRule="auto"/>
              <w:jc w:val="center"/>
              <w:rPr>
                <w:rFonts w:asciiTheme="majorBidi" w:hAnsiTheme="majorBidi" w:cstheme="majorBidi"/>
                <w:b/>
                <w:bCs/>
                <w:sz w:val="24"/>
                <w:szCs w:val="24"/>
              </w:rPr>
            </w:pPr>
            <w:r>
              <w:rPr>
                <w:rFonts w:asciiTheme="majorBidi" w:hAnsiTheme="majorBidi" w:cstheme="majorBidi"/>
                <w:b/>
                <w:bCs/>
                <w:sz w:val="24"/>
                <w:szCs w:val="24"/>
              </w:rPr>
              <w:t>-</w:t>
            </w:r>
          </w:p>
        </w:tc>
        <w:tc>
          <w:tcPr>
            <w:tcW w:w="1497" w:type="dxa"/>
          </w:tcPr>
          <w:p w14:paraId="6DD98C57" w14:textId="77777777" w:rsidR="003E3FB4" w:rsidRDefault="00385ED0">
            <w:pPr>
              <w:tabs>
                <w:tab w:val="left" w:pos="3656"/>
              </w:tabs>
              <w:spacing w:after="0" w:line="240" w:lineRule="auto"/>
              <w:jc w:val="center"/>
              <w:rPr>
                <w:rFonts w:asciiTheme="majorBidi" w:hAnsiTheme="majorBidi" w:cstheme="majorBidi"/>
                <w:b/>
                <w:bCs/>
                <w:sz w:val="24"/>
                <w:szCs w:val="24"/>
              </w:rPr>
            </w:pPr>
            <w:r>
              <w:rPr>
                <w:rFonts w:asciiTheme="majorBidi" w:hAnsiTheme="majorBidi" w:cstheme="majorBidi"/>
                <w:sz w:val="24"/>
                <w:szCs w:val="24"/>
              </w:rPr>
              <w:t xml:space="preserve">28mm±0.2 </w:t>
            </w:r>
            <w:r>
              <w:rPr>
                <w:rFonts w:asciiTheme="majorBidi" w:hAnsiTheme="majorBidi" w:cstheme="majorBidi"/>
                <w:b/>
                <w:bCs/>
                <w:sz w:val="24"/>
                <w:szCs w:val="24"/>
              </w:rPr>
              <w:t>a</w:t>
            </w:r>
          </w:p>
          <w:p w14:paraId="4DE9E00A" w14:textId="77777777" w:rsidR="003E3FB4" w:rsidRDefault="00385ED0">
            <w:pPr>
              <w:tabs>
                <w:tab w:val="left" w:pos="3656"/>
              </w:tabs>
              <w:spacing w:after="0" w:line="240" w:lineRule="auto"/>
              <w:jc w:val="center"/>
              <w:rPr>
                <w:rFonts w:asciiTheme="majorBidi" w:hAnsiTheme="majorBidi" w:cstheme="majorBidi"/>
                <w:b/>
                <w:bCs/>
                <w:sz w:val="24"/>
                <w:szCs w:val="24"/>
              </w:rPr>
            </w:pPr>
            <w:r>
              <w:rPr>
                <w:rFonts w:asciiTheme="majorBidi" w:hAnsiTheme="majorBidi" w:cstheme="majorBidi"/>
                <w:b/>
                <w:bCs/>
                <w:sz w:val="24"/>
                <w:szCs w:val="24"/>
              </w:rPr>
              <w:t>+++</w:t>
            </w:r>
          </w:p>
        </w:tc>
      </w:tr>
      <w:tr w:rsidR="003E3FB4" w14:paraId="157016FF" w14:textId="77777777">
        <w:trPr>
          <w:trHeight w:val="555"/>
        </w:trPr>
        <w:tc>
          <w:tcPr>
            <w:tcW w:w="993" w:type="dxa"/>
            <w:vMerge/>
          </w:tcPr>
          <w:p w14:paraId="066CB591" w14:textId="77777777" w:rsidR="003E3FB4" w:rsidRDefault="003E3FB4">
            <w:pPr>
              <w:tabs>
                <w:tab w:val="left" w:pos="3656"/>
              </w:tabs>
              <w:spacing w:after="0" w:line="360" w:lineRule="auto"/>
              <w:jc w:val="both"/>
              <w:rPr>
                <w:rFonts w:asciiTheme="majorBidi" w:hAnsiTheme="majorBidi" w:cstheme="majorBidi"/>
                <w:b/>
                <w:bCs/>
                <w:sz w:val="24"/>
                <w:szCs w:val="24"/>
              </w:rPr>
            </w:pPr>
          </w:p>
        </w:tc>
        <w:tc>
          <w:tcPr>
            <w:tcW w:w="1843" w:type="dxa"/>
          </w:tcPr>
          <w:p w14:paraId="137E24D1" w14:textId="77777777" w:rsidR="003E3FB4" w:rsidRDefault="00385ED0">
            <w:pPr>
              <w:tabs>
                <w:tab w:val="left" w:pos="3656"/>
              </w:tabs>
              <w:spacing w:after="0" w:line="240" w:lineRule="auto"/>
              <w:jc w:val="center"/>
              <w:rPr>
                <w:rFonts w:asciiTheme="majorBidi" w:hAnsiTheme="majorBidi" w:cstheme="majorBidi"/>
                <w:i/>
                <w:iCs/>
                <w:sz w:val="24"/>
                <w:szCs w:val="24"/>
                <w:lang w:val="en-US"/>
              </w:rPr>
            </w:pPr>
            <w:r>
              <w:rPr>
                <w:rFonts w:asciiTheme="majorBidi" w:hAnsiTheme="majorBidi" w:cstheme="majorBidi"/>
                <w:i/>
                <w:iCs/>
                <w:sz w:val="24"/>
                <w:szCs w:val="24"/>
                <w:lang w:val="en-US"/>
              </w:rPr>
              <w:t>Salmonella typhimurium</w:t>
            </w:r>
          </w:p>
          <w:p w14:paraId="69570EAF" w14:textId="77777777" w:rsidR="003E3FB4" w:rsidRDefault="003E3FB4">
            <w:pPr>
              <w:tabs>
                <w:tab w:val="left" w:pos="3656"/>
              </w:tabs>
              <w:spacing w:after="0" w:line="240" w:lineRule="auto"/>
              <w:rPr>
                <w:rFonts w:asciiTheme="majorBidi" w:hAnsiTheme="majorBidi" w:cstheme="majorBidi"/>
                <w:sz w:val="24"/>
                <w:szCs w:val="24"/>
                <w:lang w:val="en-US"/>
              </w:rPr>
            </w:pPr>
          </w:p>
        </w:tc>
        <w:tc>
          <w:tcPr>
            <w:tcW w:w="1701" w:type="dxa"/>
          </w:tcPr>
          <w:p w14:paraId="4BDB4895" w14:textId="77777777" w:rsidR="003E3FB4" w:rsidRDefault="00385ED0">
            <w:pPr>
              <w:tabs>
                <w:tab w:val="left" w:pos="3656"/>
              </w:tabs>
              <w:spacing w:after="0" w:line="240" w:lineRule="auto"/>
              <w:rPr>
                <w:rFonts w:asciiTheme="majorBidi" w:hAnsiTheme="majorBidi" w:cstheme="majorBidi"/>
                <w:sz w:val="24"/>
                <w:szCs w:val="24"/>
              </w:rPr>
            </w:pPr>
            <w:r>
              <w:rPr>
                <w:rFonts w:asciiTheme="majorBidi" w:hAnsiTheme="majorBidi" w:cstheme="majorBidi"/>
                <w:sz w:val="24"/>
                <w:szCs w:val="24"/>
              </w:rPr>
              <w:t xml:space="preserve">            0 c</w:t>
            </w:r>
          </w:p>
          <w:p w14:paraId="367C6362" w14:textId="77777777" w:rsidR="003E3FB4" w:rsidRDefault="00385ED0">
            <w:pPr>
              <w:tabs>
                <w:tab w:val="left" w:pos="3656"/>
              </w:tabs>
              <w:spacing w:after="0" w:line="240" w:lineRule="auto"/>
              <w:jc w:val="center"/>
              <w:rPr>
                <w:rFonts w:asciiTheme="majorBidi" w:hAnsiTheme="majorBidi" w:cstheme="majorBidi"/>
                <w:b/>
                <w:bCs/>
                <w:sz w:val="24"/>
                <w:szCs w:val="24"/>
              </w:rPr>
            </w:pPr>
            <w:r>
              <w:rPr>
                <w:rFonts w:asciiTheme="majorBidi" w:hAnsiTheme="majorBidi" w:cstheme="majorBidi"/>
                <w:sz w:val="24"/>
                <w:szCs w:val="24"/>
              </w:rPr>
              <w:t>-</w:t>
            </w:r>
          </w:p>
        </w:tc>
        <w:tc>
          <w:tcPr>
            <w:tcW w:w="1700" w:type="dxa"/>
          </w:tcPr>
          <w:p w14:paraId="5CFD659D" w14:textId="77777777" w:rsidR="003E3FB4" w:rsidRDefault="00385ED0">
            <w:pPr>
              <w:tabs>
                <w:tab w:val="left" w:pos="3656"/>
              </w:tabs>
              <w:spacing w:after="0" w:line="240" w:lineRule="auto"/>
              <w:jc w:val="center"/>
              <w:rPr>
                <w:rFonts w:asciiTheme="majorBidi" w:hAnsiTheme="majorBidi" w:cstheme="majorBidi"/>
                <w:sz w:val="24"/>
                <w:szCs w:val="24"/>
              </w:rPr>
            </w:pPr>
            <w:r>
              <w:rPr>
                <w:rFonts w:asciiTheme="majorBidi" w:hAnsiTheme="majorBidi" w:cstheme="majorBidi"/>
                <w:sz w:val="24"/>
                <w:szCs w:val="24"/>
              </w:rPr>
              <w:t>0 c</w:t>
            </w:r>
          </w:p>
          <w:p w14:paraId="00302F07" w14:textId="77777777" w:rsidR="003E3FB4" w:rsidRDefault="00385ED0">
            <w:pPr>
              <w:tabs>
                <w:tab w:val="left" w:pos="3656"/>
              </w:tabs>
              <w:spacing w:after="0" w:line="240" w:lineRule="auto"/>
              <w:jc w:val="center"/>
              <w:rPr>
                <w:rFonts w:asciiTheme="majorBidi" w:hAnsiTheme="majorBidi" w:cstheme="majorBidi"/>
                <w:b/>
                <w:bCs/>
                <w:sz w:val="24"/>
                <w:szCs w:val="24"/>
              </w:rPr>
            </w:pPr>
            <w:r>
              <w:rPr>
                <w:rFonts w:asciiTheme="majorBidi" w:hAnsiTheme="majorBidi" w:cstheme="majorBidi"/>
                <w:sz w:val="24"/>
                <w:szCs w:val="24"/>
              </w:rPr>
              <w:t>-</w:t>
            </w:r>
          </w:p>
        </w:tc>
        <w:tc>
          <w:tcPr>
            <w:tcW w:w="1263" w:type="dxa"/>
          </w:tcPr>
          <w:p w14:paraId="5388BDBD" w14:textId="77777777" w:rsidR="003E3FB4" w:rsidRDefault="00385ED0">
            <w:pPr>
              <w:tabs>
                <w:tab w:val="left" w:pos="3656"/>
              </w:tabs>
              <w:spacing w:after="0" w:line="240" w:lineRule="auto"/>
              <w:jc w:val="center"/>
              <w:rPr>
                <w:rFonts w:asciiTheme="majorBidi" w:hAnsiTheme="majorBidi" w:cstheme="majorBidi"/>
                <w:b/>
                <w:bCs/>
                <w:sz w:val="24"/>
                <w:szCs w:val="24"/>
              </w:rPr>
            </w:pPr>
            <w:r>
              <w:rPr>
                <w:rFonts w:asciiTheme="majorBidi" w:hAnsiTheme="majorBidi" w:cstheme="majorBidi"/>
                <w:sz w:val="24"/>
                <w:szCs w:val="24"/>
              </w:rPr>
              <w:t xml:space="preserve">0 </w:t>
            </w:r>
            <w:r>
              <w:rPr>
                <w:rFonts w:asciiTheme="majorBidi" w:hAnsiTheme="majorBidi" w:cstheme="majorBidi"/>
                <w:b/>
                <w:bCs/>
                <w:sz w:val="24"/>
                <w:szCs w:val="24"/>
              </w:rPr>
              <w:t>c</w:t>
            </w:r>
          </w:p>
          <w:p w14:paraId="3FE3DD38" w14:textId="77777777" w:rsidR="003E3FB4" w:rsidRDefault="00385ED0">
            <w:pPr>
              <w:tabs>
                <w:tab w:val="left" w:pos="3656"/>
              </w:tabs>
              <w:spacing w:after="0" w:line="240" w:lineRule="auto"/>
              <w:jc w:val="center"/>
              <w:rPr>
                <w:rFonts w:asciiTheme="majorBidi" w:hAnsiTheme="majorBidi" w:cstheme="majorBidi"/>
                <w:b/>
                <w:bCs/>
                <w:sz w:val="24"/>
                <w:szCs w:val="24"/>
              </w:rPr>
            </w:pPr>
            <w:r>
              <w:rPr>
                <w:rFonts w:asciiTheme="majorBidi" w:hAnsiTheme="majorBidi" w:cstheme="majorBidi"/>
                <w:b/>
                <w:bCs/>
                <w:sz w:val="24"/>
                <w:szCs w:val="24"/>
              </w:rPr>
              <w:t>-</w:t>
            </w:r>
          </w:p>
        </w:tc>
        <w:tc>
          <w:tcPr>
            <w:tcW w:w="1497" w:type="dxa"/>
          </w:tcPr>
          <w:p w14:paraId="23AA823D" w14:textId="77777777" w:rsidR="003E3FB4" w:rsidRDefault="00385ED0">
            <w:pPr>
              <w:tabs>
                <w:tab w:val="left" w:pos="3656"/>
              </w:tabs>
              <w:spacing w:after="0" w:line="240" w:lineRule="auto"/>
              <w:jc w:val="center"/>
              <w:rPr>
                <w:rFonts w:asciiTheme="majorBidi" w:hAnsiTheme="majorBidi" w:cstheme="majorBidi"/>
                <w:b/>
                <w:bCs/>
                <w:sz w:val="24"/>
                <w:szCs w:val="24"/>
              </w:rPr>
            </w:pPr>
            <w:r>
              <w:rPr>
                <w:rFonts w:asciiTheme="majorBidi" w:hAnsiTheme="majorBidi" w:cstheme="majorBidi"/>
                <w:sz w:val="24"/>
                <w:szCs w:val="24"/>
              </w:rPr>
              <w:t xml:space="preserve">24mm±0.1 </w:t>
            </w:r>
            <w:r>
              <w:rPr>
                <w:rFonts w:asciiTheme="majorBidi" w:hAnsiTheme="majorBidi" w:cstheme="majorBidi"/>
                <w:b/>
                <w:bCs/>
                <w:sz w:val="24"/>
                <w:szCs w:val="24"/>
              </w:rPr>
              <w:t>a</w:t>
            </w:r>
          </w:p>
          <w:p w14:paraId="5F533048" w14:textId="77777777" w:rsidR="003E3FB4" w:rsidRDefault="00385ED0">
            <w:pPr>
              <w:tabs>
                <w:tab w:val="left" w:pos="3656"/>
              </w:tabs>
              <w:spacing w:after="0" w:line="240" w:lineRule="auto"/>
              <w:jc w:val="center"/>
              <w:rPr>
                <w:rFonts w:asciiTheme="majorBidi" w:hAnsiTheme="majorBidi" w:cstheme="majorBidi"/>
                <w:b/>
                <w:bCs/>
                <w:sz w:val="24"/>
                <w:szCs w:val="24"/>
              </w:rPr>
            </w:pPr>
            <w:r>
              <w:rPr>
                <w:rFonts w:asciiTheme="majorBidi" w:hAnsiTheme="majorBidi" w:cstheme="majorBidi"/>
                <w:b/>
                <w:bCs/>
                <w:sz w:val="24"/>
                <w:szCs w:val="24"/>
              </w:rPr>
              <w:t>+++</w:t>
            </w:r>
          </w:p>
        </w:tc>
      </w:tr>
    </w:tbl>
    <w:p w14:paraId="082EEA24" w14:textId="77777777" w:rsidR="003E3FB4" w:rsidRDefault="00385ED0">
      <w:pPr>
        <w:tabs>
          <w:tab w:val="left" w:pos="3309"/>
        </w:tabs>
        <w:spacing w:line="360" w:lineRule="auto"/>
        <w:jc w:val="center"/>
        <w:rPr>
          <w:rFonts w:asciiTheme="majorBidi" w:hAnsiTheme="majorBidi" w:cstheme="majorBidi"/>
          <w:sz w:val="24"/>
          <w:szCs w:val="24"/>
        </w:rPr>
      </w:pPr>
      <w:r>
        <w:rPr>
          <w:rFonts w:asciiTheme="majorBidi" w:hAnsiTheme="majorBidi" w:cstheme="majorBidi"/>
          <w:sz w:val="24"/>
          <w:szCs w:val="24"/>
        </w:rPr>
        <w:t>+++ : germe extrêmement sensible ; ++ : germe très sensible ; + : germe sensible ; - : germe non sensible</w:t>
      </w:r>
    </w:p>
    <w:p w14:paraId="0AD90EB8" w14:textId="77777777" w:rsidR="003E3FB4" w:rsidRDefault="00385ED0">
      <w:pPr>
        <w:tabs>
          <w:tab w:val="left" w:pos="199"/>
          <w:tab w:val="left" w:pos="3309"/>
        </w:tabs>
        <w:spacing w:line="360" w:lineRule="auto"/>
        <w:ind w:firstLine="567"/>
        <w:jc w:val="lowKashida"/>
        <w:rPr>
          <w:rFonts w:asciiTheme="majorBidi" w:hAnsiTheme="majorBidi" w:cstheme="majorBidi"/>
          <w:sz w:val="24"/>
          <w:szCs w:val="24"/>
        </w:rPr>
      </w:pPr>
      <w:r>
        <w:rPr>
          <w:rFonts w:asciiTheme="majorBidi" w:hAnsiTheme="majorBidi" w:cstheme="majorBidi"/>
          <w:sz w:val="24"/>
          <w:szCs w:val="24"/>
        </w:rPr>
        <w:lastRenderedPageBreak/>
        <w:t>Les résultats de l’analyse de variance ont montré une différence très hautement significative entre l’extrait des graines de fenugrec, le DMSO et les différents antibiotiques utilisés (p=0.0008 p&lt;0,05).</w:t>
      </w:r>
    </w:p>
    <w:p w14:paraId="44165FB1" w14:textId="77777777" w:rsidR="003E3FB4" w:rsidRDefault="00385ED0">
      <w:pPr>
        <w:tabs>
          <w:tab w:val="left" w:pos="199"/>
          <w:tab w:val="left" w:pos="3309"/>
        </w:tabs>
        <w:spacing w:line="360" w:lineRule="auto"/>
        <w:ind w:firstLine="567"/>
        <w:jc w:val="lowKashida"/>
        <w:rPr>
          <w:rFonts w:asciiTheme="majorBidi" w:hAnsiTheme="majorBidi" w:cstheme="majorBidi"/>
          <w:sz w:val="24"/>
          <w:szCs w:val="24"/>
        </w:rPr>
      </w:pPr>
      <w:r>
        <w:rPr>
          <w:rFonts w:asciiTheme="majorBidi" w:hAnsiTheme="majorBidi" w:cstheme="majorBidi"/>
          <w:sz w:val="24"/>
          <w:szCs w:val="24"/>
        </w:rPr>
        <w:t xml:space="preserve">L’extrait éthanolique des graines de fenugrec, testé sur les souches </w:t>
      </w:r>
      <w:r>
        <w:rPr>
          <w:rFonts w:asciiTheme="majorBidi" w:hAnsiTheme="majorBidi" w:cstheme="majorBidi"/>
          <w:i/>
          <w:iCs/>
          <w:sz w:val="24"/>
          <w:szCs w:val="24"/>
        </w:rPr>
        <w:t>Bacillus subtilis, Staphylococcus aureus</w:t>
      </w:r>
      <w:r>
        <w:rPr>
          <w:rFonts w:asciiTheme="majorBidi" w:hAnsiTheme="majorBidi" w:cstheme="majorBidi"/>
          <w:sz w:val="24"/>
          <w:szCs w:val="24"/>
        </w:rPr>
        <w:t xml:space="preserve"> et </w:t>
      </w:r>
      <w:r>
        <w:rPr>
          <w:rFonts w:asciiTheme="majorBidi" w:hAnsiTheme="majorBidi" w:cstheme="majorBidi"/>
          <w:i/>
          <w:iCs/>
          <w:sz w:val="24"/>
          <w:szCs w:val="24"/>
        </w:rPr>
        <w:t>Escherichia coli</w:t>
      </w:r>
      <w:r>
        <w:rPr>
          <w:rFonts w:asciiTheme="majorBidi" w:hAnsiTheme="majorBidi" w:cstheme="majorBidi"/>
          <w:sz w:val="24"/>
          <w:szCs w:val="24"/>
        </w:rPr>
        <w:t xml:space="preserve">, </w:t>
      </w:r>
      <w:r>
        <w:rPr>
          <w:rFonts w:asciiTheme="majorBidi" w:hAnsiTheme="majorBidi" w:cstheme="majorBidi"/>
          <w:i/>
          <w:iCs/>
          <w:sz w:val="24"/>
          <w:szCs w:val="24"/>
        </w:rPr>
        <w:t>Pseudomonas aeruginosa</w:t>
      </w:r>
      <w:r>
        <w:rPr>
          <w:rFonts w:asciiTheme="majorBidi" w:hAnsiTheme="majorBidi" w:cstheme="majorBidi"/>
          <w:sz w:val="24"/>
          <w:szCs w:val="24"/>
        </w:rPr>
        <w:t xml:space="preserve"> et </w:t>
      </w:r>
      <w:r>
        <w:rPr>
          <w:rFonts w:asciiTheme="majorBidi" w:hAnsiTheme="majorBidi" w:cstheme="majorBidi"/>
          <w:i/>
          <w:iCs/>
          <w:sz w:val="24"/>
          <w:szCs w:val="24"/>
        </w:rPr>
        <w:t>Salmonella typhimurium</w:t>
      </w:r>
      <w:r>
        <w:rPr>
          <w:rFonts w:asciiTheme="majorBidi" w:hAnsiTheme="majorBidi" w:cstheme="majorBidi"/>
          <w:sz w:val="24"/>
          <w:szCs w:val="24"/>
        </w:rPr>
        <w:t xml:space="preserve"> n’a montré aucune activité antibactérienne, avec une zone d’inhibition nulle, contrairement aux antibiotiques standards qui présentent des diamètres d’inhibition de 48 mm, 45 mm, 23 mm, 28mm et 24mm respectivement (Figure III.8).</w:t>
      </w:r>
    </w:p>
    <w:p w14:paraId="2961E1A5" w14:textId="77777777" w:rsidR="003E3FB4" w:rsidRDefault="00385ED0">
      <w:pPr>
        <w:tabs>
          <w:tab w:val="left" w:pos="199"/>
          <w:tab w:val="left" w:pos="3309"/>
        </w:tabs>
        <w:spacing w:line="360" w:lineRule="auto"/>
        <w:jc w:val="lowKashida"/>
        <w:rPr>
          <w:rFonts w:asciiTheme="majorBidi" w:hAnsiTheme="majorBidi" w:cstheme="majorBidi"/>
          <w:sz w:val="24"/>
          <w:szCs w:val="24"/>
        </w:rPr>
      </w:pPr>
      <w:r>
        <w:rPr>
          <w:rFonts w:asciiTheme="majorBidi" w:hAnsiTheme="majorBidi" w:cstheme="majorBidi"/>
          <w:sz w:val="24"/>
          <w:szCs w:val="24"/>
        </w:rPr>
        <w:t xml:space="preserve">          En revanche, une activité modérée a été observée contre </w:t>
      </w:r>
      <w:r>
        <w:rPr>
          <w:rFonts w:asciiTheme="majorBidi" w:hAnsiTheme="majorBidi" w:cstheme="majorBidi"/>
          <w:i/>
          <w:iCs/>
          <w:sz w:val="24"/>
          <w:szCs w:val="24"/>
        </w:rPr>
        <w:t xml:space="preserve">Staphylococcus epidermidis </w:t>
      </w:r>
      <w:r>
        <w:rPr>
          <w:rFonts w:asciiTheme="majorBidi" w:hAnsiTheme="majorBidi" w:cstheme="majorBidi"/>
          <w:sz w:val="24"/>
          <w:szCs w:val="24"/>
        </w:rPr>
        <w:t>avec des zones d’inhibition de 11 mm Ces résultats restent faibles comparativement aux antibiotiques de référence, dont les diamètres d’inhibition enregistrés sont de 47 mm</w:t>
      </w:r>
    </w:p>
    <w:p w14:paraId="2B1A3057" w14:textId="77777777" w:rsidR="003E3FB4" w:rsidRDefault="00385ED0">
      <w:pPr>
        <w:tabs>
          <w:tab w:val="left" w:pos="1845"/>
        </w:tabs>
        <w:spacing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Nous constatons que les bactéries </w:t>
      </w:r>
      <w:r>
        <w:rPr>
          <w:rFonts w:asciiTheme="majorBidi" w:hAnsiTheme="majorBidi" w:cstheme="majorBidi"/>
          <w:i/>
          <w:iCs/>
          <w:sz w:val="24"/>
          <w:szCs w:val="24"/>
        </w:rPr>
        <w:t xml:space="preserve">Bacillus subtilis </w:t>
      </w:r>
      <w:r>
        <w:rPr>
          <w:rFonts w:asciiTheme="majorBidi" w:hAnsiTheme="majorBidi" w:cstheme="majorBidi"/>
          <w:sz w:val="24"/>
          <w:szCs w:val="24"/>
        </w:rPr>
        <w:t>et</w:t>
      </w:r>
      <w:r>
        <w:rPr>
          <w:rFonts w:asciiTheme="majorBidi" w:hAnsiTheme="majorBidi" w:cstheme="majorBidi"/>
          <w:i/>
          <w:iCs/>
          <w:sz w:val="24"/>
          <w:szCs w:val="24"/>
        </w:rPr>
        <w:t xml:space="preserve"> Staphylococcus epidermidis</w:t>
      </w:r>
      <w:r>
        <w:rPr>
          <w:rFonts w:asciiTheme="majorBidi" w:hAnsiTheme="majorBidi" w:cstheme="majorBidi"/>
          <w:sz w:val="24"/>
          <w:szCs w:val="24"/>
        </w:rPr>
        <w:t xml:space="preserve"> sont sensibles à l’extrait aqueux des graines de fenugrec, avec des zones d’inhibition de 12 mm, 15mm, respectivement. Toutefois, les antibiotiques standards affichent une efficacité nettement supérieure, avec des zones d’inhibition respectives de 48 mm et 47 mm</w:t>
      </w:r>
    </w:p>
    <w:p w14:paraId="43408740" w14:textId="77777777" w:rsidR="003E3FB4" w:rsidRDefault="00385ED0" w:rsidP="00495C39">
      <w:pPr>
        <w:tabs>
          <w:tab w:val="left" w:pos="1845"/>
        </w:tabs>
        <w:spacing w:line="360" w:lineRule="auto"/>
        <w:ind w:firstLine="567"/>
        <w:rPr>
          <w:sz w:val="24"/>
          <w:szCs w:val="24"/>
        </w:rPr>
      </w:pPr>
      <w:r>
        <w:rPr>
          <w:noProof/>
          <w:sz w:val="24"/>
          <w:szCs w:val="24"/>
          <w14:ligatures w14:val="none"/>
        </w:rPr>
        <w:drawing>
          <wp:inline distT="0" distB="0" distL="0" distR="0" wp14:anchorId="7DBB13CD" wp14:editId="6F26EF7E">
            <wp:extent cx="4999924" cy="2809875"/>
            <wp:effectExtent l="0" t="0" r="0" b="0"/>
            <wp:docPr id="1877443237"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7443237" name="Image 1"/>
                    <pic:cNvPicPr>
                      <a:picLocks noChangeAspect="1"/>
                    </pic:cNvPicPr>
                  </pic:nvPicPr>
                  <pic:blipFill>
                    <a:blip r:embed="rId56"/>
                    <a:stretch>
                      <a:fillRect/>
                    </a:stretch>
                  </pic:blipFill>
                  <pic:spPr>
                    <a:xfrm>
                      <a:off x="0" y="0"/>
                      <a:ext cx="5080671" cy="2855254"/>
                    </a:xfrm>
                    <a:prstGeom prst="rect">
                      <a:avLst/>
                    </a:prstGeom>
                  </pic:spPr>
                </pic:pic>
              </a:graphicData>
            </a:graphic>
          </wp:inline>
        </w:drawing>
      </w:r>
    </w:p>
    <w:p w14:paraId="1D9167B6" w14:textId="77777777" w:rsidR="003E3FB4" w:rsidRDefault="00385ED0">
      <w:pPr>
        <w:tabs>
          <w:tab w:val="left" w:pos="3309"/>
        </w:tabs>
        <w:spacing w:after="0" w:line="240" w:lineRule="auto"/>
        <w:jc w:val="center"/>
        <w:rPr>
          <w:rFonts w:ascii="Times New Roman" w:hAnsi="Times New Roman" w:cs="Times New Roman"/>
          <w:sz w:val="24"/>
          <w:szCs w:val="24"/>
        </w:rPr>
      </w:pPr>
      <w:r>
        <w:rPr>
          <w:rFonts w:ascii="Times New Roman" w:hAnsi="Times New Roman" w:cs="Times New Roman"/>
          <w:b/>
          <w:sz w:val="24"/>
          <w:szCs w:val="24"/>
        </w:rPr>
        <w:t xml:space="preserve">Figure III.8. </w:t>
      </w:r>
      <w:r>
        <w:rPr>
          <w:rFonts w:ascii="Times New Roman" w:hAnsi="Times New Roman" w:cs="Times New Roman"/>
          <w:sz w:val="24"/>
          <w:szCs w:val="24"/>
        </w:rPr>
        <w:t xml:space="preserve"> Zones d’inhibition de </w:t>
      </w:r>
      <w:bookmarkStart w:id="37" w:name="_Hlk196245309"/>
      <w:r>
        <w:rPr>
          <w:rFonts w:ascii="Times New Roman" w:hAnsi="Times New Roman" w:cs="Times New Roman"/>
          <w:i/>
          <w:iCs/>
          <w:sz w:val="24"/>
          <w:szCs w:val="24"/>
        </w:rPr>
        <w:t xml:space="preserve">Trigonella foenum-graecum </w:t>
      </w:r>
      <w:bookmarkEnd w:id="37"/>
      <w:r>
        <w:rPr>
          <w:rFonts w:ascii="Times New Roman" w:hAnsi="Times New Roman" w:cs="Times New Roman"/>
          <w:sz w:val="24"/>
          <w:szCs w:val="24"/>
        </w:rPr>
        <w:t>L. sur les souches bactériennes testées</w:t>
      </w:r>
    </w:p>
    <w:p w14:paraId="530473AC" w14:textId="3483F18B" w:rsidR="003E3FB4" w:rsidRDefault="00385ED0" w:rsidP="006F4B07">
      <w:pPr>
        <w:tabs>
          <w:tab w:val="left" w:pos="3309"/>
        </w:tabs>
        <w:spacing w:after="120" w:line="240" w:lineRule="auto"/>
        <w:jc w:val="center"/>
        <w:rPr>
          <w:rFonts w:ascii="Times New Roman" w:hAnsi="Times New Roman" w:cs="Times New Roman"/>
          <w:i/>
          <w:iCs/>
          <w:sz w:val="24"/>
          <w:szCs w:val="24"/>
        </w:rPr>
      </w:pPr>
      <w:r>
        <w:rPr>
          <w:rFonts w:ascii="Times New Roman" w:hAnsi="Times New Roman" w:cs="Times New Roman"/>
          <w:sz w:val="24"/>
          <w:szCs w:val="24"/>
        </w:rPr>
        <w:t>A :</w:t>
      </w:r>
      <w:r>
        <w:rPr>
          <w:rFonts w:ascii="Times New Roman" w:hAnsi="Times New Roman" w:cs="Times New Roman"/>
          <w:i/>
          <w:iCs/>
          <w:sz w:val="24"/>
          <w:szCs w:val="24"/>
        </w:rPr>
        <w:t xml:space="preserve">  Bacillus subtilis</w:t>
      </w:r>
      <w:r>
        <w:rPr>
          <w:rFonts w:ascii="Times New Roman" w:hAnsi="Times New Roman" w:cs="Times New Roman"/>
          <w:sz w:val="24"/>
          <w:szCs w:val="24"/>
        </w:rPr>
        <w:t xml:space="preserve"> B :</w:t>
      </w:r>
      <w:r>
        <w:rPr>
          <w:rFonts w:ascii="Times New Roman" w:hAnsi="Times New Roman" w:cs="Times New Roman"/>
          <w:i/>
          <w:iCs/>
          <w:sz w:val="24"/>
          <w:szCs w:val="24"/>
        </w:rPr>
        <w:t xml:space="preserve"> Staphylococcus aureus C</w:t>
      </w:r>
      <w:r>
        <w:rPr>
          <w:rFonts w:ascii="Times New Roman" w:hAnsi="Times New Roman" w:cs="Times New Roman"/>
          <w:sz w:val="24"/>
          <w:szCs w:val="24"/>
        </w:rPr>
        <w:t> :</w:t>
      </w:r>
      <w:r>
        <w:rPr>
          <w:rFonts w:ascii="Times New Roman" w:hAnsi="Times New Roman" w:cs="Times New Roman"/>
          <w:i/>
          <w:iCs/>
          <w:sz w:val="24"/>
          <w:szCs w:val="24"/>
        </w:rPr>
        <w:t xml:space="preserve"> Salmonella typhimurium   D</w:t>
      </w:r>
      <w:r>
        <w:rPr>
          <w:rFonts w:ascii="Times New Roman" w:hAnsi="Times New Roman" w:cs="Times New Roman"/>
          <w:sz w:val="24"/>
          <w:szCs w:val="24"/>
        </w:rPr>
        <w:t> :</w:t>
      </w:r>
      <w:r>
        <w:rPr>
          <w:rFonts w:ascii="Times New Roman" w:hAnsi="Times New Roman" w:cs="Times New Roman"/>
          <w:i/>
          <w:iCs/>
          <w:sz w:val="24"/>
          <w:szCs w:val="24"/>
        </w:rPr>
        <w:t xml:space="preserve"> Escherichia </w:t>
      </w:r>
      <w:r w:rsidR="0021032F">
        <w:rPr>
          <w:rFonts w:ascii="Times New Roman" w:hAnsi="Times New Roman" w:cs="Times New Roman"/>
          <w:i/>
          <w:iCs/>
          <w:sz w:val="24"/>
          <w:szCs w:val="24"/>
        </w:rPr>
        <w:t>coli   E</w:t>
      </w:r>
      <w:r>
        <w:rPr>
          <w:rFonts w:ascii="Times New Roman" w:hAnsi="Times New Roman" w:cs="Times New Roman"/>
          <w:sz w:val="24"/>
          <w:szCs w:val="24"/>
        </w:rPr>
        <w:t> :</w:t>
      </w:r>
      <w:r>
        <w:rPr>
          <w:rFonts w:ascii="Times New Roman" w:hAnsi="Times New Roman" w:cs="Times New Roman"/>
          <w:i/>
          <w:iCs/>
          <w:sz w:val="24"/>
          <w:szCs w:val="24"/>
        </w:rPr>
        <w:t xml:space="preserve"> Staphylococcus epidermidis   </w:t>
      </w:r>
      <w:r>
        <w:rPr>
          <w:rFonts w:ascii="Times New Roman" w:hAnsi="Times New Roman" w:cs="Times New Roman"/>
          <w:sz w:val="24"/>
          <w:szCs w:val="24"/>
        </w:rPr>
        <w:t>F :</w:t>
      </w:r>
      <w:r>
        <w:rPr>
          <w:rFonts w:ascii="Times New Roman" w:hAnsi="Times New Roman" w:cs="Times New Roman"/>
          <w:i/>
          <w:iCs/>
          <w:sz w:val="24"/>
          <w:szCs w:val="24"/>
        </w:rPr>
        <w:t xml:space="preserve"> Pseudomonas aeruginosa</w:t>
      </w:r>
    </w:p>
    <w:p w14:paraId="6CD668F8" w14:textId="77777777" w:rsidR="003E3FB4" w:rsidRDefault="00385ED0">
      <w:pPr>
        <w:tabs>
          <w:tab w:val="left" w:pos="3309"/>
        </w:tabs>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A : Extrait aqueux E : Extrait éthanolique AN : Antibiotique</w:t>
      </w:r>
    </w:p>
    <w:p w14:paraId="6B1B09FB" w14:textId="77777777" w:rsidR="00495C39" w:rsidRDefault="00495C39">
      <w:pPr>
        <w:tabs>
          <w:tab w:val="left" w:pos="3309"/>
        </w:tabs>
        <w:spacing w:after="0" w:line="240" w:lineRule="auto"/>
        <w:jc w:val="center"/>
        <w:rPr>
          <w:rFonts w:ascii="Times New Roman" w:hAnsi="Times New Roman" w:cs="Times New Roman"/>
          <w:b/>
          <w:bCs/>
          <w:sz w:val="24"/>
          <w:szCs w:val="24"/>
        </w:rPr>
      </w:pPr>
    </w:p>
    <w:p w14:paraId="43613082" w14:textId="6EE28DBF" w:rsidR="00495C39" w:rsidRPr="00495C39" w:rsidRDefault="00495C39" w:rsidP="00495C39">
      <w:pPr>
        <w:tabs>
          <w:tab w:val="left" w:pos="3309"/>
        </w:tabs>
        <w:spacing w:after="0" w:line="360" w:lineRule="auto"/>
        <w:ind w:firstLine="567"/>
        <w:jc w:val="both"/>
        <w:rPr>
          <w:rFonts w:ascii="Times New Roman" w:hAnsi="Times New Roman" w:cs="Times New Roman"/>
          <w:sz w:val="24"/>
          <w:szCs w:val="24"/>
        </w:rPr>
      </w:pPr>
      <w:r w:rsidRPr="00495C39">
        <w:rPr>
          <w:rFonts w:ascii="Times New Roman" w:hAnsi="Times New Roman" w:cs="Times New Roman"/>
          <w:i/>
          <w:iCs/>
          <w:sz w:val="24"/>
          <w:szCs w:val="24"/>
        </w:rPr>
        <w:lastRenderedPageBreak/>
        <w:t>Staphylococcus aureus, Escherichia coli, Pseudomonas aeruginosa et Salmonella typhimurium</w:t>
      </w:r>
      <w:r w:rsidRPr="00495C39">
        <w:rPr>
          <w:rFonts w:ascii="Times New Roman" w:hAnsi="Times New Roman" w:cs="Times New Roman"/>
          <w:sz w:val="24"/>
          <w:szCs w:val="24"/>
        </w:rPr>
        <w:t xml:space="preserve"> n’a montré aucune activité antibactérienne, avec une zone d’inhibition nulle, contrairement aux antibiotiques standards qui présentent des diamètres d’inhibition de 23 mm, 28 mm, 24 mm, 45 mm respectivement </w:t>
      </w:r>
      <w:r w:rsidRPr="00495C39">
        <w:rPr>
          <w:rFonts w:ascii="Times New Roman" w:hAnsi="Times New Roman" w:cs="Times New Roman"/>
          <w:b/>
          <w:bCs/>
          <w:sz w:val="24"/>
          <w:szCs w:val="24"/>
        </w:rPr>
        <w:t>(Figure III.8).</w:t>
      </w:r>
    </w:p>
    <w:p w14:paraId="446E0DA3" w14:textId="77777777" w:rsidR="003E3FB4" w:rsidRDefault="00385ED0">
      <w:pPr>
        <w:tabs>
          <w:tab w:val="left" w:pos="199"/>
          <w:tab w:val="left" w:pos="3309"/>
        </w:tabs>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Ces résultats contredisent ceux rapportés par </w:t>
      </w:r>
      <w:r>
        <w:rPr>
          <w:rFonts w:ascii="Times New Roman" w:hAnsi="Times New Roman" w:cs="Times New Roman"/>
          <w:b/>
          <w:bCs/>
          <w:sz w:val="24"/>
          <w:szCs w:val="24"/>
        </w:rPr>
        <w:t xml:space="preserve">Abd-Alrahman Salem-Bekhit (2013), Meddoure (2022), Falana et </w:t>
      </w:r>
      <w:r>
        <w:rPr>
          <w:rFonts w:ascii="Times New Roman" w:hAnsi="Times New Roman" w:cs="Times New Roman"/>
          <w:b/>
          <w:bCs/>
          <w:i/>
          <w:iCs/>
          <w:sz w:val="24"/>
          <w:szCs w:val="24"/>
        </w:rPr>
        <w:t>al.</w:t>
      </w:r>
      <w:r>
        <w:rPr>
          <w:rFonts w:ascii="Times New Roman" w:hAnsi="Times New Roman" w:cs="Times New Roman"/>
          <w:b/>
          <w:bCs/>
          <w:sz w:val="24"/>
          <w:szCs w:val="24"/>
        </w:rPr>
        <w:t xml:space="preserve">, (2023), et Yakout et </w:t>
      </w:r>
      <w:r>
        <w:rPr>
          <w:rFonts w:ascii="Times New Roman" w:hAnsi="Times New Roman" w:cs="Times New Roman"/>
          <w:b/>
          <w:bCs/>
          <w:i/>
          <w:iCs/>
          <w:sz w:val="24"/>
          <w:szCs w:val="24"/>
        </w:rPr>
        <w:t>al.</w:t>
      </w:r>
      <w:r>
        <w:rPr>
          <w:rFonts w:ascii="Times New Roman" w:hAnsi="Times New Roman" w:cs="Times New Roman"/>
          <w:b/>
          <w:bCs/>
          <w:sz w:val="24"/>
          <w:szCs w:val="24"/>
        </w:rPr>
        <w:t>, (2013)</w:t>
      </w:r>
      <w:r>
        <w:rPr>
          <w:rFonts w:ascii="Times New Roman" w:hAnsi="Times New Roman" w:cs="Times New Roman"/>
          <w:sz w:val="24"/>
          <w:szCs w:val="24"/>
        </w:rPr>
        <w:t xml:space="preserve"> qui a observé qu’un extrait hydroalcoolique (50 % eau/éthanol) des graines de fenugrec présentait une activité antimicrobienne plus limitée, avec des zones d’inhibition de 8 mm pour Staphylococcus aureus et 7 mm pour Salmonella typhimurium. Par ailleurs, </w:t>
      </w:r>
      <w:r>
        <w:rPr>
          <w:rFonts w:ascii="Times New Roman" w:hAnsi="Times New Roman" w:cs="Times New Roman"/>
          <w:i/>
          <w:iCs/>
          <w:sz w:val="24"/>
          <w:szCs w:val="24"/>
        </w:rPr>
        <w:t>Bacillus cereus</w:t>
      </w:r>
      <w:r>
        <w:rPr>
          <w:rFonts w:ascii="Times New Roman" w:hAnsi="Times New Roman" w:cs="Times New Roman"/>
          <w:sz w:val="24"/>
          <w:szCs w:val="24"/>
        </w:rPr>
        <w:t xml:space="preserve"> et Escherichia coli ont montré une sensibilité modérée (7 mm et 5 mm respectivement), tandis que </w:t>
      </w:r>
      <w:r>
        <w:rPr>
          <w:rFonts w:ascii="Times New Roman" w:hAnsi="Times New Roman" w:cs="Times New Roman"/>
          <w:i/>
          <w:iCs/>
          <w:sz w:val="24"/>
          <w:szCs w:val="24"/>
        </w:rPr>
        <w:t>Pseudomonas aeruginosa</w:t>
      </w:r>
      <w:r>
        <w:rPr>
          <w:rFonts w:ascii="Times New Roman" w:hAnsi="Times New Roman" w:cs="Times New Roman"/>
          <w:sz w:val="24"/>
          <w:szCs w:val="24"/>
        </w:rPr>
        <w:t xml:space="preserve"> s’est révélée peu sensible à l’extrait, avec une zone d’inhibition de seulement 5 mm</w:t>
      </w:r>
    </w:p>
    <w:p w14:paraId="4D0DFCC2" w14:textId="77777777" w:rsidR="003E3FB4" w:rsidRDefault="00385ED0">
      <w:pPr>
        <w:tabs>
          <w:tab w:val="left" w:pos="199"/>
          <w:tab w:val="left" w:pos="3309"/>
        </w:tabs>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Nos résultats sont en accord avec ceux de </w:t>
      </w:r>
      <w:r>
        <w:rPr>
          <w:rFonts w:ascii="Times New Roman" w:hAnsi="Times New Roman" w:cs="Times New Roman"/>
          <w:b/>
          <w:bCs/>
          <w:sz w:val="24"/>
          <w:szCs w:val="24"/>
        </w:rPr>
        <w:t xml:space="preserve">Kumari et </w:t>
      </w:r>
      <w:r>
        <w:rPr>
          <w:rFonts w:ascii="Times New Roman" w:hAnsi="Times New Roman" w:cs="Times New Roman"/>
          <w:b/>
          <w:bCs/>
          <w:i/>
          <w:iCs/>
          <w:sz w:val="24"/>
          <w:szCs w:val="24"/>
        </w:rPr>
        <w:t>al.</w:t>
      </w:r>
      <w:r>
        <w:rPr>
          <w:rFonts w:ascii="Times New Roman" w:hAnsi="Times New Roman" w:cs="Times New Roman"/>
          <w:b/>
          <w:bCs/>
          <w:sz w:val="24"/>
          <w:szCs w:val="24"/>
        </w:rPr>
        <w:t>, (2016)</w:t>
      </w:r>
      <w:r>
        <w:rPr>
          <w:rFonts w:ascii="Times New Roman" w:hAnsi="Times New Roman" w:cs="Times New Roman"/>
          <w:sz w:val="24"/>
          <w:szCs w:val="24"/>
        </w:rPr>
        <w:t xml:space="preserve"> ont constaté une activité très faible de l’extrait éthanolique, avec des diamètres d’inhibition ne dépassant pas 1,3 mm contre </w:t>
      </w:r>
      <w:r>
        <w:rPr>
          <w:rFonts w:ascii="Times New Roman" w:hAnsi="Times New Roman" w:cs="Times New Roman"/>
          <w:i/>
          <w:iCs/>
          <w:sz w:val="24"/>
          <w:szCs w:val="24"/>
        </w:rPr>
        <w:t xml:space="preserve">Bacillus subtilis </w:t>
      </w:r>
      <w:r>
        <w:rPr>
          <w:rFonts w:ascii="Times New Roman" w:hAnsi="Times New Roman" w:cs="Times New Roman"/>
          <w:sz w:val="24"/>
          <w:szCs w:val="24"/>
        </w:rPr>
        <w:t xml:space="preserve">et entre 1,0 et 1,2 mm contre </w:t>
      </w:r>
      <w:r>
        <w:rPr>
          <w:rFonts w:ascii="Times New Roman" w:hAnsi="Times New Roman" w:cs="Times New Roman"/>
          <w:i/>
          <w:iCs/>
          <w:sz w:val="24"/>
          <w:szCs w:val="24"/>
        </w:rPr>
        <w:t>Escherichia coli</w:t>
      </w:r>
      <w:r>
        <w:rPr>
          <w:rFonts w:ascii="Times New Roman" w:hAnsi="Times New Roman" w:cs="Times New Roman"/>
          <w:sz w:val="24"/>
          <w:szCs w:val="24"/>
        </w:rPr>
        <w:t xml:space="preserve">, ainsi qu’une activité faible contre </w:t>
      </w:r>
      <w:r>
        <w:rPr>
          <w:rFonts w:ascii="Times New Roman" w:hAnsi="Times New Roman" w:cs="Times New Roman"/>
          <w:i/>
          <w:iCs/>
          <w:sz w:val="24"/>
          <w:szCs w:val="24"/>
        </w:rPr>
        <w:t xml:space="preserve">Staphylococcus aureus </w:t>
      </w:r>
      <w:r>
        <w:rPr>
          <w:rFonts w:ascii="Times New Roman" w:hAnsi="Times New Roman" w:cs="Times New Roman"/>
          <w:sz w:val="24"/>
          <w:szCs w:val="24"/>
        </w:rPr>
        <w:t xml:space="preserve">et </w:t>
      </w:r>
      <w:r>
        <w:rPr>
          <w:rFonts w:ascii="Times New Roman" w:hAnsi="Times New Roman" w:cs="Times New Roman"/>
          <w:i/>
          <w:iCs/>
          <w:sz w:val="24"/>
          <w:szCs w:val="24"/>
        </w:rPr>
        <w:t>Salmonella typhi</w:t>
      </w:r>
      <w:r>
        <w:rPr>
          <w:rFonts w:ascii="Times New Roman" w:hAnsi="Times New Roman" w:cs="Times New Roman"/>
          <w:sz w:val="24"/>
          <w:szCs w:val="24"/>
        </w:rPr>
        <w:t xml:space="preserve"> (1,0–1,1 mm), indiquant une efficacité très limitée selon la souche bactérienne.</w:t>
      </w:r>
    </w:p>
    <w:p w14:paraId="2CA67073" w14:textId="77777777" w:rsidR="003E3FB4" w:rsidRDefault="00385ED0">
      <w:pPr>
        <w:tabs>
          <w:tab w:val="left" w:pos="199"/>
          <w:tab w:val="left" w:pos="3309"/>
        </w:tabs>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t>Nos résultats sont similaires avec l’étude de</w:t>
      </w:r>
      <w:r>
        <w:rPr>
          <w:rFonts w:ascii="Times New Roman" w:hAnsi="Times New Roman" w:cs="Times New Roman"/>
          <w:b/>
          <w:bCs/>
          <w:sz w:val="24"/>
          <w:szCs w:val="24"/>
        </w:rPr>
        <w:t xml:space="preserve"> Babaei et </w:t>
      </w:r>
      <w:r>
        <w:rPr>
          <w:rFonts w:ascii="Times New Roman" w:hAnsi="Times New Roman" w:cs="Times New Roman"/>
          <w:b/>
          <w:bCs/>
          <w:i/>
          <w:iCs/>
          <w:sz w:val="24"/>
          <w:szCs w:val="24"/>
        </w:rPr>
        <w:t>al.</w:t>
      </w:r>
      <w:r>
        <w:rPr>
          <w:rFonts w:ascii="Times New Roman" w:hAnsi="Times New Roman" w:cs="Times New Roman"/>
          <w:b/>
          <w:bCs/>
          <w:sz w:val="24"/>
          <w:szCs w:val="24"/>
        </w:rPr>
        <w:t>, (2018)</w:t>
      </w:r>
      <w:r>
        <w:rPr>
          <w:rFonts w:ascii="Times New Roman" w:hAnsi="Times New Roman" w:cs="Times New Roman"/>
          <w:sz w:val="24"/>
          <w:szCs w:val="24"/>
        </w:rPr>
        <w:t xml:space="preserve">, aucune activité antibactérienne n’a été observée pour les extraits aqueux et éthanoliques contre </w:t>
      </w:r>
      <w:r>
        <w:rPr>
          <w:rFonts w:ascii="Times New Roman" w:hAnsi="Times New Roman" w:cs="Times New Roman"/>
          <w:i/>
          <w:iCs/>
          <w:sz w:val="24"/>
          <w:szCs w:val="24"/>
        </w:rPr>
        <w:t>Escherichia coli, Pseudomonas aeruginosa, Salmonella typhi et Staphylococcus aureus</w:t>
      </w:r>
      <w:r>
        <w:rPr>
          <w:rFonts w:ascii="Times New Roman" w:hAnsi="Times New Roman" w:cs="Times New Roman"/>
          <w:sz w:val="24"/>
          <w:szCs w:val="24"/>
        </w:rPr>
        <w:t>.</w:t>
      </w:r>
      <w:r>
        <w:rPr>
          <w:sz w:val="24"/>
          <w:szCs w:val="24"/>
        </w:rPr>
        <w:t xml:space="preserve"> </w:t>
      </w:r>
      <w:r>
        <w:rPr>
          <w:rFonts w:ascii="Times New Roman" w:hAnsi="Times New Roman" w:cs="Times New Roman"/>
          <w:sz w:val="24"/>
          <w:szCs w:val="24"/>
        </w:rPr>
        <w:t>En revanche</w:t>
      </w:r>
      <w:r>
        <w:rPr>
          <w:rFonts w:ascii="Times New Roman" w:hAnsi="Times New Roman" w:cs="Times New Roman"/>
          <w:b/>
          <w:bCs/>
          <w:sz w:val="24"/>
          <w:szCs w:val="24"/>
        </w:rPr>
        <w:t xml:space="preserve">, Premath et </w:t>
      </w:r>
      <w:r>
        <w:rPr>
          <w:rFonts w:ascii="Times New Roman" w:hAnsi="Times New Roman" w:cs="Times New Roman"/>
          <w:b/>
          <w:bCs/>
          <w:i/>
          <w:iCs/>
          <w:sz w:val="24"/>
          <w:szCs w:val="24"/>
        </w:rPr>
        <w:t>al.</w:t>
      </w:r>
      <w:r>
        <w:rPr>
          <w:rFonts w:ascii="Times New Roman" w:hAnsi="Times New Roman" w:cs="Times New Roman"/>
          <w:b/>
          <w:bCs/>
          <w:sz w:val="24"/>
          <w:szCs w:val="24"/>
        </w:rPr>
        <w:t>, (2011)</w:t>
      </w:r>
      <w:r>
        <w:rPr>
          <w:rFonts w:ascii="Times New Roman" w:hAnsi="Times New Roman" w:cs="Times New Roman"/>
          <w:sz w:val="24"/>
          <w:szCs w:val="24"/>
        </w:rPr>
        <w:t xml:space="preserve"> ont montré une activité importante de l’extrait éthanolique des feuilles de fenugrec contre </w:t>
      </w:r>
      <w:r>
        <w:rPr>
          <w:rFonts w:ascii="Times New Roman" w:hAnsi="Times New Roman" w:cs="Times New Roman"/>
          <w:i/>
          <w:iCs/>
          <w:sz w:val="24"/>
          <w:szCs w:val="24"/>
        </w:rPr>
        <w:t xml:space="preserve">Staphylococcus epidermidis </w:t>
      </w:r>
      <w:r>
        <w:rPr>
          <w:rFonts w:ascii="Times New Roman" w:hAnsi="Times New Roman" w:cs="Times New Roman"/>
          <w:sz w:val="24"/>
          <w:szCs w:val="24"/>
        </w:rPr>
        <w:t>(14±0,5 mm). Cela met en évidence une possible variation de l'activité selon l'origine géographique des graines, le type d'extrait et la méthode de préparation. Ces comparaisons confirment que le fenugrec possède un potentiel antibactérien, mais que son efficacité dépend fortement des conditions d'extraction, du type de souches bactériennes et de la partie végétale utilisée.</w:t>
      </w:r>
    </w:p>
    <w:p w14:paraId="0834BAAE" w14:textId="77777777" w:rsidR="003E3FB4" w:rsidRDefault="00385ED0">
      <w:pPr>
        <w:tabs>
          <w:tab w:val="left" w:pos="199"/>
          <w:tab w:val="left" w:pos="3309"/>
        </w:tabs>
        <w:spacing w:line="360" w:lineRule="auto"/>
        <w:jc w:val="distribute"/>
        <w:rPr>
          <w:rFonts w:ascii="Times New Roman" w:hAnsi="Times New Roman" w:cs="Times New Roman"/>
          <w:b/>
          <w:bCs/>
          <w:sz w:val="24"/>
          <w:szCs w:val="24"/>
        </w:rPr>
      </w:pPr>
      <w:r>
        <w:rPr>
          <w:rFonts w:ascii="Times New Roman" w:hAnsi="Times New Roman" w:cs="Times New Roman"/>
          <w:b/>
          <w:bCs/>
          <w:sz w:val="24"/>
          <w:szCs w:val="24"/>
        </w:rPr>
        <w:t>III.5.2. Activité anti fongique des graines de</w:t>
      </w:r>
      <w:r>
        <w:rPr>
          <w:b/>
          <w:bCs/>
          <w:sz w:val="24"/>
          <w:szCs w:val="24"/>
        </w:rPr>
        <w:t xml:space="preserve"> </w:t>
      </w:r>
      <w:r>
        <w:rPr>
          <w:rFonts w:ascii="Times New Roman" w:hAnsi="Times New Roman" w:cs="Times New Roman"/>
          <w:b/>
          <w:bCs/>
          <w:i/>
          <w:iCs/>
          <w:sz w:val="24"/>
          <w:szCs w:val="24"/>
        </w:rPr>
        <w:t>Trigonella foenum-graecum</w:t>
      </w:r>
      <w:r>
        <w:rPr>
          <w:rFonts w:ascii="Times New Roman" w:hAnsi="Times New Roman" w:cs="Times New Roman"/>
          <w:b/>
          <w:bCs/>
          <w:sz w:val="24"/>
          <w:szCs w:val="24"/>
        </w:rPr>
        <w:t xml:space="preserve"> L. </w:t>
      </w:r>
    </w:p>
    <w:p w14:paraId="69EA62F3" w14:textId="77777777" w:rsidR="003E3FB4" w:rsidRDefault="00385ED0">
      <w:pPr>
        <w:tabs>
          <w:tab w:val="left" w:pos="199"/>
          <w:tab w:val="left" w:pos="3309"/>
        </w:tabs>
        <w:spacing w:line="360" w:lineRule="auto"/>
        <w:ind w:firstLine="567"/>
        <w:jc w:val="lowKashida"/>
        <w:rPr>
          <w:rFonts w:ascii="Times New Roman" w:hAnsi="Times New Roman" w:cs="Times New Roman"/>
          <w:sz w:val="24"/>
          <w:szCs w:val="24"/>
        </w:rPr>
      </w:pPr>
      <w:r>
        <w:rPr>
          <w:rFonts w:ascii="Times New Roman" w:hAnsi="Times New Roman" w:cs="Times New Roman"/>
          <w:sz w:val="24"/>
          <w:szCs w:val="24"/>
        </w:rPr>
        <w:t xml:space="preserve">L'effet antifongique de l'extrait éthanolique et aqueux des graines de </w:t>
      </w:r>
      <w:r>
        <w:rPr>
          <w:rFonts w:ascii="Times New Roman" w:hAnsi="Times New Roman" w:cs="Times New Roman"/>
          <w:i/>
          <w:iCs/>
          <w:sz w:val="24"/>
          <w:szCs w:val="24"/>
        </w:rPr>
        <w:t xml:space="preserve">Trigonella foenum-graecum </w:t>
      </w:r>
      <w:r>
        <w:rPr>
          <w:rFonts w:ascii="Times New Roman" w:hAnsi="Times New Roman" w:cs="Times New Roman"/>
          <w:sz w:val="24"/>
          <w:szCs w:val="24"/>
        </w:rPr>
        <w:t xml:space="preserve">L. a été testé sur cinq souches fongiques :  </w:t>
      </w:r>
      <w:r>
        <w:rPr>
          <w:rFonts w:ascii="Times New Roman" w:hAnsi="Times New Roman" w:cs="Times New Roman"/>
          <w:i/>
          <w:iCs/>
          <w:sz w:val="24"/>
          <w:szCs w:val="24"/>
        </w:rPr>
        <w:t>Candida albicans</w:t>
      </w:r>
      <w:r>
        <w:rPr>
          <w:rFonts w:ascii="Times New Roman" w:hAnsi="Times New Roman" w:cs="Times New Roman"/>
          <w:sz w:val="24"/>
          <w:szCs w:val="24"/>
        </w:rPr>
        <w:t xml:space="preserve">, </w:t>
      </w:r>
      <w:r>
        <w:rPr>
          <w:rFonts w:ascii="Times New Roman" w:hAnsi="Times New Roman" w:cs="Times New Roman"/>
          <w:i/>
          <w:iCs/>
          <w:sz w:val="24"/>
          <w:szCs w:val="24"/>
        </w:rPr>
        <w:t>Aspergillus brasiliensis</w:t>
      </w:r>
      <w:r>
        <w:rPr>
          <w:rFonts w:ascii="Times New Roman" w:hAnsi="Times New Roman" w:cs="Times New Roman"/>
          <w:sz w:val="24"/>
          <w:szCs w:val="24"/>
        </w:rPr>
        <w:t xml:space="preserve">, </w:t>
      </w:r>
      <w:r>
        <w:rPr>
          <w:rFonts w:ascii="Times New Roman" w:hAnsi="Times New Roman" w:cs="Times New Roman"/>
          <w:i/>
          <w:iCs/>
          <w:sz w:val="24"/>
          <w:szCs w:val="24"/>
        </w:rPr>
        <w:t>Colletotrichum sp</w:t>
      </w:r>
      <w:r>
        <w:rPr>
          <w:rFonts w:ascii="Times New Roman" w:hAnsi="Times New Roman" w:cs="Times New Roman"/>
          <w:sz w:val="24"/>
          <w:szCs w:val="24"/>
        </w:rPr>
        <w:t xml:space="preserve">., </w:t>
      </w:r>
      <w:r>
        <w:rPr>
          <w:rFonts w:ascii="Times New Roman" w:hAnsi="Times New Roman" w:cs="Times New Roman"/>
          <w:i/>
          <w:iCs/>
          <w:sz w:val="24"/>
          <w:szCs w:val="24"/>
        </w:rPr>
        <w:t>Monilinia sp</w:t>
      </w:r>
      <w:r>
        <w:rPr>
          <w:rFonts w:ascii="Times New Roman" w:hAnsi="Times New Roman" w:cs="Times New Roman"/>
          <w:sz w:val="24"/>
          <w:szCs w:val="24"/>
        </w:rPr>
        <w:t xml:space="preserve">. Ainsi que </w:t>
      </w:r>
      <w:r>
        <w:rPr>
          <w:rFonts w:ascii="Times New Roman" w:hAnsi="Times New Roman" w:cs="Times New Roman"/>
          <w:i/>
          <w:iCs/>
          <w:sz w:val="24"/>
          <w:szCs w:val="24"/>
        </w:rPr>
        <w:t>Botrytis cinerea.</w:t>
      </w:r>
    </w:p>
    <w:p w14:paraId="672B40E2" w14:textId="77777777" w:rsidR="0021032F" w:rsidRDefault="0021032F">
      <w:pPr>
        <w:tabs>
          <w:tab w:val="left" w:pos="199"/>
          <w:tab w:val="left" w:pos="3309"/>
        </w:tabs>
        <w:spacing w:line="360" w:lineRule="auto"/>
        <w:jc w:val="both"/>
        <w:rPr>
          <w:rFonts w:ascii="Times New Roman" w:hAnsi="Times New Roman" w:cs="Times New Roman"/>
          <w:b/>
          <w:bCs/>
          <w:sz w:val="24"/>
          <w:szCs w:val="24"/>
        </w:rPr>
      </w:pPr>
    </w:p>
    <w:p w14:paraId="19D366DD" w14:textId="77777777" w:rsidR="0021032F" w:rsidRDefault="0021032F">
      <w:pPr>
        <w:tabs>
          <w:tab w:val="left" w:pos="199"/>
          <w:tab w:val="left" w:pos="3309"/>
        </w:tabs>
        <w:spacing w:line="360" w:lineRule="auto"/>
        <w:jc w:val="both"/>
        <w:rPr>
          <w:rFonts w:ascii="Times New Roman" w:hAnsi="Times New Roman" w:cs="Times New Roman"/>
          <w:b/>
          <w:bCs/>
          <w:sz w:val="24"/>
          <w:szCs w:val="24"/>
        </w:rPr>
      </w:pPr>
    </w:p>
    <w:p w14:paraId="5FE2F7E4" w14:textId="0164F9E5" w:rsidR="003E3FB4" w:rsidRDefault="00385ED0">
      <w:pPr>
        <w:tabs>
          <w:tab w:val="left" w:pos="199"/>
          <w:tab w:val="left" w:pos="3309"/>
        </w:tabs>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III.5.1.1. Effet de l’extrait aqueux et éthanolique des graines de</w:t>
      </w:r>
      <w:r>
        <w:rPr>
          <w:b/>
          <w:bCs/>
          <w:sz w:val="24"/>
          <w:szCs w:val="24"/>
        </w:rPr>
        <w:t xml:space="preserve"> </w:t>
      </w:r>
      <w:r>
        <w:rPr>
          <w:rFonts w:ascii="Times New Roman" w:hAnsi="Times New Roman" w:cs="Times New Roman"/>
          <w:b/>
          <w:bCs/>
          <w:i/>
          <w:iCs/>
          <w:sz w:val="24"/>
          <w:szCs w:val="24"/>
        </w:rPr>
        <w:t>Trigonella foenum-graecum</w:t>
      </w:r>
      <w:r>
        <w:rPr>
          <w:rFonts w:ascii="Times New Roman" w:hAnsi="Times New Roman" w:cs="Times New Roman"/>
          <w:b/>
          <w:bCs/>
          <w:sz w:val="24"/>
          <w:szCs w:val="24"/>
        </w:rPr>
        <w:t xml:space="preserve"> L. contre </w:t>
      </w:r>
      <w:r>
        <w:rPr>
          <w:rFonts w:ascii="Times New Roman" w:hAnsi="Times New Roman" w:cs="Times New Roman"/>
          <w:b/>
          <w:bCs/>
          <w:i/>
          <w:iCs/>
          <w:sz w:val="24"/>
          <w:szCs w:val="24"/>
        </w:rPr>
        <w:t>Candida albicans</w:t>
      </w:r>
      <w:r>
        <w:rPr>
          <w:rFonts w:ascii="Times New Roman" w:hAnsi="Times New Roman" w:cs="Times New Roman"/>
          <w:b/>
          <w:bCs/>
          <w:sz w:val="24"/>
          <w:szCs w:val="24"/>
        </w:rPr>
        <w:t xml:space="preserve"> ATCC  10231 </w:t>
      </w:r>
    </w:p>
    <w:p w14:paraId="214CCA16" w14:textId="6FA45128" w:rsidR="003E3FB4" w:rsidRDefault="00385ED0">
      <w:pPr>
        <w:tabs>
          <w:tab w:val="left" w:pos="199"/>
          <w:tab w:val="left" w:pos="3309"/>
        </w:tabs>
        <w:spacing w:line="360" w:lineRule="auto"/>
        <w:ind w:firstLine="567"/>
        <w:jc w:val="lowKashida"/>
        <w:rPr>
          <w:rFonts w:ascii="Times New Roman" w:hAnsi="Times New Roman" w:cs="Times New Roman"/>
          <w:sz w:val="24"/>
          <w:szCs w:val="24"/>
        </w:rPr>
      </w:pPr>
      <w:r>
        <w:rPr>
          <w:rFonts w:ascii="Times New Roman" w:hAnsi="Times New Roman" w:cs="Times New Roman"/>
          <w:sz w:val="24"/>
          <w:szCs w:val="24"/>
        </w:rPr>
        <w:t xml:space="preserve">Les résultats présentés dans le </w:t>
      </w:r>
      <w:r>
        <w:rPr>
          <w:rFonts w:ascii="Times New Roman" w:hAnsi="Times New Roman" w:cs="Times New Roman"/>
          <w:b/>
          <w:bCs/>
          <w:sz w:val="24"/>
          <w:szCs w:val="24"/>
        </w:rPr>
        <w:t>tableau III.6.</w:t>
      </w:r>
      <w:r>
        <w:rPr>
          <w:rFonts w:ascii="Times New Roman" w:hAnsi="Times New Roman" w:cs="Times New Roman"/>
          <w:sz w:val="24"/>
          <w:szCs w:val="24"/>
        </w:rPr>
        <w:t xml:space="preserve">  </w:t>
      </w:r>
      <w:r w:rsidR="00762681">
        <w:rPr>
          <w:rFonts w:ascii="Times New Roman" w:hAnsi="Times New Roman" w:cs="Times New Roman"/>
          <w:sz w:val="24"/>
          <w:szCs w:val="24"/>
        </w:rPr>
        <w:t>Montrent</w:t>
      </w:r>
      <w:r>
        <w:rPr>
          <w:rFonts w:ascii="Times New Roman" w:hAnsi="Times New Roman" w:cs="Times New Roman"/>
          <w:sz w:val="24"/>
          <w:szCs w:val="24"/>
        </w:rPr>
        <w:t xml:space="preserve"> que </w:t>
      </w:r>
      <w:r>
        <w:rPr>
          <w:rFonts w:ascii="Times New Roman" w:hAnsi="Times New Roman" w:cs="Times New Roman"/>
          <w:i/>
          <w:iCs/>
          <w:sz w:val="24"/>
          <w:szCs w:val="24"/>
        </w:rPr>
        <w:t>Candida albicans</w:t>
      </w:r>
      <w:r>
        <w:rPr>
          <w:rFonts w:ascii="Times New Roman" w:hAnsi="Times New Roman" w:cs="Times New Roman"/>
          <w:sz w:val="24"/>
          <w:szCs w:val="24"/>
        </w:rPr>
        <w:t xml:space="preserve"> a montré une sensibilité modérée aux deux extraits de graines de fenugrec, avec des zones d'inhibition de 13 mm pour l'extrait aqueux et de 10 mm pour l'extrait éthanolique, tandis que l'antibiotique standard a généré une zone de 21 mm</w:t>
      </w:r>
    </w:p>
    <w:p w14:paraId="19F162D2" w14:textId="77777777" w:rsidR="003E3FB4" w:rsidRDefault="00385ED0">
      <w:pPr>
        <w:spacing w:after="0" w:line="240" w:lineRule="auto"/>
        <w:jc w:val="center"/>
        <w:rPr>
          <w:rFonts w:asciiTheme="majorBidi" w:hAnsiTheme="majorBidi" w:cstheme="majorBidi"/>
          <w:i/>
          <w:iCs/>
          <w:sz w:val="24"/>
          <w:szCs w:val="24"/>
        </w:rPr>
      </w:pPr>
      <w:r>
        <w:rPr>
          <w:rFonts w:asciiTheme="majorBidi" w:hAnsiTheme="majorBidi" w:cstheme="majorBidi"/>
          <w:b/>
          <w:bCs/>
          <w:sz w:val="24"/>
          <w:szCs w:val="24"/>
        </w:rPr>
        <w:t>Tableau III.6.</w:t>
      </w:r>
      <w:r>
        <w:rPr>
          <w:sz w:val="24"/>
          <w:szCs w:val="24"/>
        </w:rPr>
        <w:t xml:space="preserve"> </w:t>
      </w:r>
      <w:r>
        <w:rPr>
          <w:rFonts w:asciiTheme="majorBidi" w:hAnsiTheme="majorBidi" w:cstheme="majorBidi"/>
          <w:sz w:val="24"/>
          <w:szCs w:val="24"/>
        </w:rPr>
        <w:t xml:space="preserve">Effet des extraits des graines de fenugrec sur </w:t>
      </w:r>
      <w:r>
        <w:rPr>
          <w:rFonts w:asciiTheme="majorBidi" w:hAnsiTheme="majorBidi" w:cstheme="majorBidi"/>
          <w:i/>
          <w:iCs/>
          <w:sz w:val="24"/>
          <w:szCs w:val="24"/>
        </w:rPr>
        <w:t>Candida albicans</w:t>
      </w:r>
    </w:p>
    <w:p w14:paraId="5C68C7F0" w14:textId="77777777" w:rsidR="003E3FB4" w:rsidRDefault="003E3FB4">
      <w:pPr>
        <w:spacing w:after="0" w:line="240" w:lineRule="auto"/>
        <w:jc w:val="center"/>
        <w:rPr>
          <w:rFonts w:asciiTheme="majorBidi" w:hAnsiTheme="majorBidi" w:cstheme="majorBidi"/>
          <w:i/>
          <w:iCs/>
          <w:sz w:val="24"/>
          <w:szCs w:val="24"/>
        </w:rPr>
      </w:pPr>
    </w:p>
    <w:tbl>
      <w:tblPr>
        <w:tblStyle w:val="Grilledutableau"/>
        <w:tblW w:w="9105" w:type="dxa"/>
        <w:tblLook w:val="04A0" w:firstRow="1" w:lastRow="0" w:firstColumn="1" w:lastColumn="0" w:noHBand="0" w:noVBand="1"/>
      </w:tblPr>
      <w:tblGrid>
        <w:gridCol w:w="2275"/>
        <w:gridCol w:w="2276"/>
        <w:gridCol w:w="2277"/>
        <w:gridCol w:w="2277"/>
      </w:tblGrid>
      <w:tr w:rsidR="003E3FB4" w14:paraId="3E648FBF" w14:textId="77777777">
        <w:trPr>
          <w:trHeight w:val="574"/>
        </w:trPr>
        <w:tc>
          <w:tcPr>
            <w:tcW w:w="2275" w:type="dxa"/>
          </w:tcPr>
          <w:p w14:paraId="3ACB1E20" w14:textId="77777777" w:rsidR="003E3FB4" w:rsidRDefault="00385ED0">
            <w:pPr>
              <w:tabs>
                <w:tab w:val="left" w:pos="3309"/>
              </w:tabs>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Extrait aqueux</w:t>
            </w:r>
          </w:p>
        </w:tc>
        <w:tc>
          <w:tcPr>
            <w:tcW w:w="2276" w:type="dxa"/>
          </w:tcPr>
          <w:p w14:paraId="1D4F8699" w14:textId="77777777" w:rsidR="003E3FB4" w:rsidRDefault="00385ED0">
            <w:pPr>
              <w:tabs>
                <w:tab w:val="left" w:pos="3309"/>
              </w:tabs>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Extrait éthanolique</w:t>
            </w:r>
          </w:p>
        </w:tc>
        <w:tc>
          <w:tcPr>
            <w:tcW w:w="2277" w:type="dxa"/>
          </w:tcPr>
          <w:p w14:paraId="0EEB4E50" w14:textId="77777777" w:rsidR="003E3FB4" w:rsidRDefault="00385ED0">
            <w:pPr>
              <w:tabs>
                <w:tab w:val="left" w:pos="3309"/>
              </w:tabs>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DMSO</w:t>
            </w:r>
          </w:p>
        </w:tc>
        <w:tc>
          <w:tcPr>
            <w:tcW w:w="2277" w:type="dxa"/>
          </w:tcPr>
          <w:p w14:paraId="74280569" w14:textId="408707BB" w:rsidR="003E3FB4" w:rsidRPr="007A2D75" w:rsidRDefault="007A2D75">
            <w:pPr>
              <w:tabs>
                <w:tab w:val="left" w:pos="3309"/>
              </w:tabs>
              <w:spacing w:after="0" w:line="240" w:lineRule="auto"/>
              <w:jc w:val="center"/>
              <w:rPr>
                <w:rFonts w:ascii="Times New Roman" w:hAnsi="Times New Roman" w:cs="Times New Roman"/>
                <w:b/>
                <w:bCs/>
                <w:sz w:val="24"/>
                <w:szCs w:val="24"/>
                <w:lang w:val="en-US"/>
              </w:rPr>
            </w:pPr>
            <w:r>
              <w:rPr>
                <w:rFonts w:ascii="Times New Roman" w:hAnsi="Times New Roman" w:cs="Times New Roman"/>
                <w:b/>
                <w:bCs/>
                <w:sz w:val="24"/>
                <w:szCs w:val="24"/>
              </w:rPr>
              <w:t>Antifongique</w:t>
            </w:r>
          </w:p>
        </w:tc>
      </w:tr>
      <w:tr w:rsidR="003E3FB4" w14:paraId="372760C6" w14:textId="77777777">
        <w:trPr>
          <w:trHeight w:val="541"/>
        </w:trPr>
        <w:tc>
          <w:tcPr>
            <w:tcW w:w="2275" w:type="dxa"/>
          </w:tcPr>
          <w:p w14:paraId="32EB5CF1" w14:textId="77777777" w:rsidR="003E3FB4" w:rsidRDefault="00385ED0">
            <w:pPr>
              <w:tabs>
                <w:tab w:val="left" w:pos="3309"/>
              </w:tabs>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13±0.25 </w:t>
            </w:r>
            <w:r>
              <w:rPr>
                <w:rFonts w:ascii="Times New Roman" w:hAnsi="Times New Roman" w:cs="Times New Roman"/>
                <w:b/>
                <w:bCs/>
                <w:sz w:val="24"/>
                <w:szCs w:val="24"/>
              </w:rPr>
              <w:t>b</w:t>
            </w:r>
          </w:p>
        </w:tc>
        <w:tc>
          <w:tcPr>
            <w:tcW w:w="2276" w:type="dxa"/>
          </w:tcPr>
          <w:p w14:paraId="0A595921" w14:textId="77777777" w:rsidR="003E3FB4" w:rsidRDefault="00385ED0">
            <w:pPr>
              <w:tabs>
                <w:tab w:val="left" w:pos="3309"/>
              </w:tabs>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10±0.70 </w:t>
            </w:r>
            <w:r>
              <w:rPr>
                <w:rFonts w:ascii="Times New Roman" w:hAnsi="Times New Roman" w:cs="Times New Roman"/>
                <w:b/>
                <w:bCs/>
                <w:sz w:val="24"/>
                <w:szCs w:val="24"/>
              </w:rPr>
              <w:t>b</w:t>
            </w:r>
          </w:p>
        </w:tc>
        <w:tc>
          <w:tcPr>
            <w:tcW w:w="2277" w:type="dxa"/>
          </w:tcPr>
          <w:p w14:paraId="20BCF6B8" w14:textId="77777777" w:rsidR="003E3FB4" w:rsidRDefault="00385ED0">
            <w:pPr>
              <w:tabs>
                <w:tab w:val="left" w:pos="3309"/>
              </w:tabs>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0 </w:t>
            </w:r>
            <w:r>
              <w:rPr>
                <w:rFonts w:ascii="Times New Roman" w:hAnsi="Times New Roman" w:cs="Times New Roman"/>
                <w:b/>
                <w:bCs/>
                <w:sz w:val="24"/>
                <w:szCs w:val="24"/>
              </w:rPr>
              <w:t>c</w:t>
            </w:r>
          </w:p>
        </w:tc>
        <w:tc>
          <w:tcPr>
            <w:tcW w:w="2277" w:type="dxa"/>
          </w:tcPr>
          <w:p w14:paraId="0C51BF5F" w14:textId="77777777" w:rsidR="003E3FB4" w:rsidRDefault="00385ED0">
            <w:pPr>
              <w:tabs>
                <w:tab w:val="left" w:pos="3309"/>
              </w:tabs>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21±0.25 </w:t>
            </w:r>
            <w:r>
              <w:rPr>
                <w:rFonts w:ascii="Times New Roman" w:hAnsi="Times New Roman" w:cs="Times New Roman"/>
                <w:b/>
                <w:bCs/>
                <w:sz w:val="24"/>
                <w:szCs w:val="24"/>
              </w:rPr>
              <w:t>a</w:t>
            </w:r>
          </w:p>
        </w:tc>
      </w:tr>
    </w:tbl>
    <w:p w14:paraId="7CB86DC8" w14:textId="77777777" w:rsidR="003E3FB4" w:rsidRDefault="003E3FB4">
      <w:pPr>
        <w:tabs>
          <w:tab w:val="left" w:pos="3309"/>
        </w:tabs>
        <w:rPr>
          <w:rFonts w:ascii="Times New Roman" w:hAnsi="Times New Roman" w:cs="Times New Roman"/>
          <w:sz w:val="24"/>
          <w:szCs w:val="24"/>
        </w:rPr>
      </w:pPr>
    </w:p>
    <w:p w14:paraId="4A589A66" w14:textId="77777777" w:rsidR="003E3FB4" w:rsidRDefault="00385ED0">
      <w:pPr>
        <w:tabs>
          <w:tab w:val="left" w:pos="199"/>
          <w:tab w:val="left" w:pos="3309"/>
        </w:tabs>
        <w:spacing w:line="360" w:lineRule="auto"/>
        <w:ind w:firstLine="567"/>
        <w:jc w:val="center"/>
        <w:rPr>
          <w:rFonts w:ascii="Times New Roman" w:hAnsi="Times New Roman" w:cs="Times New Roman"/>
          <w:sz w:val="24"/>
          <w:szCs w:val="24"/>
        </w:rPr>
      </w:pPr>
      <w:r>
        <w:rPr>
          <w:noProof/>
          <w:sz w:val="24"/>
          <w:szCs w:val="24"/>
          <w14:ligatures w14:val="none"/>
        </w:rPr>
        <w:drawing>
          <wp:inline distT="0" distB="0" distL="0" distR="0" wp14:anchorId="78500C74" wp14:editId="65C4C570">
            <wp:extent cx="2535808" cy="1971303"/>
            <wp:effectExtent l="0" t="0" r="0" b="0"/>
            <wp:docPr id="379685099"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9685099" name="Image 1"/>
                    <pic:cNvPicPr>
                      <a:picLocks noChangeAspect="1"/>
                    </pic:cNvPicPr>
                  </pic:nvPicPr>
                  <pic:blipFill>
                    <a:blip r:embed="rId57"/>
                    <a:stretch>
                      <a:fillRect/>
                    </a:stretch>
                  </pic:blipFill>
                  <pic:spPr>
                    <a:xfrm flipH="1">
                      <a:off x="0" y="0"/>
                      <a:ext cx="2577119" cy="2003417"/>
                    </a:xfrm>
                    <a:prstGeom prst="rect">
                      <a:avLst/>
                    </a:prstGeom>
                  </pic:spPr>
                </pic:pic>
              </a:graphicData>
            </a:graphic>
          </wp:inline>
        </w:drawing>
      </w:r>
    </w:p>
    <w:p w14:paraId="442827ED" w14:textId="77777777" w:rsidR="003E3FB4" w:rsidRDefault="00385ED0">
      <w:pPr>
        <w:tabs>
          <w:tab w:val="left" w:pos="199"/>
          <w:tab w:val="left" w:pos="3309"/>
        </w:tabs>
        <w:spacing w:after="0" w:line="240" w:lineRule="auto"/>
        <w:ind w:firstLine="567"/>
        <w:jc w:val="center"/>
        <w:rPr>
          <w:rFonts w:ascii="Times New Roman" w:hAnsi="Times New Roman" w:cs="Times New Roman"/>
          <w:sz w:val="24"/>
          <w:szCs w:val="24"/>
        </w:rPr>
      </w:pPr>
      <w:r>
        <w:rPr>
          <w:rFonts w:ascii="Times New Roman" w:hAnsi="Times New Roman" w:cs="Times New Roman"/>
          <w:b/>
          <w:bCs/>
          <w:sz w:val="24"/>
          <w:szCs w:val="24"/>
        </w:rPr>
        <w:t>Figure III.9</w:t>
      </w:r>
      <w:r>
        <w:rPr>
          <w:rFonts w:ascii="Times New Roman" w:hAnsi="Times New Roman" w:cs="Times New Roman"/>
          <w:sz w:val="24"/>
          <w:szCs w:val="24"/>
        </w:rPr>
        <w:t xml:space="preserve">. Effet des extraits des graines de fenugrec sur </w:t>
      </w:r>
      <w:r>
        <w:rPr>
          <w:rFonts w:ascii="Times New Roman" w:hAnsi="Times New Roman" w:cs="Times New Roman"/>
          <w:i/>
          <w:iCs/>
          <w:sz w:val="24"/>
          <w:szCs w:val="24"/>
        </w:rPr>
        <w:t>Candida albicans</w:t>
      </w:r>
      <w:r>
        <w:rPr>
          <w:sz w:val="24"/>
          <w:szCs w:val="24"/>
        </w:rPr>
        <w:t xml:space="preserve"> </w:t>
      </w:r>
      <w:r>
        <w:rPr>
          <w:rFonts w:ascii="Times New Roman" w:hAnsi="Times New Roman" w:cs="Times New Roman"/>
          <w:i/>
          <w:iCs/>
          <w:sz w:val="24"/>
          <w:szCs w:val="24"/>
        </w:rPr>
        <w:t>ATCC  10231</w:t>
      </w:r>
    </w:p>
    <w:p w14:paraId="53908603" w14:textId="537E3E33" w:rsidR="003E3FB4" w:rsidRPr="001C6C07" w:rsidRDefault="00385ED0">
      <w:pPr>
        <w:tabs>
          <w:tab w:val="left" w:pos="199"/>
          <w:tab w:val="left" w:pos="3309"/>
        </w:tabs>
        <w:spacing w:after="0" w:line="240" w:lineRule="auto"/>
        <w:ind w:firstLine="567"/>
        <w:jc w:val="center"/>
        <w:rPr>
          <w:rFonts w:ascii="Times New Roman" w:hAnsi="Times New Roman" w:cs="Times New Roman"/>
        </w:rPr>
      </w:pPr>
      <w:r>
        <w:rPr>
          <w:rFonts w:ascii="Times New Roman" w:hAnsi="Times New Roman" w:cs="Times New Roman"/>
        </w:rPr>
        <w:t>A : Extrait aqueux ; E : Extrait éthanolique ; AN : Anti</w:t>
      </w:r>
      <w:r w:rsidR="001C6C07">
        <w:rPr>
          <w:rFonts w:ascii="Times New Roman" w:hAnsi="Times New Roman" w:cs="Times New Roman"/>
        </w:rPr>
        <w:t>fongi</w:t>
      </w:r>
      <w:r w:rsidR="001C6C07" w:rsidRPr="001C6C07">
        <w:rPr>
          <w:rFonts w:ascii="Times New Roman" w:hAnsi="Times New Roman" w:cs="Times New Roman"/>
        </w:rPr>
        <w:t>q</w:t>
      </w:r>
      <w:r w:rsidR="001C6C07">
        <w:rPr>
          <w:rFonts w:ascii="Times New Roman" w:hAnsi="Times New Roman" w:cs="Times New Roman"/>
        </w:rPr>
        <w:t>ue</w:t>
      </w:r>
    </w:p>
    <w:p w14:paraId="6A7215E7" w14:textId="77777777" w:rsidR="003E3FB4" w:rsidRDefault="003E3FB4">
      <w:pPr>
        <w:tabs>
          <w:tab w:val="left" w:pos="199"/>
          <w:tab w:val="left" w:pos="3309"/>
        </w:tabs>
        <w:spacing w:line="240" w:lineRule="auto"/>
        <w:ind w:firstLine="567"/>
        <w:jc w:val="center"/>
        <w:rPr>
          <w:rFonts w:ascii="Times New Roman" w:hAnsi="Times New Roman" w:cs="Times New Roman"/>
          <w:b/>
          <w:bCs/>
        </w:rPr>
      </w:pPr>
    </w:p>
    <w:p w14:paraId="35BF1F94" w14:textId="77777777" w:rsidR="003E3FB4" w:rsidRDefault="00385ED0">
      <w:pPr>
        <w:spacing w:after="12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Ces résultats sont en accord partiel avec ceux de </w:t>
      </w:r>
      <w:r>
        <w:rPr>
          <w:rFonts w:ascii="Times New Roman" w:hAnsi="Times New Roman" w:cs="Times New Roman"/>
          <w:b/>
          <w:bCs/>
          <w:sz w:val="24"/>
          <w:szCs w:val="24"/>
        </w:rPr>
        <w:t xml:space="preserve">Maxwell et </w:t>
      </w:r>
      <w:r>
        <w:rPr>
          <w:rFonts w:ascii="Times New Roman" w:hAnsi="Times New Roman" w:cs="Times New Roman"/>
          <w:b/>
          <w:bCs/>
          <w:i/>
          <w:iCs/>
          <w:sz w:val="24"/>
          <w:szCs w:val="24"/>
        </w:rPr>
        <w:t>al.</w:t>
      </w:r>
      <w:r>
        <w:rPr>
          <w:rFonts w:ascii="Times New Roman" w:hAnsi="Times New Roman" w:cs="Times New Roman"/>
          <w:b/>
          <w:bCs/>
          <w:sz w:val="24"/>
          <w:szCs w:val="24"/>
        </w:rPr>
        <w:t>, (2023)</w:t>
      </w:r>
      <w:r>
        <w:rPr>
          <w:rFonts w:ascii="Times New Roman" w:hAnsi="Times New Roman" w:cs="Times New Roman"/>
          <w:sz w:val="24"/>
          <w:szCs w:val="24"/>
        </w:rPr>
        <w:t xml:space="preserve">, qui ont également observé une activité modérée, avec une zone d'inhibition légèrement plus élevée pour l'extrait éthanolique (11,67 ± 0,48 mm) par rapport à l'extrait aqueux par </w:t>
      </w:r>
      <w:r>
        <w:rPr>
          <w:rFonts w:ascii="Times New Roman" w:hAnsi="Times New Roman" w:cs="Times New Roman"/>
          <w:b/>
          <w:bCs/>
          <w:sz w:val="24"/>
          <w:szCs w:val="24"/>
        </w:rPr>
        <w:t>Kumari et al., (2016)</w:t>
      </w:r>
      <w:r>
        <w:rPr>
          <w:rFonts w:ascii="Times New Roman" w:hAnsi="Times New Roman" w:cs="Times New Roman"/>
          <w:sz w:val="24"/>
          <w:szCs w:val="24"/>
        </w:rPr>
        <w:t xml:space="preserve">, où l'effet de l'extrait éthanolique sur </w:t>
      </w:r>
      <w:r>
        <w:rPr>
          <w:rFonts w:ascii="Times New Roman" w:hAnsi="Times New Roman" w:cs="Times New Roman"/>
          <w:i/>
          <w:iCs/>
          <w:sz w:val="24"/>
          <w:szCs w:val="24"/>
        </w:rPr>
        <w:t>Candida albicans</w:t>
      </w:r>
      <w:r>
        <w:rPr>
          <w:rFonts w:ascii="Times New Roman" w:hAnsi="Times New Roman" w:cs="Times New Roman"/>
          <w:sz w:val="24"/>
          <w:szCs w:val="24"/>
        </w:rPr>
        <w:t xml:space="preserve"> était beaucoup plus faible, avec une zone d'inhibition d’environ 1,2 mm Cette divergence pourrait s'expliquer par des différences dans les méthodes d’extraction, les concentrations utilisées ou les souches microbiennes testées.</w:t>
      </w:r>
    </w:p>
    <w:p w14:paraId="002B3062" w14:textId="77777777" w:rsidR="003E3FB4" w:rsidRDefault="00385ED0">
      <w:pPr>
        <w:spacing w:after="120" w:line="360" w:lineRule="auto"/>
        <w:jc w:val="both"/>
        <w:rPr>
          <w:rFonts w:ascii="Times New Roman" w:hAnsi="Times New Roman" w:cs="Times New Roman"/>
          <w:b/>
          <w:bCs/>
          <w:sz w:val="24"/>
          <w:szCs w:val="24"/>
        </w:rPr>
      </w:pPr>
      <w:bookmarkStart w:id="38" w:name="_Hlk198142240"/>
      <w:r>
        <w:rPr>
          <w:rFonts w:ascii="Times New Roman" w:hAnsi="Times New Roman" w:cs="Times New Roman"/>
          <w:b/>
          <w:bCs/>
          <w:sz w:val="24"/>
          <w:szCs w:val="24"/>
        </w:rPr>
        <w:t xml:space="preserve">III.5.2.2. Effet des extraits des graines de fenugrec sur </w:t>
      </w:r>
      <w:r>
        <w:rPr>
          <w:rFonts w:ascii="Times New Roman" w:hAnsi="Times New Roman" w:cs="Times New Roman"/>
          <w:b/>
          <w:bCs/>
          <w:i/>
          <w:iCs/>
          <w:sz w:val="24"/>
          <w:szCs w:val="24"/>
        </w:rPr>
        <w:t>Aspergillus brasiliensis</w:t>
      </w:r>
    </w:p>
    <w:bookmarkEnd w:id="38"/>
    <w:p w14:paraId="13EBDB3F" w14:textId="77777777" w:rsidR="003E3FB4" w:rsidRDefault="00385ED0">
      <w:pPr>
        <w:tabs>
          <w:tab w:val="left" w:pos="199"/>
          <w:tab w:val="left" w:pos="3309"/>
        </w:tabs>
        <w:spacing w:line="360" w:lineRule="auto"/>
        <w:ind w:firstLine="567"/>
        <w:jc w:val="lowKashida"/>
        <w:rPr>
          <w:rFonts w:ascii="Times New Roman" w:hAnsi="Times New Roman" w:cs="Times New Roman"/>
          <w:sz w:val="24"/>
          <w:szCs w:val="24"/>
        </w:rPr>
      </w:pPr>
      <w:r>
        <w:rPr>
          <w:rFonts w:ascii="Times New Roman" w:hAnsi="Times New Roman" w:cs="Times New Roman"/>
          <w:sz w:val="24"/>
          <w:szCs w:val="24"/>
        </w:rPr>
        <w:t xml:space="preserve">L’évaluation de l’activité antifongique des extraits aqueux et éthanoliques des graines de fenugrec contre la souche </w:t>
      </w:r>
      <w:r>
        <w:rPr>
          <w:rFonts w:ascii="Times New Roman" w:hAnsi="Times New Roman" w:cs="Times New Roman"/>
          <w:i/>
          <w:iCs/>
          <w:sz w:val="24"/>
          <w:szCs w:val="24"/>
        </w:rPr>
        <w:t>Aspergillus brasiliensis</w:t>
      </w:r>
      <w:r>
        <w:rPr>
          <w:rFonts w:ascii="Times New Roman" w:hAnsi="Times New Roman" w:cs="Times New Roman"/>
          <w:sz w:val="24"/>
          <w:szCs w:val="24"/>
        </w:rPr>
        <w:t xml:space="preserve"> a été effectuée par la méthode de contact </w:t>
      </w:r>
      <w:r>
        <w:rPr>
          <w:rFonts w:ascii="Times New Roman" w:hAnsi="Times New Roman" w:cs="Times New Roman"/>
          <w:sz w:val="24"/>
          <w:szCs w:val="24"/>
        </w:rPr>
        <w:lastRenderedPageBreak/>
        <w:t xml:space="preserve">direct. Les résultats présentés dans la </w:t>
      </w:r>
      <w:r>
        <w:rPr>
          <w:rFonts w:ascii="Times New Roman" w:hAnsi="Times New Roman" w:cs="Times New Roman"/>
          <w:b/>
          <w:bCs/>
          <w:sz w:val="24"/>
          <w:szCs w:val="24"/>
        </w:rPr>
        <w:t>figure III.10</w:t>
      </w:r>
      <w:r>
        <w:rPr>
          <w:rFonts w:ascii="Times New Roman" w:hAnsi="Times New Roman" w:cs="Times New Roman"/>
          <w:sz w:val="24"/>
          <w:szCs w:val="24"/>
        </w:rPr>
        <w:t xml:space="preserve"> Indiquent que la croissance de la souche Aspergillus brasiliens est limitée par l’extrait aqueux et éthanolique des graines de fenugrec.</w:t>
      </w:r>
    </w:p>
    <w:p w14:paraId="5A46C9D7" w14:textId="77777777" w:rsidR="003E3FB4" w:rsidRDefault="00385ED0">
      <w:pPr>
        <w:tabs>
          <w:tab w:val="left" w:pos="199"/>
          <w:tab w:val="left" w:pos="3309"/>
        </w:tabs>
        <w:spacing w:line="360" w:lineRule="auto"/>
        <w:jc w:val="center"/>
        <w:rPr>
          <w:rFonts w:ascii="Times New Roman" w:hAnsi="Times New Roman" w:cs="Times New Roman"/>
          <w:b/>
          <w:bCs/>
          <w:sz w:val="24"/>
          <w:szCs w:val="24"/>
        </w:rPr>
      </w:pPr>
      <w:r>
        <w:rPr>
          <w:noProof/>
          <w:sz w:val="24"/>
          <w:szCs w:val="24"/>
          <w14:ligatures w14:val="none"/>
        </w:rPr>
        <w:drawing>
          <wp:inline distT="0" distB="0" distL="0" distR="0" wp14:anchorId="7C819AFC" wp14:editId="15795E72">
            <wp:extent cx="5529335" cy="1819275"/>
            <wp:effectExtent l="19050" t="19050" r="14605" b="9525"/>
            <wp:docPr id="111739457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7394573" name="Image 1"/>
                    <pic:cNvPicPr>
                      <a:picLocks noChangeAspect="1"/>
                    </pic:cNvPicPr>
                  </pic:nvPicPr>
                  <pic:blipFill>
                    <a:blip r:embed="rId58"/>
                    <a:stretch>
                      <a:fillRect/>
                    </a:stretch>
                  </pic:blipFill>
                  <pic:spPr>
                    <a:xfrm>
                      <a:off x="0" y="0"/>
                      <a:ext cx="5672113" cy="1866252"/>
                    </a:xfrm>
                    <a:prstGeom prst="rect">
                      <a:avLst/>
                    </a:prstGeom>
                    <a:ln w="9525">
                      <a:solidFill>
                        <a:schemeClr val="tx1"/>
                      </a:solidFill>
                    </a:ln>
                  </pic:spPr>
                </pic:pic>
              </a:graphicData>
            </a:graphic>
          </wp:inline>
        </w:drawing>
      </w:r>
    </w:p>
    <w:p w14:paraId="68BA3006" w14:textId="77777777" w:rsidR="003E3FB4" w:rsidRDefault="00385ED0">
      <w:pPr>
        <w:tabs>
          <w:tab w:val="left" w:pos="3309"/>
        </w:tabs>
        <w:spacing w:after="0" w:line="240" w:lineRule="auto"/>
        <w:jc w:val="center"/>
        <w:rPr>
          <w:rFonts w:ascii="Times New Roman" w:hAnsi="Times New Roman" w:cs="Times New Roman"/>
          <w:b/>
          <w:bCs/>
          <w:iCs/>
          <w:sz w:val="24"/>
          <w:szCs w:val="24"/>
        </w:rPr>
      </w:pPr>
      <w:r>
        <w:rPr>
          <w:rFonts w:ascii="Times New Roman" w:hAnsi="Times New Roman" w:cs="Times New Roman"/>
          <w:b/>
          <w:bCs/>
          <w:sz w:val="24"/>
          <w:szCs w:val="24"/>
        </w:rPr>
        <w:t>Figure III.10.</w:t>
      </w:r>
      <w:r>
        <w:rPr>
          <w:rFonts w:ascii="Times New Roman" w:hAnsi="Times New Roman" w:cs="Times New Roman"/>
          <w:sz w:val="24"/>
          <w:szCs w:val="24"/>
        </w:rPr>
        <w:t xml:space="preserve"> Effet des extraits des graines de </w:t>
      </w:r>
      <w:r>
        <w:rPr>
          <w:rFonts w:ascii="Times New Roman" w:hAnsi="Times New Roman" w:cs="Times New Roman"/>
          <w:i/>
          <w:iCs/>
          <w:sz w:val="24"/>
          <w:szCs w:val="24"/>
        </w:rPr>
        <w:t>fenugrec</w:t>
      </w:r>
      <w:r>
        <w:rPr>
          <w:rFonts w:ascii="Times New Roman" w:hAnsi="Times New Roman" w:cs="Times New Roman"/>
          <w:i/>
          <w:iCs/>
          <w:sz w:val="24"/>
          <w:szCs w:val="24"/>
          <w:rtl/>
        </w:rPr>
        <w:t xml:space="preserve"> </w:t>
      </w:r>
      <w:r>
        <w:rPr>
          <w:rFonts w:ascii="Times New Roman" w:hAnsi="Times New Roman" w:cs="Times New Roman"/>
          <w:sz w:val="24"/>
          <w:szCs w:val="24"/>
        </w:rPr>
        <w:t>sur la souche fongique</w:t>
      </w:r>
      <w:r>
        <w:rPr>
          <w:rFonts w:ascii="Times New Roman" w:hAnsi="Times New Roman" w:cs="Times New Roman"/>
          <w:sz w:val="24"/>
          <w:szCs w:val="24"/>
          <w:rtl/>
        </w:rPr>
        <w:t xml:space="preserve"> </w:t>
      </w:r>
      <w:r>
        <w:rPr>
          <w:rFonts w:ascii="Times New Roman" w:hAnsi="Times New Roman" w:cs="Times New Roman"/>
          <w:i/>
          <w:sz w:val="24"/>
          <w:szCs w:val="24"/>
        </w:rPr>
        <w:t xml:space="preserve">Aspergillus </w:t>
      </w:r>
      <w:r>
        <w:rPr>
          <w:rFonts w:ascii="Times New Roman" w:eastAsia="Calibri" w:hAnsi="Times New Roman" w:cs="Times New Roman"/>
          <w:i/>
          <w:iCs/>
          <w:sz w:val="24"/>
          <w:szCs w:val="24"/>
        </w:rPr>
        <w:t>brasiliensis</w:t>
      </w:r>
      <w:r>
        <w:rPr>
          <w:rFonts w:ascii="Times New Roman" w:eastAsia="Calibri" w:hAnsi="Times New Roman" w:cs="Times New Roman"/>
          <w:i/>
          <w:iCs/>
          <w:sz w:val="24"/>
          <w:szCs w:val="24"/>
          <w:rtl/>
        </w:rPr>
        <w:t xml:space="preserve"> </w:t>
      </w:r>
      <w:r>
        <w:rPr>
          <w:rFonts w:ascii="Times New Roman" w:hAnsi="Times New Roman" w:cs="Times New Roman"/>
          <w:b/>
          <w:bCs/>
          <w:iCs/>
          <w:sz w:val="24"/>
          <w:szCs w:val="24"/>
        </w:rPr>
        <w:t xml:space="preserve"> </w:t>
      </w:r>
    </w:p>
    <w:p w14:paraId="49D15050" w14:textId="77777777" w:rsidR="003E3FB4" w:rsidRDefault="00385ED0">
      <w:pPr>
        <w:tabs>
          <w:tab w:val="left" w:pos="3309"/>
        </w:tabs>
        <w:spacing w:after="0" w:line="240" w:lineRule="auto"/>
        <w:jc w:val="center"/>
        <w:rPr>
          <w:rFonts w:ascii="Times New Roman" w:hAnsi="Times New Roman" w:cs="Times New Roman"/>
          <w:iCs/>
          <w:sz w:val="24"/>
          <w:szCs w:val="24"/>
        </w:rPr>
      </w:pPr>
      <w:r>
        <w:rPr>
          <w:rFonts w:ascii="Times New Roman" w:hAnsi="Times New Roman" w:cs="Times New Roman"/>
          <w:iCs/>
          <w:sz w:val="24"/>
          <w:szCs w:val="24"/>
        </w:rPr>
        <w:t>A : Extrait éthanolique   B : Extrait aqueux    C : témoin</w:t>
      </w:r>
    </w:p>
    <w:p w14:paraId="7E02E9BF" w14:textId="77777777" w:rsidR="003E3FB4" w:rsidRDefault="003E3FB4">
      <w:pPr>
        <w:tabs>
          <w:tab w:val="left" w:pos="3309"/>
        </w:tabs>
        <w:spacing w:after="0" w:line="240" w:lineRule="auto"/>
        <w:jc w:val="center"/>
        <w:rPr>
          <w:rFonts w:ascii="Times New Roman" w:hAnsi="Times New Roman" w:cs="Times New Roman"/>
          <w:sz w:val="24"/>
          <w:szCs w:val="24"/>
        </w:rPr>
      </w:pPr>
    </w:p>
    <w:p w14:paraId="50CE38AD" w14:textId="77777777" w:rsidR="003E3FB4" w:rsidRDefault="00385ED0">
      <w:pPr>
        <w:pStyle w:val="Paragraphedeliste1"/>
        <w:spacing w:beforeAutospacing="0" w:after="0" w:afterAutospacing="0" w:line="360" w:lineRule="auto"/>
        <w:ind w:firstLine="567"/>
        <w:jc w:val="both"/>
        <w:rPr>
          <w:rFonts w:ascii="Times New Roman" w:hAnsi="Times New Roman" w:cs="Times New Roman"/>
        </w:rPr>
      </w:pPr>
      <w:r>
        <w:rPr>
          <w:rFonts w:ascii="Times New Roman" w:hAnsi="Times New Roman" w:cs="Times New Roman"/>
        </w:rPr>
        <w:t>Les résultats de l’analyse de la variance (ANOVA) ont mis en évidence une différence hautement significative entre les différents extraits testés (</w:t>
      </w:r>
      <w:r>
        <w:rPr>
          <w:rFonts w:ascii="Times New Roman" w:hAnsi="Times New Roman" w:cs="Times New Roman"/>
          <w:i/>
          <w:iCs/>
        </w:rPr>
        <w:t>p</w:t>
      </w:r>
      <w:r>
        <w:rPr>
          <w:rFonts w:ascii="Times New Roman" w:hAnsi="Times New Roman" w:cs="Times New Roman"/>
        </w:rPr>
        <w:t xml:space="preserve"> &lt; 0,004). </w:t>
      </w:r>
    </w:p>
    <w:p w14:paraId="12611B18" w14:textId="77777777" w:rsidR="003E3FB4" w:rsidRDefault="003E3FB4">
      <w:pPr>
        <w:pStyle w:val="Paragraphedeliste1"/>
        <w:spacing w:beforeAutospacing="0" w:after="0" w:afterAutospacing="0" w:line="360" w:lineRule="auto"/>
        <w:ind w:firstLine="567"/>
        <w:jc w:val="both"/>
        <w:rPr>
          <w:rFonts w:ascii="Times New Roman" w:hAnsi="Times New Roman" w:cs="Times New Roman"/>
        </w:rPr>
      </w:pPr>
    </w:p>
    <w:p w14:paraId="32591DD1" w14:textId="77777777" w:rsidR="003E3FB4" w:rsidRDefault="003E3FB4">
      <w:pPr>
        <w:pStyle w:val="Paragraphedeliste1"/>
        <w:spacing w:beforeAutospacing="0" w:after="0" w:afterAutospacing="0" w:line="360" w:lineRule="auto"/>
        <w:ind w:firstLine="567"/>
        <w:jc w:val="both"/>
        <w:rPr>
          <w:rFonts w:ascii="Times New Roman" w:hAnsi="Times New Roman" w:cs="Times New Roman"/>
        </w:rPr>
      </w:pPr>
    </w:p>
    <w:p w14:paraId="1FD9BA50" w14:textId="77777777" w:rsidR="003E3FB4" w:rsidRDefault="00385ED0">
      <w:pPr>
        <w:pStyle w:val="Paragraphedeliste1"/>
        <w:spacing w:beforeAutospacing="0" w:after="0" w:afterAutospacing="0" w:line="360" w:lineRule="auto"/>
        <w:jc w:val="center"/>
        <w:rPr>
          <w:rFonts w:ascii="Times New Roman" w:hAnsi="Times New Roman" w:cs="Times New Roman"/>
        </w:rPr>
      </w:pPr>
      <w:r>
        <w:rPr>
          <w:noProof/>
        </w:rPr>
        <mc:AlternateContent>
          <mc:Choice Requires="wps">
            <w:drawing>
              <wp:anchor distT="0" distB="0" distL="114300" distR="114300" simplePos="0" relativeHeight="251662336" behindDoc="0" locked="0" layoutInCell="1" allowOverlap="1" wp14:anchorId="5A5F8B53" wp14:editId="1E70C639">
                <wp:simplePos x="0" y="0"/>
                <wp:positionH relativeFrom="column">
                  <wp:posOffset>2457450</wp:posOffset>
                </wp:positionH>
                <wp:positionV relativeFrom="paragraph">
                  <wp:posOffset>132715</wp:posOffset>
                </wp:positionV>
                <wp:extent cx="175260" cy="235585"/>
                <wp:effectExtent l="0" t="0" r="0" b="0"/>
                <wp:wrapNone/>
                <wp:docPr id="72503954" name="Rectangle 1"/>
                <wp:cNvGraphicFramePr/>
                <a:graphic xmlns:a="http://schemas.openxmlformats.org/drawingml/2006/main">
                  <a:graphicData uri="http://schemas.microsoft.com/office/word/2010/wordprocessingShape">
                    <wps:wsp>
                      <wps:cNvSpPr/>
                      <wps:spPr>
                        <a:xfrm>
                          <a:off x="0" y="0"/>
                          <a:ext cx="175466" cy="235356"/>
                        </a:xfrm>
                        <a:prstGeom prst="rect">
                          <a:avLst/>
                        </a:prstGeom>
                      </wps:spPr>
                      <wps:txbx>
                        <w:txbxContent>
                          <w:p w14:paraId="6335CAF2" w14:textId="77777777" w:rsidR="003E3FB4" w:rsidRDefault="00385ED0">
                            <w:pPr>
                              <w:rPr>
                                <w:rFonts w:asciiTheme="majorBidi" w:hAnsiTheme="majorBidi" w:cstheme="majorBidi"/>
                                <w:b/>
                                <w:bCs/>
                                <w:kern w:val="24"/>
                                <w14:ligatures w14:val="none"/>
                              </w:rPr>
                            </w:pPr>
                            <w:proofErr w:type="gramStart"/>
                            <w:r>
                              <w:rPr>
                                <w:rFonts w:asciiTheme="majorBidi" w:hAnsiTheme="majorBidi" w:cstheme="majorBidi"/>
                                <w:b/>
                                <w:bCs/>
                                <w:kern w:val="24"/>
                              </w:rPr>
                              <w:t>a</w:t>
                            </w:r>
                            <w:proofErr w:type="gramEnd"/>
                          </w:p>
                        </w:txbxContent>
                      </wps:txbx>
                      <wps:bodyPr vert="horz" wrap="square" lIns="45720" tIns="45720" rIns="45720" bIns="45720" rtlCol="0" anchor="t" anchorCtr="0">
                        <a:normAutofit/>
                      </wps:bodyPr>
                    </wps:wsp>
                  </a:graphicData>
                </a:graphic>
              </wp:anchor>
            </w:drawing>
          </mc:Choice>
          <mc:Fallback>
            <w:pict>
              <v:rect w14:anchorId="5A5F8B53" id="Rectangle 1" o:spid="_x0000_s1031" style="position:absolute;left:0;text-align:left;margin-left:193.5pt;margin-top:10.45pt;width:13.8pt;height:18.55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d02jnwEAADUDAAAOAAAAZHJzL2Uyb0RvYy54bWysUttuGyEQfa+Uf0C812s7WSdaGUdVolaV&#10;qjZS0g/ALHiRFoYM2Lvu13fAjm21b1FehrnA4cyZWd6Prmc7jdGCF3w2mXKmvYLW+o3gv1++fr7j&#10;LCbpW9mD14LvdeT3q6tPyyE0eg4d9K1GRiA+NkMQvEspNFUVVaedjBMI2lPRADqZKMRN1aIcCN31&#10;1Xw6XVQDYBsQlI6Rso+HIl8VfGO0Sr+MiTqxXnDilorFYtfZVqulbDYoQ2fVkYZ8BwsnradPT1CP&#10;Mkm2RfsflLMKIYJJEwWuAmOs0qUH6mY2/aeb504GXXohcWI4yRQ/Dlb93D2HJyQZhhCbSG7uYjTo&#10;8kn82FjE2p/E0mNiipKz2/pmseBMUWl+XV/XiyxmdX4cMKZvGhzLjuBIsygSyd2PmA5X367Qu/P3&#10;2UvjemS2FbzOoDmzhnb/hHnVCKsD/MPZQGMTPL5uJWrO+u+edLmpb+d5zpcBXgbrywBT/wCHzZBe&#10;EargibOD+5DKmmQZPK3fl20CYwvvM50jb5pN6fy4R3n4l3G5dd721V8AAAD//wMAUEsDBBQABgAI&#10;AAAAIQBDnP9C3wAAAAkBAAAPAAAAZHJzL2Rvd25yZXYueG1sTI/BTsMwEETvSPyDtUjcqJ1SSgjZ&#10;VCgSB060BYF6c+MliYjXUewmga/HnOA4mtHMm3wz206MNPjWMUKyUCCIK2darhFeXx6vUhA+aDa6&#10;c0wIX+RhU5yf5TozbuIdjftQi1jCPtMITQh9JqWvGrLaL1xPHL0PN1gdohxqaQY9xXLbyaVSa2l1&#10;y3Gh0T2VDVWf+5NFqJ8Pb5OXoSzfv5PDduSKnrYe8fJifrgHEWgOf2H4xY/oUESmozux8aJDuE5v&#10;45eAsFR3IGJglazWII4IN6kCWeTy/4PiBwAA//8DAFBLAQItABQABgAIAAAAIQC2gziS/gAAAOEB&#10;AAATAAAAAAAAAAAAAAAAAAAAAABbQ29udGVudF9UeXBlc10ueG1sUEsBAi0AFAAGAAgAAAAhADj9&#10;If/WAAAAlAEAAAsAAAAAAAAAAAAAAAAALwEAAF9yZWxzLy5yZWxzUEsBAi0AFAAGAAgAAAAhAPx3&#10;TaOfAQAANQMAAA4AAAAAAAAAAAAAAAAALgIAAGRycy9lMm9Eb2MueG1sUEsBAi0AFAAGAAgAAAAh&#10;AEOc/0LfAAAACQEAAA8AAAAAAAAAAAAAAAAA+QMAAGRycy9kb3ducmV2LnhtbFBLBQYAAAAABAAE&#10;APMAAAAFBQAAAAA=&#10;" filled="f" stroked="f">
                <v:textbox inset="3.6pt,,3.6pt">
                  <w:txbxContent>
                    <w:p w14:paraId="6335CAF2" w14:textId="77777777" w:rsidR="003E3FB4" w:rsidRDefault="00385ED0">
                      <w:pPr>
                        <w:rPr>
                          <w:rFonts w:asciiTheme="majorBidi" w:hAnsiTheme="majorBidi" w:cstheme="majorBidi"/>
                          <w:b/>
                          <w:bCs/>
                          <w:kern w:val="24"/>
                          <w14:ligatures w14:val="none"/>
                        </w:rPr>
                      </w:pPr>
                      <w:proofErr w:type="gramStart"/>
                      <w:r>
                        <w:rPr>
                          <w:rFonts w:asciiTheme="majorBidi" w:hAnsiTheme="majorBidi" w:cstheme="majorBidi"/>
                          <w:b/>
                          <w:bCs/>
                          <w:kern w:val="24"/>
                        </w:rPr>
                        <w:t>a</w:t>
                      </w:r>
                      <w:proofErr w:type="gramEnd"/>
                    </w:p>
                  </w:txbxContent>
                </v:textbox>
              </v:rect>
            </w:pict>
          </mc:Fallback>
        </mc:AlternateContent>
      </w:r>
      <w:r>
        <w:rPr>
          <w:noProof/>
        </w:rPr>
        <mc:AlternateContent>
          <mc:Choice Requires="wps">
            <w:drawing>
              <wp:anchor distT="0" distB="0" distL="114300" distR="114300" simplePos="0" relativeHeight="251663360" behindDoc="0" locked="0" layoutInCell="1" allowOverlap="1" wp14:anchorId="67712EBA" wp14:editId="7C1A9458">
                <wp:simplePos x="0" y="0"/>
                <wp:positionH relativeFrom="column">
                  <wp:posOffset>3752850</wp:posOffset>
                </wp:positionH>
                <wp:positionV relativeFrom="paragraph">
                  <wp:posOffset>281940</wp:posOffset>
                </wp:positionV>
                <wp:extent cx="175260" cy="235585"/>
                <wp:effectExtent l="0" t="0" r="0" b="0"/>
                <wp:wrapNone/>
                <wp:docPr id="1218091528" name="Rectangle 1"/>
                <wp:cNvGraphicFramePr/>
                <a:graphic xmlns:a="http://schemas.openxmlformats.org/drawingml/2006/main">
                  <a:graphicData uri="http://schemas.microsoft.com/office/word/2010/wordprocessingShape">
                    <wps:wsp>
                      <wps:cNvSpPr/>
                      <wps:spPr>
                        <a:xfrm>
                          <a:off x="0" y="0"/>
                          <a:ext cx="175466" cy="235356"/>
                        </a:xfrm>
                        <a:prstGeom prst="rect">
                          <a:avLst/>
                        </a:prstGeom>
                      </wps:spPr>
                      <wps:txbx>
                        <w:txbxContent>
                          <w:p w14:paraId="17D23F1B" w14:textId="77777777" w:rsidR="003E3FB4" w:rsidRDefault="00385ED0">
                            <w:pPr>
                              <w:rPr>
                                <w:rFonts w:asciiTheme="majorBidi" w:hAnsiTheme="majorBidi" w:cstheme="majorBidi"/>
                                <w:b/>
                                <w:bCs/>
                                <w:kern w:val="24"/>
                                <w14:ligatures w14:val="none"/>
                              </w:rPr>
                            </w:pPr>
                            <w:proofErr w:type="gramStart"/>
                            <w:r>
                              <w:rPr>
                                <w:rFonts w:asciiTheme="majorBidi" w:hAnsiTheme="majorBidi" w:cstheme="majorBidi"/>
                                <w:b/>
                                <w:bCs/>
                                <w:kern w:val="24"/>
                              </w:rPr>
                              <w:t>b</w:t>
                            </w:r>
                            <w:proofErr w:type="gramEnd"/>
                          </w:p>
                        </w:txbxContent>
                      </wps:txbx>
                      <wps:bodyPr vert="horz" wrap="square" lIns="45720" tIns="45720" rIns="45720" bIns="45720" rtlCol="0" anchor="t" anchorCtr="0">
                        <a:normAutofit/>
                      </wps:bodyPr>
                    </wps:wsp>
                  </a:graphicData>
                </a:graphic>
              </wp:anchor>
            </w:drawing>
          </mc:Choice>
          <mc:Fallback>
            <w:pict>
              <v:rect w14:anchorId="67712EBA" id="_x0000_s1032" style="position:absolute;left:0;text-align:left;margin-left:295.5pt;margin-top:22.2pt;width:13.8pt;height:18.55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eQ02ngEAADUDAAAOAAAAZHJzL2Uyb0RvYy54bWysUttOGzEQfUfqP1h+J5sEEqpVHIRArSpV&#10;gET5AMdrZy2tPe7YyW769YydkETlDfEynot9fObMLG4H17GtxmjBCz4ZjTnTXkFj/Vrw1z8/Lr9z&#10;FpP0jezAa8F3OvLb5beLRR9qPYUWukYjIxAf6z4I3qYU6qqKqtVOxhEE7aloAJ1MFOK6alD2hO66&#10;ajoez6sesAkISsdI2Yd9kS8LvjFapSdjok6sE5y4pWKx2FW21XIh6zXK0Fp1oCE/wcJJ6+nTI9SD&#10;TJJt0H6AclYhRDBppMBVYIxVuvRA3UzG/3Xz0sqgSy8kTgxHmeLXwarH7Ut4RpKhD7GO5OYuBoMu&#10;n8SPDUWs3VEsPSSmKDm5mV3P55wpKk2vZlezeRazOj0OGNNPDY5lR3CkWRSJ5PZ3TPur71fo3en7&#10;7KVhNTDbCF5Ac2YFze4Z86oRVgv4j7OexiZ4/LuRqDnrfnnS5Xp2M81zPg/wPFidB5i6e9hvhvSK&#10;UAVPnO3d+1TWJMvgaf3uNgmMLbxPdA68aTal88Me5eGfx+XWaduXbwAAAP//AwBQSwMEFAAGAAgA&#10;AAAhACmYmtvfAAAACQEAAA8AAABkcnMvZG93bnJldi54bWxMj0FPg0AUhO8m/ofNM/FmFwwlSHk0&#10;hsSDJ2trNL1t2Vcgsm8JuwX017ue9DiZycw3xXYxvZhodJ1lhHgVgSCure64QXg7PN1lIJxXrFVv&#10;mRC+yMG2vL4qVK7tzK807X0jQgm7XCG03g+5lK5uySi3sgNx8M52NMoHOTZSj2oO5aaX91GUSqM6&#10;DgutGqhqqf7cXwxC83J8n530VfXxHR93E9f0vHOItzfL4waEp8X/heEXP6BDGZhO9sLaiR5h/RCH&#10;Lx4hSRIQIZDGWQrihJDFa5BlIf8/KH8AAAD//wMAUEsBAi0AFAAGAAgAAAAhALaDOJL+AAAA4QEA&#10;ABMAAAAAAAAAAAAAAAAAAAAAAFtDb250ZW50X1R5cGVzXS54bWxQSwECLQAUAAYACAAAACEAOP0h&#10;/9YAAACUAQAACwAAAAAAAAAAAAAAAAAvAQAAX3JlbHMvLnJlbHNQSwECLQAUAAYACAAAACEA4XkN&#10;Np4BAAA1AwAADgAAAAAAAAAAAAAAAAAuAgAAZHJzL2Uyb0RvYy54bWxQSwECLQAUAAYACAAAACEA&#10;KZia298AAAAJAQAADwAAAAAAAAAAAAAAAAD4AwAAZHJzL2Rvd25yZXYueG1sUEsFBgAAAAAEAAQA&#10;8wAAAAQFAAAAAA==&#10;" filled="f" stroked="f">
                <v:textbox inset="3.6pt,,3.6pt">
                  <w:txbxContent>
                    <w:p w14:paraId="17D23F1B" w14:textId="77777777" w:rsidR="003E3FB4" w:rsidRDefault="00385ED0">
                      <w:pPr>
                        <w:rPr>
                          <w:rFonts w:asciiTheme="majorBidi" w:hAnsiTheme="majorBidi" w:cstheme="majorBidi"/>
                          <w:b/>
                          <w:bCs/>
                          <w:kern w:val="24"/>
                          <w14:ligatures w14:val="none"/>
                        </w:rPr>
                      </w:pPr>
                      <w:proofErr w:type="gramStart"/>
                      <w:r>
                        <w:rPr>
                          <w:rFonts w:asciiTheme="majorBidi" w:hAnsiTheme="majorBidi" w:cstheme="majorBidi"/>
                          <w:b/>
                          <w:bCs/>
                          <w:kern w:val="24"/>
                        </w:rPr>
                        <w:t>b</w:t>
                      </w:r>
                      <w:proofErr w:type="gramEnd"/>
                    </w:p>
                  </w:txbxContent>
                </v:textbox>
              </v:rect>
            </w:pict>
          </mc:Fallback>
        </mc:AlternateContent>
      </w:r>
      <w:r>
        <w:rPr>
          <w:noProof/>
        </w:rPr>
        <w:drawing>
          <wp:inline distT="0" distB="0" distL="0" distR="0" wp14:anchorId="22BA0110" wp14:editId="54C7777C">
            <wp:extent cx="3467100" cy="2019300"/>
            <wp:effectExtent l="0" t="0" r="0" b="0"/>
            <wp:docPr id="1367492671"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14:paraId="7ECD4B4D" w14:textId="77777777" w:rsidR="003E3FB4" w:rsidRDefault="00385ED0">
      <w:pPr>
        <w:pStyle w:val="Paragraphedeliste1"/>
        <w:spacing w:after="120" w:afterAutospacing="0" w:line="360" w:lineRule="auto"/>
        <w:jc w:val="center"/>
        <w:rPr>
          <w:rFonts w:ascii="Times New Roman" w:hAnsi="Times New Roman" w:cs="Times New Roman"/>
          <w:i/>
          <w:iCs/>
        </w:rPr>
      </w:pPr>
      <w:r>
        <w:rPr>
          <w:rFonts w:ascii="Times New Roman" w:hAnsi="Times New Roman" w:cs="Times New Roman"/>
          <w:b/>
          <w:bCs/>
        </w:rPr>
        <w:t xml:space="preserve">Figure III.11. </w:t>
      </w:r>
      <w:r>
        <w:rPr>
          <w:rFonts w:ascii="Times New Roman" w:hAnsi="Times New Roman" w:cs="Times New Roman"/>
        </w:rPr>
        <w:t xml:space="preserve">Effet des extraits des graines de fenugrec sur </w:t>
      </w:r>
      <w:r>
        <w:rPr>
          <w:rFonts w:ascii="Times New Roman" w:hAnsi="Times New Roman" w:cs="Times New Roman"/>
          <w:i/>
          <w:iCs/>
        </w:rPr>
        <w:t>Aspergillus brasiliensis</w:t>
      </w:r>
    </w:p>
    <w:p w14:paraId="24CECAAD" w14:textId="77777777" w:rsidR="003E3FB4" w:rsidRDefault="00385ED0">
      <w:pPr>
        <w:pStyle w:val="Paragraphedeliste1"/>
        <w:spacing w:after="120" w:afterAutospacing="0" w:line="360" w:lineRule="auto"/>
        <w:ind w:firstLine="567"/>
        <w:jc w:val="both"/>
        <w:rPr>
          <w:rFonts w:ascii="Times New Roman" w:hAnsi="Times New Roman" w:cs="Times New Roman"/>
        </w:rPr>
      </w:pPr>
      <w:r>
        <w:rPr>
          <w:rFonts w:ascii="Times New Roman" w:hAnsi="Times New Roman" w:cs="Times New Roman"/>
        </w:rPr>
        <w:t>L’extrait aqueux a démontré une activité antifongique particulièrement marquée à l’encontre des souches d’</w:t>
      </w:r>
      <w:r w:rsidRPr="0033133B">
        <w:rPr>
          <w:rFonts w:ascii="Times New Roman" w:hAnsi="Times New Roman" w:cs="Times New Roman"/>
          <w:i/>
          <w:iCs/>
        </w:rPr>
        <w:t>Aspergillus brasiliensis</w:t>
      </w:r>
      <w:r>
        <w:rPr>
          <w:rFonts w:ascii="Times New Roman" w:hAnsi="Times New Roman" w:cs="Times New Roman"/>
        </w:rPr>
        <w:t xml:space="preserve">, avec un taux d’inhibition de 81,9 % (±1,87), supérieur à celui de l’extrait éthanolique, qui a enregistré un taux de 73 % (±0,68). Ces résultats indiquent que les extraits de graines de fenugrec peuvent être considérés comme très actifs </w:t>
      </w:r>
      <w:r>
        <w:rPr>
          <w:rFonts w:ascii="Times New Roman" w:hAnsi="Times New Roman" w:cs="Times New Roman"/>
          <w:b/>
          <w:bCs/>
        </w:rPr>
        <w:t>(Figure III.11).</w:t>
      </w:r>
    </w:p>
    <w:p w14:paraId="391D198E" w14:textId="77777777" w:rsidR="0033133B" w:rsidRDefault="00385ED0" w:rsidP="0033133B">
      <w:pPr>
        <w:pStyle w:val="Paragraphedeliste1"/>
        <w:spacing w:after="0" w:line="360" w:lineRule="auto"/>
        <w:jc w:val="both"/>
        <w:rPr>
          <w:rFonts w:ascii="Times New Roman" w:hAnsi="Times New Roman" w:cs="Times New Roman"/>
        </w:rPr>
      </w:pPr>
      <w:r>
        <w:rPr>
          <w:rFonts w:ascii="Times New Roman" w:hAnsi="Times New Roman" w:cs="Times New Roman"/>
        </w:rPr>
        <w:t xml:space="preserve">En comparaison, les travaux de </w:t>
      </w:r>
      <w:r>
        <w:rPr>
          <w:rFonts w:ascii="Times New Roman" w:hAnsi="Times New Roman" w:cs="Times New Roman"/>
          <w:b/>
          <w:bCs/>
        </w:rPr>
        <w:t xml:space="preserve">Elnour et </w:t>
      </w:r>
      <w:r>
        <w:rPr>
          <w:rFonts w:ascii="Times New Roman" w:hAnsi="Times New Roman" w:cs="Times New Roman"/>
          <w:b/>
          <w:bCs/>
          <w:i/>
          <w:iCs/>
        </w:rPr>
        <w:t>al.,</w:t>
      </w:r>
      <w:r>
        <w:rPr>
          <w:rFonts w:ascii="Times New Roman" w:hAnsi="Times New Roman" w:cs="Times New Roman"/>
          <w:b/>
          <w:bCs/>
        </w:rPr>
        <w:t xml:space="preserve"> (2015)</w:t>
      </w:r>
      <w:r>
        <w:rPr>
          <w:rFonts w:ascii="Times New Roman" w:hAnsi="Times New Roman" w:cs="Times New Roman"/>
        </w:rPr>
        <w:t xml:space="preserve"> ont montré une inhibition significative avec un extrait à l’éther de pétrole contre </w:t>
      </w:r>
      <w:r>
        <w:rPr>
          <w:rFonts w:ascii="Times New Roman" w:hAnsi="Times New Roman" w:cs="Times New Roman"/>
          <w:i/>
          <w:iCs/>
        </w:rPr>
        <w:t>Aspergillus niger</w:t>
      </w:r>
      <w:r>
        <w:rPr>
          <w:rFonts w:ascii="Times New Roman" w:hAnsi="Times New Roman" w:cs="Times New Roman"/>
        </w:rPr>
        <w:t xml:space="preserve">. Par ailleurs, </w:t>
      </w:r>
      <w:r>
        <w:rPr>
          <w:rFonts w:ascii="Times New Roman" w:hAnsi="Times New Roman" w:cs="Times New Roman"/>
          <w:b/>
          <w:bCs/>
        </w:rPr>
        <w:t>Kapoor, (2021)</w:t>
      </w:r>
      <w:r>
        <w:rPr>
          <w:rFonts w:ascii="Times New Roman" w:hAnsi="Times New Roman" w:cs="Times New Roman"/>
        </w:rPr>
        <w:t xml:space="preserve"> a observé une inhibition mycélienne atteignant jusqu’à 56 % pour </w:t>
      </w:r>
      <w:r>
        <w:rPr>
          <w:rFonts w:ascii="Times New Roman" w:hAnsi="Times New Roman" w:cs="Times New Roman"/>
          <w:i/>
          <w:iCs/>
        </w:rPr>
        <w:t>Aspergillus flavus</w:t>
      </w:r>
      <w:r>
        <w:rPr>
          <w:rFonts w:ascii="Times New Roman" w:hAnsi="Times New Roman" w:cs="Times New Roman"/>
        </w:rPr>
        <w:t xml:space="preserve"> avec l’extrait </w:t>
      </w:r>
      <w:r>
        <w:rPr>
          <w:rFonts w:ascii="Times New Roman" w:hAnsi="Times New Roman" w:cs="Times New Roman"/>
        </w:rPr>
        <w:lastRenderedPageBreak/>
        <w:t>de la variété PEB, ce qui reste inférieur aux valeurs enregistrées dans notre étude.</w:t>
      </w:r>
      <w:r w:rsidR="0033133B">
        <w:rPr>
          <w:rFonts w:ascii="Times New Roman" w:hAnsi="Times New Roman" w:cs="Times New Roman"/>
        </w:rPr>
        <w:t xml:space="preserve"> </w:t>
      </w:r>
      <w:r>
        <w:rPr>
          <w:rFonts w:ascii="Times New Roman" w:hAnsi="Times New Roman" w:cs="Times New Roman"/>
        </w:rPr>
        <w:t>De même,</w:t>
      </w:r>
      <w:r>
        <w:rPr>
          <w:rFonts w:ascii="Times New Roman" w:hAnsi="Times New Roman" w:cs="Times New Roman"/>
          <w:b/>
          <w:bCs/>
        </w:rPr>
        <w:t xml:space="preserve"> Faisal, (2022)</w:t>
      </w:r>
      <w:r>
        <w:rPr>
          <w:rFonts w:ascii="Times New Roman" w:hAnsi="Times New Roman" w:cs="Times New Roman"/>
        </w:rPr>
        <w:t xml:space="preserve"> a rapporté une activité notable de l’extrait méthanolique contre </w:t>
      </w:r>
      <w:r>
        <w:rPr>
          <w:rFonts w:ascii="Times New Roman" w:hAnsi="Times New Roman" w:cs="Times New Roman"/>
          <w:i/>
          <w:iCs/>
        </w:rPr>
        <w:t>A. flavus</w:t>
      </w:r>
      <w:r>
        <w:rPr>
          <w:rFonts w:ascii="Times New Roman" w:hAnsi="Times New Roman" w:cs="Times New Roman"/>
        </w:rPr>
        <w:t xml:space="preserve">, tandis que l’extrait aqueux n’a montré aucune efficacité, contrairement à nos résultats. </w:t>
      </w:r>
    </w:p>
    <w:p w14:paraId="7DCCDFE3" w14:textId="2C6A1D67" w:rsidR="003E3FB4" w:rsidRDefault="0033133B" w:rsidP="0033133B">
      <w:pPr>
        <w:pStyle w:val="Paragraphedeliste1"/>
        <w:spacing w:after="0" w:line="360" w:lineRule="auto"/>
        <w:ind w:firstLine="567"/>
        <w:jc w:val="both"/>
        <w:rPr>
          <w:rFonts w:ascii="Times New Roman" w:hAnsi="Times New Roman" w:cs="Times New Roman"/>
        </w:rPr>
      </w:pPr>
      <w:r>
        <w:rPr>
          <w:rFonts w:ascii="Times New Roman" w:hAnsi="Times New Roman" w:cs="Times New Roman"/>
        </w:rPr>
        <w:t xml:space="preserve">Les travaux de </w:t>
      </w:r>
      <w:r>
        <w:rPr>
          <w:rFonts w:ascii="Times New Roman" w:hAnsi="Times New Roman" w:cs="Times New Roman"/>
          <w:b/>
          <w:bCs/>
        </w:rPr>
        <w:t xml:space="preserve">Tarek et </w:t>
      </w:r>
      <w:r>
        <w:rPr>
          <w:rFonts w:ascii="Times New Roman" w:hAnsi="Times New Roman" w:cs="Times New Roman"/>
          <w:b/>
          <w:bCs/>
          <w:i/>
          <w:iCs/>
        </w:rPr>
        <w:t>al.</w:t>
      </w:r>
      <w:r>
        <w:rPr>
          <w:rFonts w:ascii="Times New Roman" w:hAnsi="Times New Roman" w:cs="Times New Roman"/>
          <w:b/>
          <w:bCs/>
        </w:rPr>
        <w:t>, (2013)</w:t>
      </w:r>
      <w:r>
        <w:rPr>
          <w:rFonts w:ascii="Times New Roman" w:hAnsi="Times New Roman" w:cs="Times New Roman"/>
        </w:rPr>
        <w:t xml:space="preserve"> confirment l’efficacité antifongique des extraits aqueux et éthanoliques de fenugrec contre </w:t>
      </w:r>
      <w:r>
        <w:rPr>
          <w:rFonts w:ascii="Times New Roman" w:hAnsi="Times New Roman" w:cs="Times New Roman"/>
          <w:i/>
          <w:iCs/>
        </w:rPr>
        <w:t>Aspergillus flavus</w:t>
      </w:r>
      <w:r>
        <w:rPr>
          <w:rFonts w:ascii="Times New Roman" w:hAnsi="Times New Roman" w:cs="Times New Roman"/>
        </w:rPr>
        <w:t xml:space="preserve"> (80,43 % et 81,6 % respectivement) et </w:t>
      </w:r>
      <w:r>
        <w:rPr>
          <w:rFonts w:ascii="Times New Roman" w:hAnsi="Times New Roman" w:cs="Times New Roman"/>
          <w:i/>
          <w:iCs/>
        </w:rPr>
        <w:t>Aspergillus parasiticus</w:t>
      </w:r>
      <w:r>
        <w:rPr>
          <w:rFonts w:ascii="Times New Roman" w:hAnsi="Times New Roman" w:cs="Times New Roman"/>
        </w:rPr>
        <w:t xml:space="preserve"> (84,36 % et 87,3 %), des valeurs très proches de celles que nous avons obtenues, renforçant ainsi la convergence des données du fenugrec comme un agent antifongique puissant.</w:t>
      </w:r>
    </w:p>
    <w:p w14:paraId="37B5FF6D" w14:textId="77777777" w:rsidR="003E3FB4" w:rsidRDefault="00385ED0">
      <w:pPr>
        <w:pStyle w:val="Paragraphedeliste1"/>
        <w:spacing w:after="0" w:line="360" w:lineRule="auto"/>
        <w:rPr>
          <w:rFonts w:ascii="Times New Roman" w:hAnsi="Times New Roman" w:cs="Times New Roman"/>
          <w:b/>
          <w:bCs/>
        </w:rPr>
      </w:pPr>
      <w:r>
        <w:rPr>
          <w:rFonts w:ascii="Times New Roman" w:hAnsi="Times New Roman" w:cs="Times New Roman"/>
          <w:b/>
          <w:bCs/>
        </w:rPr>
        <w:t xml:space="preserve">III.5.2.3. Effet des extraits des graines de fenugrec sur </w:t>
      </w:r>
      <w:bookmarkStart w:id="39" w:name="_Hlk198142883"/>
      <w:r>
        <w:rPr>
          <w:rFonts w:ascii="Times New Roman" w:hAnsi="Times New Roman" w:cs="Times New Roman"/>
          <w:b/>
          <w:bCs/>
          <w:i/>
          <w:iCs/>
        </w:rPr>
        <w:t>Botrytis cinerea</w:t>
      </w:r>
    </w:p>
    <w:bookmarkEnd w:id="39"/>
    <w:p w14:paraId="5C14CB18" w14:textId="77777777" w:rsidR="003E3FB4" w:rsidRDefault="00385ED0">
      <w:pPr>
        <w:pStyle w:val="Paragraphedeliste1"/>
        <w:spacing w:after="0" w:line="360" w:lineRule="auto"/>
        <w:ind w:firstLine="567"/>
        <w:jc w:val="both"/>
        <w:rPr>
          <w:rFonts w:ascii="Times New Roman" w:hAnsi="Times New Roman" w:cs="Times New Roman"/>
        </w:rPr>
      </w:pPr>
      <w:r>
        <w:rPr>
          <w:rFonts w:ascii="Times New Roman" w:hAnsi="Times New Roman" w:cs="Times New Roman"/>
        </w:rPr>
        <w:t xml:space="preserve">L’évaluation de l’activité antifongique des extraits aqueux et éthanoliques des graines de fenugrec contre la souche </w:t>
      </w:r>
      <w:r>
        <w:rPr>
          <w:rFonts w:ascii="Times New Roman" w:hAnsi="Times New Roman" w:cs="Times New Roman"/>
          <w:i/>
          <w:iCs/>
        </w:rPr>
        <w:t>Botrytis cinerea</w:t>
      </w:r>
      <w:r>
        <w:rPr>
          <w:rFonts w:ascii="Times New Roman" w:hAnsi="Times New Roman" w:cs="Times New Roman"/>
        </w:rPr>
        <w:t xml:space="preserve"> a été effectuée par la méthode de contact direct.</w:t>
      </w:r>
    </w:p>
    <w:p w14:paraId="24C03109" w14:textId="77777777" w:rsidR="003E3FB4" w:rsidRDefault="00385ED0">
      <w:pPr>
        <w:pStyle w:val="Paragraphedeliste1"/>
        <w:spacing w:beforeAutospacing="0" w:after="0" w:afterAutospacing="0" w:line="360" w:lineRule="auto"/>
        <w:ind w:firstLine="567"/>
        <w:jc w:val="both"/>
        <w:rPr>
          <w:rFonts w:ascii="Times New Roman" w:hAnsi="Times New Roman" w:cs="Times New Roman"/>
        </w:rPr>
      </w:pPr>
      <w:r>
        <w:rPr>
          <w:rFonts w:ascii="Times New Roman" w:hAnsi="Times New Roman" w:cs="Times New Roman"/>
        </w:rPr>
        <w:t xml:space="preserve">Les résultats présentés dans la figure </w:t>
      </w:r>
      <w:r>
        <w:rPr>
          <w:rFonts w:ascii="Times New Roman" w:hAnsi="Times New Roman" w:cs="Times New Roman"/>
          <w:b/>
          <w:bCs/>
        </w:rPr>
        <w:t>III.12</w:t>
      </w:r>
      <w:r>
        <w:rPr>
          <w:rFonts w:ascii="Times New Roman" w:hAnsi="Times New Roman" w:cs="Times New Roman"/>
        </w:rPr>
        <w:t xml:space="preserve"> Indiquent que la croissance de la souche Botrytis cinerea est limitée par l’extrait aqueux et éthanolique des graines de fenugrec.</w:t>
      </w:r>
    </w:p>
    <w:p w14:paraId="7C25ED86" w14:textId="77777777" w:rsidR="003E3FB4" w:rsidRDefault="00385ED0">
      <w:pPr>
        <w:pStyle w:val="Paragraphedeliste1"/>
        <w:spacing w:beforeAutospacing="0" w:after="0" w:afterAutospacing="0" w:line="360" w:lineRule="auto"/>
        <w:jc w:val="center"/>
        <w:rPr>
          <w:rFonts w:ascii="Times New Roman" w:hAnsi="Times New Roman" w:cs="Times New Roman"/>
        </w:rPr>
      </w:pPr>
      <w:r>
        <w:rPr>
          <w:noProof/>
        </w:rPr>
        <w:drawing>
          <wp:inline distT="0" distB="0" distL="0" distR="0" wp14:anchorId="033FC47D" wp14:editId="6E015306">
            <wp:extent cx="5703803" cy="2047875"/>
            <wp:effectExtent l="0" t="0" r="0" b="0"/>
            <wp:docPr id="1743847179"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3847179" name="Image 1"/>
                    <pic:cNvPicPr>
                      <a:picLocks noChangeAspect="1"/>
                    </pic:cNvPicPr>
                  </pic:nvPicPr>
                  <pic:blipFill>
                    <a:blip r:embed="rId60"/>
                    <a:stretch>
                      <a:fillRect/>
                    </a:stretch>
                  </pic:blipFill>
                  <pic:spPr>
                    <a:xfrm>
                      <a:off x="0" y="0"/>
                      <a:ext cx="5755736" cy="2066521"/>
                    </a:xfrm>
                    <a:prstGeom prst="rect">
                      <a:avLst/>
                    </a:prstGeom>
                  </pic:spPr>
                </pic:pic>
              </a:graphicData>
            </a:graphic>
          </wp:inline>
        </w:drawing>
      </w:r>
    </w:p>
    <w:p w14:paraId="561623EA" w14:textId="77777777" w:rsidR="003E3FB4" w:rsidRDefault="00385ED0">
      <w:pPr>
        <w:pStyle w:val="Paragraphedeliste1"/>
        <w:spacing w:after="0" w:line="240" w:lineRule="auto"/>
        <w:jc w:val="center"/>
        <w:rPr>
          <w:rFonts w:ascii="Times New Roman" w:hAnsi="Times New Roman" w:cs="Times New Roman"/>
          <w:i/>
          <w:iCs/>
        </w:rPr>
      </w:pPr>
      <w:r>
        <w:rPr>
          <w:rFonts w:ascii="Times New Roman" w:hAnsi="Times New Roman" w:cs="Times New Roman"/>
          <w:b/>
          <w:bCs/>
        </w:rPr>
        <w:t>Figure III.12.</w:t>
      </w:r>
      <w:r>
        <w:rPr>
          <w:rFonts w:ascii="Times New Roman" w:hAnsi="Times New Roman" w:cs="Times New Roman"/>
        </w:rPr>
        <w:t xml:space="preserve"> Effet des extraits des graines de fenugrec sur la souche fongique </w:t>
      </w:r>
      <w:r>
        <w:rPr>
          <w:rFonts w:ascii="Times New Roman" w:hAnsi="Times New Roman" w:cs="Times New Roman"/>
          <w:i/>
          <w:iCs/>
        </w:rPr>
        <w:t xml:space="preserve">Botrytis cinerea </w:t>
      </w:r>
    </w:p>
    <w:p w14:paraId="2A6CBA20" w14:textId="77777777" w:rsidR="003E3FB4" w:rsidRDefault="00385ED0">
      <w:pPr>
        <w:pStyle w:val="Paragraphedeliste1"/>
        <w:spacing w:after="0" w:line="240" w:lineRule="auto"/>
        <w:jc w:val="center"/>
        <w:rPr>
          <w:rFonts w:ascii="Times New Roman" w:hAnsi="Times New Roman" w:cs="Times New Roman"/>
        </w:rPr>
      </w:pPr>
      <w:r>
        <w:rPr>
          <w:rFonts w:ascii="Times New Roman" w:hAnsi="Times New Roman" w:cs="Times New Roman"/>
        </w:rPr>
        <w:t>A : Extrait éthanolique   B : Extrait aqueux   C : témoin</w:t>
      </w:r>
    </w:p>
    <w:p w14:paraId="282D299B" w14:textId="77777777" w:rsidR="003E3FB4" w:rsidRDefault="003E3FB4">
      <w:pPr>
        <w:pStyle w:val="Paragraphedeliste1"/>
        <w:spacing w:after="0" w:line="240" w:lineRule="auto"/>
        <w:jc w:val="center"/>
        <w:rPr>
          <w:rFonts w:ascii="Times New Roman" w:hAnsi="Times New Roman" w:cs="Times New Roman"/>
        </w:rPr>
      </w:pPr>
    </w:p>
    <w:p w14:paraId="67A1D9D3" w14:textId="77777777" w:rsidR="003E3FB4" w:rsidRDefault="00385ED0">
      <w:pPr>
        <w:pStyle w:val="Paragraphedeliste1"/>
        <w:spacing w:beforeAutospacing="0" w:after="0" w:afterAutospacing="0" w:line="360" w:lineRule="auto"/>
        <w:ind w:firstLine="567"/>
        <w:jc w:val="both"/>
        <w:rPr>
          <w:rFonts w:ascii="Times New Roman" w:hAnsi="Times New Roman" w:cs="Times New Roman"/>
        </w:rPr>
      </w:pPr>
      <w:r>
        <w:rPr>
          <w:rFonts w:ascii="Times New Roman" w:hAnsi="Times New Roman" w:cs="Times New Roman"/>
        </w:rPr>
        <w:t>Les résultats de l’analyse de la variance (ANOVA) ont mis en évidence une différence hautement significative entre les différents extraits testés (</w:t>
      </w:r>
      <w:r>
        <w:rPr>
          <w:rFonts w:ascii="Times New Roman" w:hAnsi="Times New Roman" w:cs="Times New Roman"/>
          <w:i/>
          <w:iCs/>
        </w:rPr>
        <w:t>p</w:t>
      </w:r>
      <w:r>
        <w:rPr>
          <w:rFonts w:ascii="Times New Roman" w:hAnsi="Times New Roman" w:cs="Times New Roman"/>
        </w:rPr>
        <w:t xml:space="preserve"> =0.1).  </w:t>
      </w:r>
    </w:p>
    <w:p w14:paraId="472E6E89" w14:textId="77777777" w:rsidR="003E3FB4" w:rsidRDefault="00385ED0">
      <w:pPr>
        <w:tabs>
          <w:tab w:val="left" w:pos="3309"/>
        </w:tabs>
        <w:spacing w:line="360" w:lineRule="auto"/>
        <w:jc w:val="both"/>
        <w:rPr>
          <w:rFonts w:ascii="Times New Roman" w:hAnsi="Times New Roman" w:cs="Times New Roman"/>
          <w:i/>
          <w:iCs/>
          <w:sz w:val="24"/>
          <w:szCs w:val="24"/>
        </w:rPr>
      </w:pPr>
      <w:r>
        <w:rPr>
          <w:rFonts w:ascii="Times New Roman" w:hAnsi="Times New Roman" w:cs="Times New Roman"/>
          <w:b/>
          <w:bCs/>
          <w:sz w:val="24"/>
          <w:szCs w:val="24"/>
        </w:rPr>
        <w:t>Tableau III.7.</w:t>
      </w:r>
      <w:r>
        <w:rPr>
          <w:rFonts w:ascii="Times New Roman" w:hAnsi="Times New Roman" w:cs="Times New Roman"/>
          <w:sz w:val="24"/>
          <w:szCs w:val="24"/>
        </w:rPr>
        <w:t xml:space="preserve"> Effet des extraits des graines de fenugrec sur la souche fongique </w:t>
      </w:r>
      <w:r>
        <w:rPr>
          <w:rFonts w:ascii="Times New Roman" w:hAnsi="Times New Roman" w:cs="Times New Roman"/>
          <w:i/>
          <w:iCs/>
          <w:sz w:val="24"/>
          <w:szCs w:val="24"/>
        </w:rPr>
        <w:t>Botrytis cinerea</w:t>
      </w:r>
    </w:p>
    <w:tbl>
      <w:tblPr>
        <w:tblStyle w:val="TableauGrille6Couleur-Accentuation31"/>
        <w:tblW w:w="0" w:type="auto"/>
        <w:jc w:val="center"/>
        <w:tblLook w:val="04A0" w:firstRow="1" w:lastRow="0" w:firstColumn="1" w:lastColumn="0" w:noHBand="0" w:noVBand="1"/>
      </w:tblPr>
      <w:tblGrid>
        <w:gridCol w:w="3157"/>
        <w:gridCol w:w="3306"/>
      </w:tblGrid>
      <w:tr w:rsidR="003E3FB4" w14:paraId="5BEF587B" w14:textId="77777777" w:rsidTr="003E3FB4">
        <w:trPr>
          <w:cnfStyle w:val="100000000000" w:firstRow="1" w:lastRow="0" w:firstColumn="0" w:lastColumn="0" w:oddVBand="0" w:evenVBand="0" w:oddHBand="0" w:evenHBand="0" w:firstRowFirstColumn="0" w:firstRowLastColumn="0" w:lastRowFirstColumn="0" w:lastRowLastColumn="0"/>
          <w:trHeight w:val="610"/>
          <w:jc w:val="center"/>
        </w:trPr>
        <w:tc>
          <w:tcPr>
            <w:cnfStyle w:val="001000000000" w:firstRow="0" w:lastRow="0" w:firstColumn="1" w:lastColumn="0" w:oddVBand="0" w:evenVBand="0" w:oddHBand="0" w:evenHBand="0" w:firstRowFirstColumn="0" w:firstRowLastColumn="0" w:lastRowFirstColumn="0" w:lastRowLastColumn="0"/>
            <w:tcW w:w="3157" w:type="dxa"/>
          </w:tcPr>
          <w:p w14:paraId="5B535369" w14:textId="77777777" w:rsidR="003E3FB4" w:rsidRDefault="00385ED0">
            <w:pPr>
              <w:tabs>
                <w:tab w:val="left" w:pos="3309"/>
              </w:tabs>
              <w:spacing w:after="0" w:line="240" w:lineRule="auto"/>
              <w:jc w:val="center"/>
              <w:rPr>
                <w:rFonts w:ascii="Times New Roman" w:hAnsi="Times New Roman" w:cs="Times New Roman"/>
                <w:color w:val="auto"/>
                <w:sz w:val="24"/>
                <w:szCs w:val="24"/>
              </w:rPr>
            </w:pPr>
            <w:bookmarkStart w:id="40" w:name="_Hlk199792984"/>
            <w:r>
              <w:rPr>
                <w:rFonts w:ascii="Times New Roman" w:hAnsi="Times New Roman" w:cs="Times New Roman"/>
                <w:color w:val="auto"/>
                <w:sz w:val="24"/>
                <w:szCs w:val="24"/>
              </w:rPr>
              <w:t>Extrait aqueux des graines de Fenugrec</w:t>
            </w:r>
          </w:p>
        </w:tc>
        <w:tc>
          <w:tcPr>
            <w:tcW w:w="3306" w:type="dxa"/>
          </w:tcPr>
          <w:p w14:paraId="26B3D496" w14:textId="77777777" w:rsidR="003E3FB4" w:rsidRDefault="00385ED0">
            <w:pPr>
              <w:tabs>
                <w:tab w:val="left" w:pos="3309"/>
              </w:tabs>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Extrait éthanolique des graines de Fenugrec</w:t>
            </w:r>
          </w:p>
        </w:tc>
      </w:tr>
      <w:tr w:rsidR="003E3FB4" w14:paraId="6F83FDAA" w14:textId="77777777" w:rsidTr="003E3FB4">
        <w:trPr>
          <w:trHeight w:val="401"/>
          <w:jc w:val="center"/>
        </w:trPr>
        <w:tc>
          <w:tcPr>
            <w:cnfStyle w:val="001000000000" w:firstRow="0" w:lastRow="0" w:firstColumn="1" w:lastColumn="0" w:oddVBand="0" w:evenVBand="0" w:oddHBand="0" w:evenHBand="0" w:firstRowFirstColumn="0" w:firstRowLastColumn="0" w:lastRowFirstColumn="0" w:lastRowLastColumn="0"/>
            <w:tcW w:w="3157" w:type="dxa"/>
            <w:shd w:val="clear" w:color="auto" w:fill="EDEDED" w:themeFill="accent3" w:themeFillTint="33"/>
          </w:tcPr>
          <w:p w14:paraId="0822464C" w14:textId="77777777" w:rsidR="003E3FB4" w:rsidRDefault="00385ED0">
            <w:pPr>
              <w:tabs>
                <w:tab w:val="left" w:pos="3309"/>
              </w:tabs>
              <w:spacing w:after="0" w:line="360" w:lineRule="auto"/>
              <w:jc w:val="center"/>
              <w:rPr>
                <w:rFonts w:ascii="Times New Roman" w:hAnsi="Times New Roman" w:cs="Times New Roman"/>
                <w:b w:val="0"/>
                <w:bCs w:val="0"/>
                <w:color w:val="auto"/>
                <w:sz w:val="24"/>
                <w:szCs w:val="24"/>
              </w:rPr>
            </w:pPr>
            <w:r>
              <w:rPr>
                <w:rFonts w:ascii="Times New Roman" w:hAnsi="Times New Roman" w:cs="Times New Roman"/>
                <w:b w:val="0"/>
                <w:bCs w:val="0"/>
                <w:color w:val="auto"/>
                <w:sz w:val="24"/>
                <w:szCs w:val="24"/>
              </w:rPr>
              <w:t>63,30±0,98</w:t>
            </w:r>
            <w:r>
              <w:rPr>
                <w:rFonts w:ascii="Times New Roman" w:hAnsi="Times New Roman" w:cs="Times New Roman"/>
                <w:color w:val="auto"/>
                <w:sz w:val="24"/>
                <w:szCs w:val="24"/>
              </w:rPr>
              <w:t xml:space="preserve"> a</w:t>
            </w:r>
          </w:p>
        </w:tc>
        <w:tc>
          <w:tcPr>
            <w:tcW w:w="3306" w:type="dxa"/>
            <w:shd w:val="clear" w:color="auto" w:fill="EDEDED" w:themeFill="accent3" w:themeFillTint="33"/>
          </w:tcPr>
          <w:p w14:paraId="25EF7C65" w14:textId="77777777" w:rsidR="003E3FB4" w:rsidRDefault="00385ED0">
            <w:pPr>
              <w:tabs>
                <w:tab w:val="left" w:pos="3309"/>
              </w:tabs>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 xml:space="preserve">66,66±1,03 </w:t>
            </w:r>
            <w:r>
              <w:rPr>
                <w:rFonts w:ascii="Times New Roman" w:hAnsi="Times New Roman" w:cs="Times New Roman"/>
                <w:b/>
                <w:bCs/>
                <w:color w:val="auto"/>
                <w:sz w:val="24"/>
                <w:szCs w:val="24"/>
              </w:rPr>
              <w:t>a</w:t>
            </w:r>
          </w:p>
        </w:tc>
      </w:tr>
      <w:bookmarkEnd w:id="40"/>
    </w:tbl>
    <w:p w14:paraId="35A74DD5" w14:textId="77777777" w:rsidR="003E3FB4" w:rsidRDefault="003E3FB4">
      <w:pPr>
        <w:tabs>
          <w:tab w:val="left" w:pos="3309"/>
        </w:tabs>
        <w:spacing w:line="360" w:lineRule="auto"/>
        <w:ind w:firstLine="567"/>
        <w:jc w:val="both"/>
        <w:rPr>
          <w:rFonts w:ascii="Times New Roman" w:hAnsi="Times New Roman" w:cs="Times New Roman"/>
          <w:sz w:val="24"/>
          <w:szCs w:val="24"/>
        </w:rPr>
      </w:pPr>
    </w:p>
    <w:p w14:paraId="6E61AD95" w14:textId="77777777" w:rsidR="003E3FB4" w:rsidRDefault="00385ED0">
      <w:pPr>
        <w:tabs>
          <w:tab w:val="left" w:pos="3309"/>
        </w:tabs>
        <w:spacing w:line="360" w:lineRule="auto"/>
        <w:ind w:firstLine="567"/>
        <w:jc w:val="both"/>
        <w:rPr>
          <w:rFonts w:ascii="Times New Roman" w:hAnsi="Times New Roman" w:cs="Times New Roman"/>
          <w:b/>
          <w:bCs/>
          <w:sz w:val="24"/>
          <w:szCs w:val="24"/>
        </w:rPr>
      </w:pPr>
      <w:r>
        <w:rPr>
          <w:rFonts w:ascii="Times New Roman" w:hAnsi="Times New Roman" w:cs="Times New Roman"/>
          <w:sz w:val="24"/>
          <w:szCs w:val="24"/>
        </w:rPr>
        <w:t xml:space="preserve">Les résultats du </w:t>
      </w:r>
      <w:r>
        <w:rPr>
          <w:rFonts w:ascii="Times New Roman" w:hAnsi="Times New Roman" w:cs="Times New Roman"/>
          <w:b/>
          <w:bCs/>
          <w:sz w:val="24"/>
          <w:szCs w:val="24"/>
        </w:rPr>
        <w:t>tableau III.7.</w:t>
      </w:r>
      <w:r>
        <w:rPr>
          <w:rFonts w:ascii="Times New Roman" w:hAnsi="Times New Roman" w:cs="Times New Roman"/>
          <w:sz w:val="24"/>
          <w:szCs w:val="24"/>
        </w:rPr>
        <w:t xml:space="preserve"> Montre que la croissance de </w:t>
      </w:r>
      <w:r>
        <w:rPr>
          <w:rFonts w:ascii="Times New Roman" w:hAnsi="Times New Roman" w:cs="Times New Roman"/>
          <w:i/>
          <w:iCs/>
          <w:sz w:val="24"/>
          <w:szCs w:val="24"/>
        </w:rPr>
        <w:t xml:space="preserve">Botrytis cinerea </w:t>
      </w:r>
      <w:r>
        <w:rPr>
          <w:rFonts w:ascii="Times New Roman" w:hAnsi="Times New Roman" w:cs="Times New Roman"/>
          <w:sz w:val="24"/>
          <w:szCs w:val="24"/>
        </w:rPr>
        <w:t xml:space="preserve">est limitée par l’extrait aqueux et éthanolique des graines de fenugrec. </w:t>
      </w:r>
      <w:bookmarkStart w:id="41" w:name="_Hlk196312962"/>
      <w:r>
        <w:rPr>
          <w:rFonts w:ascii="Times New Roman" w:hAnsi="Times New Roman" w:cs="Times New Roman"/>
          <w:sz w:val="24"/>
          <w:szCs w:val="24"/>
        </w:rPr>
        <w:t>En effet, la plante est active vis-à-</w:t>
      </w:r>
      <w:r>
        <w:rPr>
          <w:rFonts w:ascii="Times New Roman" w:hAnsi="Times New Roman" w:cs="Times New Roman"/>
          <w:sz w:val="24"/>
          <w:szCs w:val="24"/>
        </w:rPr>
        <w:lastRenderedPageBreak/>
        <w:t xml:space="preserve">vis de la souche fongique </w:t>
      </w:r>
      <w:bookmarkEnd w:id="41"/>
      <w:r>
        <w:rPr>
          <w:rFonts w:ascii="Times New Roman" w:hAnsi="Times New Roman" w:cs="Times New Roman"/>
          <w:sz w:val="24"/>
          <w:szCs w:val="24"/>
        </w:rPr>
        <w:t xml:space="preserve">et présente un taux d’inhibition de </w:t>
      </w:r>
      <w:r>
        <w:rPr>
          <w:rFonts w:ascii="Times New Roman" w:hAnsi="Times New Roman" w:cs="Times New Roman"/>
          <w:color w:val="000000" w:themeColor="text1"/>
          <w:sz w:val="24"/>
          <w:szCs w:val="24"/>
        </w:rPr>
        <w:t xml:space="preserve">63.3 % (± 0.98) et 66.66% (±1.03) respectivement. </w:t>
      </w:r>
    </w:p>
    <w:p w14:paraId="344D18BA" w14:textId="77777777" w:rsidR="003E3FB4" w:rsidRDefault="00385ED0">
      <w:pPr>
        <w:tabs>
          <w:tab w:val="left" w:pos="3309"/>
        </w:tabs>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Ces données sont globalement cohérentes avec celles rapportées par </w:t>
      </w:r>
      <w:r>
        <w:rPr>
          <w:rFonts w:ascii="Times New Roman" w:hAnsi="Times New Roman" w:cs="Times New Roman"/>
          <w:b/>
          <w:bCs/>
          <w:sz w:val="24"/>
          <w:szCs w:val="24"/>
        </w:rPr>
        <w:t xml:space="preserve">Haouala et </w:t>
      </w:r>
      <w:r>
        <w:rPr>
          <w:rFonts w:ascii="Times New Roman" w:hAnsi="Times New Roman" w:cs="Times New Roman"/>
          <w:b/>
          <w:bCs/>
          <w:i/>
          <w:iCs/>
          <w:sz w:val="24"/>
          <w:szCs w:val="24"/>
        </w:rPr>
        <w:t>al.,</w:t>
      </w:r>
      <w:r>
        <w:rPr>
          <w:rFonts w:ascii="Times New Roman" w:hAnsi="Times New Roman" w:cs="Times New Roman"/>
          <w:b/>
          <w:bCs/>
          <w:sz w:val="24"/>
          <w:szCs w:val="24"/>
        </w:rPr>
        <w:t xml:space="preserve"> (2008)</w:t>
      </w:r>
      <w:r>
        <w:rPr>
          <w:rFonts w:ascii="Times New Roman" w:hAnsi="Times New Roman" w:cs="Times New Roman"/>
          <w:sz w:val="24"/>
          <w:szCs w:val="24"/>
        </w:rPr>
        <w:t xml:space="preserve">, qui ont également observé un pouvoir inhibiteur significatif des extraits de fenugrec sur ce champignon. Dans leur étude, les extraits de feuilles et tiges (LS) ont montré une inhibition moyenne de 61,25 %, proche des nôtres. Ainsi, nos résultats confirment l’intérêt des extraits de fenugrec, en particulier ceux issus des graines, dans la lutte contre </w:t>
      </w:r>
      <w:r>
        <w:rPr>
          <w:rFonts w:ascii="Times New Roman" w:hAnsi="Times New Roman" w:cs="Times New Roman"/>
          <w:i/>
          <w:iCs/>
          <w:sz w:val="24"/>
          <w:szCs w:val="24"/>
        </w:rPr>
        <w:t>B. cinerea</w:t>
      </w:r>
      <w:r>
        <w:rPr>
          <w:rFonts w:ascii="Times New Roman" w:hAnsi="Times New Roman" w:cs="Times New Roman"/>
          <w:sz w:val="24"/>
          <w:szCs w:val="24"/>
        </w:rPr>
        <w:t>, tout en mettant en évidence des variations selon la nature de l’extrait et les conditions de préparation.</w:t>
      </w:r>
    </w:p>
    <w:p w14:paraId="0CBA6B1E" w14:textId="77777777" w:rsidR="003E3FB4" w:rsidRDefault="00385ED0">
      <w:pPr>
        <w:tabs>
          <w:tab w:val="left" w:pos="3309"/>
        </w:tabs>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En comparant nos résultats à ceux rapportés par </w:t>
      </w:r>
      <w:r>
        <w:rPr>
          <w:rFonts w:ascii="Times New Roman" w:hAnsi="Times New Roman" w:cs="Times New Roman"/>
          <w:b/>
          <w:bCs/>
          <w:sz w:val="24"/>
          <w:szCs w:val="24"/>
        </w:rPr>
        <w:t xml:space="preserve">Haouala et </w:t>
      </w:r>
      <w:r>
        <w:rPr>
          <w:rFonts w:ascii="Times New Roman" w:hAnsi="Times New Roman" w:cs="Times New Roman"/>
          <w:b/>
          <w:bCs/>
          <w:i/>
          <w:iCs/>
          <w:sz w:val="24"/>
          <w:szCs w:val="24"/>
        </w:rPr>
        <w:t>al</w:t>
      </w:r>
      <w:r>
        <w:rPr>
          <w:rFonts w:ascii="Times New Roman" w:hAnsi="Times New Roman" w:cs="Times New Roman"/>
          <w:b/>
          <w:bCs/>
          <w:sz w:val="24"/>
          <w:szCs w:val="24"/>
        </w:rPr>
        <w:t>., (2008)</w:t>
      </w:r>
      <w:r>
        <w:rPr>
          <w:rFonts w:ascii="Times New Roman" w:hAnsi="Times New Roman" w:cs="Times New Roman"/>
          <w:sz w:val="24"/>
          <w:szCs w:val="24"/>
        </w:rPr>
        <w:t xml:space="preserve">, qui ont observé un taux d’inhibition de 58,56 % en utilisant un extrait aqueux des graines de fenugrec contre </w:t>
      </w:r>
      <w:r>
        <w:rPr>
          <w:rFonts w:ascii="Times New Roman" w:hAnsi="Times New Roman" w:cs="Times New Roman"/>
          <w:i/>
          <w:iCs/>
          <w:sz w:val="24"/>
          <w:szCs w:val="24"/>
        </w:rPr>
        <w:t>Botrytis cinerea</w:t>
      </w:r>
      <w:r>
        <w:rPr>
          <w:rFonts w:ascii="Times New Roman" w:hAnsi="Times New Roman" w:cs="Times New Roman"/>
          <w:sz w:val="24"/>
          <w:szCs w:val="24"/>
        </w:rPr>
        <w:t>, on constate que l’activité de l’extrait aqueux dans notre étude est plus élevée, atteignant 63,3 % (±0,98). Cette variation dans les résultats met en évidence l’influence des conditions expérimentales et du type de souche fongique sur l’efficacité des extraits végétaux.</w:t>
      </w:r>
    </w:p>
    <w:p w14:paraId="752E5E7F" w14:textId="77777777" w:rsidR="003E3FB4" w:rsidRDefault="00385ED0">
      <w:pPr>
        <w:pStyle w:val="Paragraphedeliste1"/>
        <w:spacing w:after="0" w:line="360" w:lineRule="auto"/>
        <w:rPr>
          <w:rFonts w:ascii="Times New Roman" w:hAnsi="Times New Roman" w:cs="Times New Roman"/>
          <w:b/>
          <w:bCs/>
        </w:rPr>
      </w:pPr>
      <w:r>
        <w:rPr>
          <w:rFonts w:ascii="Times New Roman" w:hAnsi="Times New Roman" w:cs="Times New Roman"/>
          <w:b/>
          <w:bCs/>
        </w:rPr>
        <w:t xml:space="preserve">III.5.2.4. Effet des extraits des graines de fenugrec sur </w:t>
      </w:r>
      <w:r>
        <w:rPr>
          <w:rFonts w:ascii="Times New Roman" w:hAnsi="Times New Roman" w:cs="Times New Roman"/>
          <w:b/>
          <w:bCs/>
          <w:i/>
          <w:iCs/>
        </w:rPr>
        <w:t>Colletotrichum sp.</w:t>
      </w:r>
    </w:p>
    <w:p w14:paraId="0EEC299F" w14:textId="6BA9B625" w:rsidR="003E3FB4" w:rsidRDefault="00385ED0">
      <w:pPr>
        <w:pStyle w:val="Paragraphedeliste1"/>
        <w:spacing w:after="0" w:line="360" w:lineRule="auto"/>
        <w:ind w:firstLine="567"/>
        <w:jc w:val="both"/>
        <w:rPr>
          <w:rFonts w:ascii="Times New Roman" w:hAnsi="Times New Roman" w:cs="Times New Roman"/>
        </w:rPr>
      </w:pPr>
      <w:r>
        <w:rPr>
          <w:rFonts w:ascii="Times New Roman" w:hAnsi="Times New Roman" w:cs="Times New Roman"/>
        </w:rPr>
        <w:t xml:space="preserve">L’évaluation de l’activité antifongique des extraits aqueux et éthanoliques des graines de fenugrec contre la souche </w:t>
      </w:r>
      <w:r>
        <w:rPr>
          <w:rFonts w:ascii="Times New Roman" w:hAnsi="Times New Roman" w:cs="Times New Roman"/>
          <w:i/>
          <w:iCs/>
        </w:rPr>
        <w:t>Colletotric</w:t>
      </w:r>
      <w:r w:rsidR="0033133B">
        <w:rPr>
          <w:rFonts w:ascii="Times New Roman" w:hAnsi="Times New Roman" w:cs="Times New Roman"/>
          <w:i/>
          <w:iCs/>
        </w:rPr>
        <w:t>h</w:t>
      </w:r>
      <w:r>
        <w:rPr>
          <w:rFonts w:ascii="Times New Roman" w:hAnsi="Times New Roman" w:cs="Times New Roman"/>
          <w:i/>
          <w:iCs/>
        </w:rPr>
        <w:t>um sp</w:t>
      </w:r>
      <w:r>
        <w:rPr>
          <w:rFonts w:ascii="Times New Roman" w:hAnsi="Times New Roman" w:cs="Times New Roman"/>
        </w:rPr>
        <w:t>. A été effectuée par la méthode de contact direct.</w:t>
      </w:r>
    </w:p>
    <w:p w14:paraId="1505796E" w14:textId="68BD9A5B" w:rsidR="003E3FB4" w:rsidRDefault="00385ED0">
      <w:pPr>
        <w:pStyle w:val="Paragraphedeliste1"/>
        <w:spacing w:beforeAutospacing="0" w:after="0" w:afterAutospacing="0" w:line="360" w:lineRule="auto"/>
        <w:ind w:firstLine="567"/>
        <w:jc w:val="both"/>
        <w:rPr>
          <w:rFonts w:ascii="Times New Roman" w:hAnsi="Times New Roman" w:cs="Times New Roman"/>
        </w:rPr>
      </w:pPr>
      <w:r>
        <w:rPr>
          <w:rFonts w:ascii="Times New Roman" w:hAnsi="Times New Roman" w:cs="Times New Roman"/>
        </w:rPr>
        <w:t xml:space="preserve">Les résultats présentés dans la </w:t>
      </w:r>
      <w:r>
        <w:rPr>
          <w:rFonts w:ascii="Times New Roman" w:hAnsi="Times New Roman" w:cs="Times New Roman"/>
          <w:b/>
          <w:bCs/>
        </w:rPr>
        <w:t>figure III.13</w:t>
      </w:r>
      <w:r>
        <w:rPr>
          <w:rFonts w:ascii="Times New Roman" w:hAnsi="Times New Roman" w:cs="Times New Roman"/>
        </w:rPr>
        <w:t xml:space="preserve"> Indiquent que la croissance de la souche </w:t>
      </w:r>
      <w:r>
        <w:rPr>
          <w:rFonts w:ascii="Times New Roman" w:hAnsi="Times New Roman" w:cs="Times New Roman"/>
          <w:i/>
          <w:iCs/>
        </w:rPr>
        <w:t>Colletotric</w:t>
      </w:r>
      <w:r w:rsidR="0033133B">
        <w:rPr>
          <w:rFonts w:ascii="Times New Roman" w:hAnsi="Times New Roman" w:cs="Times New Roman"/>
          <w:i/>
          <w:iCs/>
        </w:rPr>
        <w:t>h</w:t>
      </w:r>
      <w:r>
        <w:rPr>
          <w:rFonts w:ascii="Times New Roman" w:hAnsi="Times New Roman" w:cs="Times New Roman"/>
          <w:i/>
          <w:iCs/>
        </w:rPr>
        <w:t>um sp</w:t>
      </w:r>
      <w:r>
        <w:rPr>
          <w:rFonts w:ascii="Times New Roman" w:hAnsi="Times New Roman" w:cs="Times New Roman"/>
        </w:rPr>
        <w:t>. Est limitée par l’extrait aqueux et éthanolique des graines de fenugrec.</w:t>
      </w:r>
    </w:p>
    <w:p w14:paraId="0E101B13" w14:textId="77777777" w:rsidR="003E3FB4" w:rsidRDefault="003E3FB4">
      <w:pPr>
        <w:pStyle w:val="Paragraphedeliste1"/>
        <w:spacing w:beforeAutospacing="0" w:after="0" w:afterAutospacing="0" w:line="360" w:lineRule="auto"/>
        <w:jc w:val="both"/>
        <w:rPr>
          <w:rFonts w:ascii="Times New Roman" w:hAnsi="Times New Roman" w:cs="Times New Roman"/>
        </w:rPr>
      </w:pPr>
    </w:p>
    <w:p w14:paraId="1AEB5E87" w14:textId="77777777" w:rsidR="003E3FB4" w:rsidRDefault="00385ED0">
      <w:pPr>
        <w:pStyle w:val="Paragraphedeliste1"/>
        <w:spacing w:beforeAutospacing="0" w:after="0" w:afterAutospacing="0" w:line="360" w:lineRule="auto"/>
        <w:jc w:val="center"/>
        <w:rPr>
          <w:rFonts w:ascii="Times New Roman" w:hAnsi="Times New Roman" w:cs="Times New Roman"/>
        </w:rPr>
      </w:pPr>
      <w:r>
        <w:rPr>
          <w:noProof/>
        </w:rPr>
        <w:drawing>
          <wp:inline distT="0" distB="0" distL="0" distR="0" wp14:anchorId="7E3F5E4A" wp14:editId="24E16EA4">
            <wp:extent cx="5454015" cy="2038350"/>
            <wp:effectExtent l="0" t="0" r="0" b="0"/>
            <wp:docPr id="170889748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8897481" name="Image 1"/>
                    <pic:cNvPicPr>
                      <a:picLocks noChangeAspect="1"/>
                    </pic:cNvPicPr>
                  </pic:nvPicPr>
                  <pic:blipFill>
                    <a:blip r:embed="rId61"/>
                    <a:stretch>
                      <a:fillRect/>
                    </a:stretch>
                  </pic:blipFill>
                  <pic:spPr>
                    <a:xfrm>
                      <a:off x="0" y="0"/>
                      <a:ext cx="5544034" cy="2071993"/>
                    </a:xfrm>
                    <a:prstGeom prst="rect">
                      <a:avLst/>
                    </a:prstGeom>
                  </pic:spPr>
                </pic:pic>
              </a:graphicData>
            </a:graphic>
          </wp:inline>
        </w:drawing>
      </w:r>
    </w:p>
    <w:p w14:paraId="5296247A" w14:textId="77777777" w:rsidR="003E3FB4" w:rsidRDefault="00385ED0">
      <w:pPr>
        <w:pStyle w:val="Paragraphedeliste1"/>
        <w:spacing w:after="0" w:line="240" w:lineRule="auto"/>
        <w:jc w:val="center"/>
        <w:rPr>
          <w:rFonts w:ascii="Times New Roman" w:hAnsi="Times New Roman" w:cs="Times New Roman"/>
          <w:i/>
          <w:iCs/>
        </w:rPr>
      </w:pPr>
      <w:r>
        <w:rPr>
          <w:rFonts w:ascii="Times New Roman" w:hAnsi="Times New Roman" w:cs="Times New Roman"/>
          <w:b/>
          <w:bCs/>
        </w:rPr>
        <w:t>Figure III.13.</w:t>
      </w:r>
      <w:r>
        <w:rPr>
          <w:rFonts w:ascii="Times New Roman" w:hAnsi="Times New Roman" w:cs="Times New Roman"/>
        </w:rPr>
        <w:t xml:space="preserve"> Effet des extraits des graines de fenugrec sur la souche fongique </w:t>
      </w:r>
      <w:r>
        <w:rPr>
          <w:rFonts w:ascii="Times New Roman" w:hAnsi="Times New Roman" w:cs="Times New Roman"/>
          <w:i/>
          <w:iCs/>
        </w:rPr>
        <w:t>Colletotrichum sp</w:t>
      </w:r>
    </w:p>
    <w:p w14:paraId="65024871" w14:textId="77777777" w:rsidR="003E3FB4" w:rsidRDefault="00385ED0">
      <w:pPr>
        <w:pStyle w:val="Paragraphedeliste1"/>
        <w:spacing w:beforeAutospacing="0" w:after="0" w:afterAutospacing="0" w:line="240" w:lineRule="auto"/>
        <w:jc w:val="center"/>
        <w:rPr>
          <w:rFonts w:ascii="Times New Roman" w:hAnsi="Times New Roman" w:cs="Times New Roman"/>
        </w:rPr>
      </w:pPr>
      <w:r>
        <w:rPr>
          <w:rFonts w:ascii="Times New Roman" w:hAnsi="Times New Roman" w:cs="Times New Roman"/>
        </w:rPr>
        <w:t>A : Extrait éthanolique   B : Extrait aqueux   C : témoin</w:t>
      </w:r>
    </w:p>
    <w:p w14:paraId="23A1F503" w14:textId="77777777" w:rsidR="003E3FB4" w:rsidRDefault="003E3FB4">
      <w:pPr>
        <w:pStyle w:val="Paragraphedeliste1"/>
        <w:spacing w:beforeAutospacing="0" w:after="0" w:afterAutospacing="0" w:line="240" w:lineRule="auto"/>
        <w:jc w:val="center"/>
        <w:rPr>
          <w:rFonts w:ascii="Times New Roman" w:hAnsi="Times New Roman" w:cs="Times New Roman"/>
        </w:rPr>
      </w:pPr>
    </w:p>
    <w:p w14:paraId="17414564" w14:textId="77777777" w:rsidR="003E3FB4" w:rsidRDefault="00385ED0">
      <w:pPr>
        <w:pStyle w:val="Paragraphedeliste1"/>
        <w:spacing w:beforeAutospacing="0" w:after="120" w:afterAutospacing="0" w:line="360" w:lineRule="auto"/>
        <w:ind w:firstLine="567"/>
        <w:jc w:val="both"/>
        <w:rPr>
          <w:rFonts w:ascii="Times New Roman" w:hAnsi="Times New Roman" w:cs="Times New Roman"/>
        </w:rPr>
      </w:pPr>
      <w:r>
        <w:rPr>
          <w:rFonts w:ascii="Times New Roman" w:hAnsi="Times New Roman" w:cs="Times New Roman"/>
        </w:rPr>
        <w:t xml:space="preserve">Les résultats de l’analyse de la variance (ANOVA) ont mis en évidence une différence hautement significative entre les différents extraits testés (p &lt; 0.02).  </w:t>
      </w:r>
    </w:p>
    <w:p w14:paraId="3E0FC3E0" w14:textId="77777777" w:rsidR="003E3FB4" w:rsidRDefault="00385ED0">
      <w:pPr>
        <w:pStyle w:val="Paragraphedeliste1"/>
        <w:spacing w:beforeAutospacing="0" w:after="0" w:afterAutospacing="0" w:line="240" w:lineRule="auto"/>
        <w:jc w:val="both"/>
        <w:rPr>
          <w:rFonts w:ascii="Times New Roman" w:hAnsi="Times New Roman" w:cs="Times New Roman"/>
          <w:i/>
          <w:iCs/>
        </w:rPr>
      </w:pPr>
      <w:r>
        <w:rPr>
          <w:rFonts w:ascii="Times New Roman" w:hAnsi="Times New Roman" w:cs="Times New Roman"/>
          <w:b/>
          <w:bCs/>
        </w:rPr>
        <w:lastRenderedPageBreak/>
        <w:t>Tableau III.8.</w:t>
      </w:r>
      <w:r>
        <w:t xml:space="preserve"> </w:t>
      </w:r>
      <w:r>
        <w:rPr>
          <w:rFonts w:ascii="Times New Roman" w:hAnsi="Times New Roman" w:cs="Times New Roman"/>
        </w:rPr>
        <w:t xml:space="preserve">Pourcentage d’inhibition des extraits des graines de fenugrec contre la souche fongique </w:t>
      </w:r>
      <w:r>
        <w:rPr>
          <w:rFonts w:ascii="Times New Roman" w:hAnsi="Times New Roman" w:cs="Times New Roman"/>
          <w:i/>
          <w:iCs/>
        </w:rPr>
        <w:t>Colletotricum sp</w:t>
      </w:r>
    </w:p>
    <w:p w14:paraId="7DDA4B34" w14:textId="77777777" w:rsidR="003E3FB4" w:rsidRDefault="003E3FB4">
      <w:pPr>
        <w:pStyle w:val="Paragraphedeliste1"/>
        <w:spacing w:beforeAutospacing="0" w:after="0" w:afterAutospacing="0" w:line="240" w:lineRule="auto"/>
        <w:jc w:val="center"/>
        <w:rPr>
          <w:rFonts w:ascii="Times New Roman" w:hAnsi="Times New Roman" w:cs="Times New Roman"/>
          <w:i/>
          <w:iCs/>
        </w:rPr>
      </w:pPr>
    </w:p>
    <w:tbl>
      <w:tblPr>
        <w:tblStyle w:val="TableauGrille6Couleur-Accentuation31"/>
        <w:tblW w:w="0" w:type="auto"/>
        <w:jc w:val="center"/>
        <w:tblLook w:val="04A0" w:firstRow="1" w:lastRow="0" w:firstColumn="1" w:lastColumn="0" w:noHBand="0" w:noVBand="1"/>
      </w:tblPr>
      <w:tblGrid>
        <w:gridCol w:w="2972"/>
        <w:gridCol w:w="3686"/>
      </w:tblGrid>
      <w:tr w:rsidR="003E3FB4" w14:paraId="024BD6C0" w14:textId="77777777" w:rsidTr="003E3FB4">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972" w:type="dxa"/>
          </w:tcPr>
          <w:p w14:paraId="3A83FA22" w14:textId="77777777" w:rsidR="003E3FB4" w:rsidRDefault="00385ED0">
            <w:pPr>
              <w:pStyle w:val="Paragraphedeliste1"/>
              <w:spacing w:before="0" w:beforeAutospacing="0" w:after="0" w:afterAutospacing="0" w:line="240" w:lineRule="auto"/>
              <w:jc w:val="center"/>
              <w:rPr>
                <w:rFonts w:ascii="Times New Roman" w:hAnsi="Times New Roman" w:cs="Times New Roman"/>
                <w:color w:val="auto"/>
              </w:rPr>
            </w:pPr>
            <w:r>
              <w:rPr>
                <w:rFonts w:ascii="Times New Roman" w:hAnsi="Times New Roman" w:cs="Times New Roman"/>
                <w:color w:val="auto"/>
              </w:rPr>
              <w:t>Extrait aqueux des graines de Fenugrec</w:t>
            </w:r>
          </w:p>
        </w:tc>
        <w:tc>
          <w:tcPr>
            <w:tcW w:w="3686" w:type="dxa"/>
          </w:tcPr>
          <w:p w14:paraId="741FC816" w14:textId="77777777" w:rsidR="003E3FB4" w:rsidRDefault="00385ED0">
            <w:pPr>
              <w:pStyle w:val="Paragraphedeliste1"/>
              <w:spacing w:before="0" w:beforeAutospacing="0" w:after="0" w:afterAutospacing="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rPr>
            </w:pPr>
            <w:r>
              <w:rPr>
                <w:rFonts w:ascii="Times New Roman" w:hAnsi="Times New Roman" w:cs="Times New Roman"/>
                <w:color w:val="auto"/>
              </w:rPr>
              <w:t>Extrait éthanolique des graines de Fenugrec</w:t>
            </w:r>
          </w:p>
        </w:tc>
      </w:tr>
      <w:tr w:rsidR="003E3FB4" w14:paraId="3BF74235" w14:textId="77777777" w:rsidTr="003E3FB4">
        <w:trPr>
          <w:jc w:val="center"/>
        </w:trPr>
        <w:tc>
          <w:tcPr>
            <w:cnfStyle w:val="001000000000" w:firstRow="0" w:lastRow="0" w:firstColumn="1" w:lastColumn="0" w:oddVBand="0" w:evenVBand="0" w:oddHBand="0" w:evenHBand="0" w:firstRowFirstColumn="0" w:firstRowLastColumn="0" w:lastRowFirstColumn="0" w:lastRowLastColumn="0"/>
            <w:tcW w:w="2972" w:type="dxa"/>
            <w:shd w:val="clear" w:color="auto" w:fill="EDEDED" w:themeFill="accent3" w:themeFillTint="33"/>
          </w:tcPr>
          <w:p w14:paraId="327A46D0" w14:textId="77777777" w:rsidR="003E3FB4" w:rsidRDefault="00385ED0">
            <w:pPr>
              <w:pStyle w:val="Paragraphedeliste1"/>
              <w:spacing w:before="0" w:beforeAutospacing="0" w:after="0" w:afterAutospacing="0" w:line="240" w:lineRule="auto"/>
              <w:jc w:val="center"/>
              <w:rPr>
                <w:rFonts w:ascii="Times New Roman" w:hAnsi="Times New Roman" w:cs="Times New Roman"/>
                <w:b w:val="0"/>
                <w:bCs w:val="0"/>
                <w:color w:val="auto"/>
              </w:rPr>
            </w:pPr>
            <w:r>
              <w:rPr>
                <w:rFonts w:ascii="Times New Roman" w:hAnsi="Times New Roman" w:cs="Times New Roman"/>
                <w:b w:val="0"/>
                <w:bCs w:val="0"/>
                <w:color w:val="auto"/>
              </w:rPr>
              <w:t xml:space="preserve">68.75±0.42 </w:t>
            </w:r>
            <w:r>
              <w:rPr>
                <w:rFonts w:ascii="Times New Roman" w:hAnsi="Times New Roman" w:cs="Times New Roman"/>
                <w:color w:val="auto"/>
              </w:rPr>
              <w:t>b</w:t>
            </w:r>
          </w:p>
          <w:p w14:paraId="17FB62D9" w14:textId="77777777" w:rsidR="003E3FB4" w:rsidRDefault="003E3FB4">
            <w:pPr>
              <w:pStyle w:val="Paragraphedeliste1"/>
              <w:spacing w:before="0" w:beforeAutospacing="0" w:after="0" w:afterAutospacing="0" w:line="240" w:lineRule="auto"/>
              <w:rPr>
                <w:rFonts w:ascii="Times New Roman" w:hAnsi="Times New Roman" w:cs="Times New Roman"/>
                <w:color w:val="auto"/>
              </w:rPr>
            </w:pPr>
          </w:p>
        </w:tc>
        <w:tc>
          <w:tcPr>
            <w:tcW w:w="3686" w:type="dxa"/>
            <w:shd w:val="clear" w:color="auto" w:fill="EDEDED" w:themeFill="accent3" w:themeFillTint="33"/>
          </w:tcPr>
          <w:p w14:paraId="220BDBAD" w14:textId="77777777" w:rsidR="003E3FB4" w:rsidRDefault="00385ED0">
            <w:pPr>
              <w:pStyle w:val="Paragraphedeliste1"/>
              <w:spacing w:before="0" w:beforeAutospacing="0" w:after="0" w:afterAutospacing="0" w:line="24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rPr>
            </w:pPr>
            <w:r>
              <w:rPr>
                <w:rFonts w:ascii="Times New Roman" w:hAnsi="Times New Roman" w:cs="Times New Roman"/>
                <w:color w:val="auto"/>
              </w:rPr>
              <w:t>71.25±0.85</w:t>
            </w:r>
            <w:r>
              <w:rPr>
                <w:rFonts w:ascii="Times New Roman" w:hAnsi="Times New Roman" w:cs="Times New Roman"/>
                <w:b/>
                <w:bCs/>
                <w:color w:val="auto"/>
              </w:rPr>
              <w:t xml:space="preserve"> a</w:t>
            </w:r>
          </w:p>
        </w:tc>
      </w:tr>
    </w:tbl>
    <w:p w14:paraId="17B3B43D" w14:textId="77777777" w:rsidR="003E3FB4" w:rsidRDefault="003E3FB4">
      <w:pPr>
        <w:pStyle w:val="Paragraphedeliste1"/>
        <w:spacing w:beforeAutospacing="0" w:after="0" w:afterAutospacing="0" w:line="240" w:lineRule="auto"/>
        <w:jc w:val="center"/>
        <w:rPr>
          <w:rFonts w:ascii="Times New Roman" w:hAnsi="Times New Roman" w:cs="Times New Roman"/>
        </w:rPr>
      </w:pPr>
    </w:p>
    <w:p w14:paraId="6416387D" w14:textId="77777777" w:rsidR="003E3FB4" w:rsidRDefault="00385ED0">
      <w:pPr>
        <w:pStyle w:val="Paragraphedeliste1"/>
        <w:spacing w:before="0" w:beforeAutospacing="0" w:after="0" w:afterAutospacing="0" w:line="360" w:lineRule="auto"/>
        <w:ind w:firstLine="567"/>
        <w:jc w:val="both"/>
        <w:rPr>
          <w:rFonts w:ascii="Times New Roman" w:hAnsi="Times New Roman" w:cs="Times New Roman"/>
        </w:rPr>
      </w:pPr>
      <w:r>
        <w:rPr>
          <w:rFonts w:ascii="Times New Roman" w:hAnsi="Times New Roman" w:cs="Times New Roman"/>
        </w:rPr>
        <w:t xml:space="preserve">Les résultats représentés dans le </w:t>
      </w:r>
      <w:r>
        <w:rPr>
          <w:rFonts w:ascii="Times New Roman" w:hAnsi="Times New Roman" w:cs="Times New Roman"/>
          <w:b/>
          <w:bCs/>
        </w:rPr>
        <w:t>tableau III.8.</w:t>
      </w:r>
      <w:r>
        <w:rPr>
          <w:rFonts w:ascii="Times New Roman" w:hAnsi="Times New Roman" w:cs="Times New Roman"/>
        </w:rPr>
        <w:t xml:space="preserve"> Montre que le taux d’inhibition de l’extrait éthanolique 71.25% (±0.85) est plus élevé de celle de l’extrait aqueux 68.75% (±0.42) appliquée sur </w:t>
      </w:r>
      <w:r>
        <w:rPr>
          <w:rFonts w:ascii="Times New Roman" w:hAnsi="Times New Roman" w:cs="Times New Roman"/>
          <w:i/>
          <w:iCs/>
        </w:rPr>
        <w:t>Colletotrichum sp</w:t>
      </w:r>
      <w:r>
        <w:rPr>
          <w:rFonts w:ascii="Times New Roman" w:hAnsi="Times New Roman" w:cs="Times New Roman"/>
        </w:rPr>
        <w:t>. En effet, les deux extraits des graines de la plante sont actifs vis-à-vis de la souche fongique.</w:t>
      </w:r>
    </w:p>
    <w:p w14:paraId="4381F352" w14:textId="77777777" w:rsidR="003E3FB4" w:rsidRDefault="00385ED0">
      <w:pPr>
        <w:spacing w:line="360" w:lineRule="auto"/>
        <w:ind w:firstLine="567"/>
        <w:jc w:val="both"/>
        <w:rPr>
          <w:rFonts w:ascii="Times New Roman" w:eastAsia="Times New Roman" w:hAnsi="Times New Roman" w:cs="Times New Roman"/>
          <w:kern w:val="0"/>
          <w:sz w:val="24"/>
          <w:szCs w:val="24"/>
          <w:lang w:eastAsia="fr-FR"/>
          <w14:ligatures w14:val="none"/>
        </w:rPr>
      </w:pPr>
      <w:r>
        <w:rPr>
          <w:rFonts w:ascii="Times New Roman" w:eastAsia="Times New Roman" w:hAnsi="Times New Roman" w:cs="Times New Roman"/>
          <w:kern w:val="0"/>
          <w:sz w:val="24"/>
          <w:szCs w:val="24"/>
          <w:lang w:eastAsia="fr-FR"/>
          <w14:ligatures w14:val="none"/>
        </w:rPr>
        <w:t>Jusqu’à présent, aucune étude scientifique n’a mis en évidence l’activité antifongique des extraits aqueux et éthanoliques des graines de fenugrec (</w:t>
      </w:r>
      <w:r>
        <w:rPr>
          <w:rFonts w:ascii="Times New Roman" w:eastAsia="Times New Roman" w:hAnsi="Times New Roman" w:cs="Times New Roman"/>
          <w:i/>
          <w:iCs/>
          <w:kern w:val="0"/>
          <w:sz w:val="24"/>
          <w:szCs w:val="24"/>
          <w:lang w:eastAsia="fr-FR"/>
          <w14:ligatures w14:val="none"/>
        </w:rPr>
        <w:t>Trigonella foenum-graecum</w:t>
      </w:r>
      <w:r>
        <w:rPr>
          <w:rFonts w:ascii="Times New Roman" w:eastAsia="Times New Roman" w:hAnsi="Times New Roman" w:cs="Times New Roman"/>
          <w:kern w:val="0"/>
          <w:sz w:val="24"/>
          <w:szCs w:val="24"/>
          <w:lang w:eastAsia="fr-FR"/>
          <w14:ligatures w14:val="none"/>
        </w:rPr>
        <w:t xml:space="preserve">) à l’encontre des champignons phytopathogènes </w:t>
      </w:r>
      <w:r>
        <w:rPr>
          <w:rFonts w:ascii="Times New Roman" w:eastAsia="Times New Roman" w:hAnsi="Times New Roman" w:cs="Times New Roman"/>
          <w:i/>
          <w:iCs/>
          <w:kern w:val="0"/>
          <w:sz w:val="24"/>
          <w:szCs w:val="24"/>
          <w:lang w:eastAsia="fr-FR"/>
          <w14:ligatures w14:val="none"/>
        </w:rPr>
        <w:t>Colletotrichum sp.</w:t>
      </w:r>
    </w:p>
    <w:p w14:paraId="6B605772" w14:textId="77777777" w:rsidR="003E3FB4" w:rsidRDefault="00385ED0">
      <w:pPr>
        <w:pStyle w:val="Paragraphedeliste1"/>
        <w:spacing w:beforeAutospacing="0" w:after="0" w:afterAutospacing="0" w:line="360" w:lineRule="auto"/>
        <w:ind w:firstLine="567"/>
        <w:jc w:val="both"/>
        <w:rPr>
          <w:rFonts w:ascii="Times New Roman" w:hAnsi="Times New Roman" w:cs="Times New Roman"/>
        </w:rPr>
      </w:pPr>
      <w:r>
        <w:rPr>
          <w:rFonts w:ascii="Times New Roman" w:hAnsi="Times New Roman" w:cs="Times New Roman"/>
        </w:rPr>
        <w:t xml:space="preserve">Par ailleurs, les résultats obtenus dans le cadre de la présente étude présentent des valeurs d’inhibition supérieures à celles rapportées par </w:t>
      </w:r>
      <w:r>
        <w:rPr>
          <w:rFonts w:ascii="Times New Roman" w:hAnsi="Times New Roman" w:cs="Times New Roman"/>
          <w:b/>
          <w:bCs/>
        </w:rPr>
        <w:t>Humaira Rizwana., (2018)</w:t>
      </w:r>
      <w:r>
        <w:rPr>
          <w:rFonts w:ascii="Times New Roman" w:hAnsi="Times New Roman" w:cs="Times New Roman"/>
        </w:rPr>
        <w:t xml:space="preserve">, qui a observé un taux d’inhibition de 61 % (±0,64) contre </w:t>
      </w:r>
      <w:r>
        <w:rPr>
          <w:rFonts w:ascii="Times New Roman" w:hAnsi="Times New Roman" w:cs="Times New Roman"/>
          <w:i/>
          <w:iCs/>
        </w:rPr>
        <w:t>Colletotrichum musae</w:t>
      </w:r>
      <w:r>
        <w:rPr>
          <w:rFonts w:ascii="Times New Roman" w:hAnsi="Times New Roman" w:cs="Times New Roman"/>
        </w:rPr>
        <w:t xml:space="preserve"> en utilisant l’huile essentielle de fenugrec. Cette différence pourrait s’expliquer par plusieurs facteurs, notamment la nature de l’extrait utilisé (huile essentielle vs extraits aqueux et éthanoliques), la concentration des composés actifs, ou encore la variabilité entre les souches fongiques (</w:t>
      </w:r>
      <w:r>
        <w:rPr>
          <w:rFonts w:ascii="Times New Roman" w:hAnsi="Times New Roman" w:cs="Times New Roman"/>
          <w:i/>
          <w:iCs/>
        </w:rPr>
        <w:t>Colletotrichum sp.</w:t>
      </w:r>
      <w:r>
        <w:rPr>
          <w:rFonts w:ascii="Times New Roman" w:hAnsi="Times New Roman" w:cs="Times New Roman"/>
        </w:rPr>
        <w:t xml:space="preserve"> Vs </w:t>
      </w:r>
      <w:r>
        <w:rPr>
          <w:rFonts w:ascii="Times New Roman" w:hAnsi="Times New Roman" w:cs="Times New Roman"/>
          <w:i/>
          <w:iCs/>
        </w:rPr>
        <w:t>Colletotrichum musae</w:t>
      </w:r>
      <w:r>
        <w:rPr>
          <w:rFonts w:ascii="Times New Roman" w:hAnsi="Times New Roman" w:cs="Times New Roman"/>
        </w:rPr>
        <w:t>). Il est possible que les extraits aqueux et éthanoliques concentrent certains composés bioactifs plus efficaces contre la souche testée dans notre étude. De plus, la méthode d’extraction et les conditions expérimentales peuvent aussi influencer l’efficacité antifongique observée.</w:t>
      </w:r>
    </w:p>
    <w:p w14:paraId="6A079544" w14:textId="77777777" w:rsidR="003E3FB4" w:rsidRDefault="003E3FB4">
      <w:pPr>
        <w:pStyle w:val="Paragraphedeliste1"/>
        <w:spacing w:beforeAutospacing="0" w:after="0" w:afterAutospacing="0" w:line="240" w:lineRule="auto"/>
        <w:jc w:val="center"/>
        <w:rPr>
          <w:rFonts w:ascii="Times New Roman" w:hAnsi="Times New Roman" w:cs="Times New Roman"/>
        </w:rPr>
      </w:pPr>
    </w:p>
    <w:p w14:paraId="3FF63E6D" w14:textId="77777777" w:rsidR="003E3FB4" w:rsidRDefault="00385ED0">
      <w:pPr>
        <w:tabs>
          <w:tab w:val="left" w:pos="3309"/>
        </w:tabs>
        <w:spacing w:line="360" w:lineRule="auto"/>
        <w:rPr>
          <w:rFonts w:asciiTheme="majorBidi" w:hAnsiTheme="majorBidi" w:cstheme="majorBidi"/>
          <w:b/>
          <w:bCs/>
          <w:sz w:val="24"/>
          <w:szCs w:val="24"/>
        </w:rPr>
      </w:pPr>
      <w:r>
        <w:rPr>
          <w:rFonts w:asciiTheme="majorBidi" w:hAnsiTheme="majorBidi" w:cstheme="majorBidi"/>
          <w:b/>
          <w:bCs/>
          <w:sz w:val="24"/>
          <w:szCs w:val="24"/>
        </w:rPr>
        <w:t xml:space="preserve">III.5.2.5. Effet des extraits des graines de fenugrec sur </w:t>
      </w:r>
      <w:r>
        <w:rPr>
          <w:rFonts w:asciiTheme="majorBidi" w:hAnsiTheme="majorBidi" w:cstheme="majorBidi"/>
          <w:b/>
          <w:bCs/>
          <w:i/>
          <w:iCs/>
          <w:sz w:val="24"/>
          <w:szCs w:val="24"/>
        </w:rPr>
        <w:t>Monilinia sp.</w:t>
      </w:r>
    </w:p>
    <w:p w14:paraId="64C5A493" w14:textId="4ABFE0A4" w:rsidR="003E3FB4" w:rsidRDefault="00385ED0">
      <w:pPr>
        <w:tabs>
          <w:tab w:val="left" w:pos="3309"/>
        </w:tabs>
        <w:spacing w:line="360" w:lineRule="auto"/>
        <w:ind w:firstLine="567"/>
        <w:jc w:val="both"/>
        <w:rPr>
          <w:rFonts w:asciiTheme="majorBidi" w:hAnsiTheme="majorBidi" w:cstheme="majorBidi"/>
          <w:sz w:val="24"/>
          <w:szCs w:val="24"/>
        </w:rPr>
      </w:pPr>
      <w:r>
        <w:rPr>
          <w:rFonts w:asciiTheme="majorBidi" w:hAnsiTheme="majorBidi" w:cstheme="majorBidi"/>
          <w:sz w:val="24"/>
          <w:szCs w:val="24"/>
        </w:rPr>
        <w:t xml:space="preserve">L’évaluation de l’activité antifongique des extraits aqueux et éthanoliques des graines de fenugrec contre la souche </w:t>
      </w:r>
      <w:r>
        <w:rPr>
          <w:rFonts w:asciiTheme="majorBidi" w:hAnsiTheme="majorBidi" w:cstheme="majorBidi"/>
          <w:i/>
          <w:iCs/>
          <w:sz w:val="24"/>
          <w:szCs w:val="24"/>
        </w:rPr>
        <w:t>Monili</w:t>
      </w:r>
      <w:r w:rsidR="0033133B">
        <w:rPr>
          <w:rFonts w:asciiTheme="majorBidi" w:hAnsiTheme="majorBidi" w:cstheme="majorBidi"/>
          <w:i/>
          <w:iCs/>
          <w:sz w:val="24"/>
          <w:szCs w:val="24"/>
        </w:rPr>
        <w:t>ni</w:t>
      </w:r>
      <w:r>
        <w:rPr>
          <w:rFonts w:asciiTheme="majorBidi" w:hAnsiTheme="majorBidi" w:cstheme="majorBidi"/>
          <w:i/>
          <w:iCs/>
          <w:sz w:val="24"/>
          <w:szCs w:val="24"/>
        </w:rPr>
        <w:t>a sp</w:t>
      </w:r>
      <w:r>
        <w:rPr>
          <w:rFonts w:asciiTheme="majorBidi" w:hAnsiTheme="majorBidi" w:cstheme="majorBidi"/>
          <w:sz w:val="24"/>
          <w:szCs w:val="24"/>
        </w:rPr>
        <w:t>., a été effectuée par la méthode de contact direct.</w:t>
      </w:r>
    </w:p>
    <w:p w14:paraId="0D479876" w14:textId="7F744D55" w:rsidR="003E3FB4" w:rsidRDefault="00385ED0">
      <w:pPr>
        <w:tabs>
          <w:tab w:val="left" w:pos="3309"/>
        </w:tabs>
        <w:spacing w:line="360" w:lineRule="auto"/>
        <w:jc w:val="both"/>
        <w:rPr>
          <w:rFonts w:asciiTheme="majorBidi" w:hAnsiTheme="majorBidi" w:cstheme="majorBidi"/>
          <w:sz w:val="24"/>
          <w:szCs w:val="24"/>
        </w:rPr>
      </w:pPr>
      <w:r>
        <w:rPr>
          <w:rFonts w:asciiTheme="majorBidi" w:hAnsiTheme="majorBidi" w:cstheme="majorBidi"/>
          <w:sz w:val="24"/>
          <w:szCs w:val="24"/>
        </w:rPr>
        <w:t xml:space="preserve">          Les résultats présentés dans la </w:t>
      </w:r>
      <w:r>
        <w:rPr>
          <w:rFonts w:asciiTheme="majorBidi" w:hAnsiTheme="majorBidi" w:cstheme="majorBidi"/>
          <w:b/>
          <w:bCs/>
          <w:sz w:val="24"/>
          <w:szCs w:val="24"/>
        </w:rPr>
        <w:t>figure III.14</w:t>
      </w:r>
      <w:r>
        <w:rPr>
          <w:rFonts w:asciiTheme="majorBidi" w:hAnsiTheme="majorBidi" w:cstheme="majorBidi"/>
          <w:sz w:val="24"/>
          <w:szCs w:val="24"/>
        </w:rPr>
        <w:t xml:space="preserve"> Indiquent que la croissance de la souche </w:t>
      </w:r>
      <w:r>
        <w:rPr>
          <w:rFonts w:asciiTheme="majorBidi" w:hAnsiTheme="majorBidi" w:cstheme="majorBidi"/>
          <w:i/>
          <w:iCs/>
          <w:sz w:val="24"/>
          <w:szCs w:val="24"/>
        </w:rPr>
        <w:t>Monili</w:t>
      </w:r>
      <w:r w:rsidR="0033133B">
        <w:rPr>
          <w:rFonts w:asciiTheme="majorBidi" w:hAnsiTheme="majorBidi" w:cstheme="majorBidi"/>
          <w:i/>
          <w:iCs/>
          <w:sz w:val="24"/>
          <w:szCs w:val="24"/>
        </w:rPr>
        <w:t>ni</w:t>
      </w:r>
      <w:r>
        <w:rPr>
          <w:rFonts w:asciiTheme="majorBidi" w:hAnsiTheme="majorBidi" w:cstheme="majorBidi"/>
          <w:i/>
          <w:iCs/>
          <w:sz w:val="24"/>
          <w:szCs w:val="24"/>
        </w:rPr>
        <w:t>a sp</w:t>
      </w:r>
      <w:r>
        <w:rPr>
          <w:rFonts w:asciiTheme="majorBidi" w:hAnsiTheme="majorBidi" w:cstheme="majorBidi"/>
          <w:sz w:val="24"/>
          <w:szCs w:val="24"/>
        </w:rPr>
        <w:t>., est limitée par l’extrait aqueux et éthanolique des graines de fenugrec.</w:t>
      </w:r>
    </w:p>
    <w:p w14:paraId="0EB0A06A" w14:textId="77777777" w:rsidR="003E3FB4" w:rsidRDefault="00385ED0">
      <w:pPr>
        <w:tabs>
          <w:tab w:val="left" w:pos="3309"/>
        </w:tabs>
        <w:spacing w:line="360" w:lineRule="auto"/>
        <w:jc w:val="center"/>
        <w:rPr>
          <w:rFonts w:asciiTheme="majorBidi" w:hAnsiTheme="majorBidi" w:cstheme="majorBidi"/>
          <w:i/>
          <w:iCs/>
          <w:sz w:val="24"/>
          <w:szCs w:val="24"/>
        </w:rPr>
      </w:pPr>
      <w:r>
        <w:rPr>
          <w:noProof/>
          <w:sz w:val="24"/>
          <w:szCs w:val="24"/>
          <w14:ligatures w14:val="none"/>
        </w:rPr>
        <w:lastRenderedPageBreak/>
        <w:drawing>
          <wp:inline distT="0" distB="0" distL="0" distR="0" wp14:anchorId="0F057677" wp14:editId="210066FD">
            <wp:extent cx="5633085" cy="1981200"/>
            <wp:effectExtent l="0" t="0" r="5715" b="0"/>
            <wp:docPr id="719894438"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9894438" name="Image 1"/>
                    <pic:cNvPicPr>
                      <a:picLocks noChangeAspect="1"/>
                    </pic:cNvPicPr>
                  </pic:nvPicPr>
                  <pic:blipFill>
                    <a:blip r:embed="rId62"/>
                    <a:stretch>
                      <a:fillRect/>
                    </a:stretch>
                  </pic:blipFill>
                  <pic:spPr>
                    <a:xfrm>
                      <a:off x="0" y="0"/>
                      <a:ext cx="5664119" cy="1992115"/>
                    </a:xfrm>
                    <a:prstGeom prst="rect">
                      <a:avLst/>
                    </a:prstGeom>
                  </pic:spPr>
                </pic:pic>
              </a:graphicData>
            </a:graphic>
          </wp:inline>
        </w:drawing>
      </w:r>
    </w:p>
    <w:p w14:paraId="2906C92B" w14:textId="38855979" w:rsidR="003E3FB4" w:rsidRDefault="00385ED0">
      <w:pPr>
        <w:tabs>
          <w:tab w:val="left" w:pos="3309"/>
        </w:tabs>
        <w:spacing w:after="0" w:line="240" w:lineRule="auto"/>
        <w:jc w:val="center"/>
        <w:rPr>
          <w:rFonts w:asciiTheme="majorBidi" w:hAnsiTheme="majorBidi" w:cstheme="majorBidi"/>
          <w:sz w:val="24"/>
          <w:szCs w:val="24"/>
        </w:rPr>
      </w:pPr>
      <w:r>
        <w:rPr>
          <w:rFonts w:asciiTheme="majorBidi" w:hAnsiTheme="majorBidi" w:cstheme="majorBidi"/>
          <w:b/>
          <w:bCs/>
          <w:sz w:val="24"/>
          <w:szCs w:val="24"/>
        </w:rPr>
        <w:t>Figure III.14.</w:t>
      </w:r>
      <w:r>
        <w:rPr>
          <w:rFonts w:asciiTheme="majorBidi" w:hAnsiTheme="majorBidi" w:cstheme="majorBidi"/>
          <w:sz w:val="24"/>
          <w:szCs w:val="24"/>
        </w:rPr>
        <w:t xml:space="preserve"> Effet des extraits des graines de fenugrec sur la souche fongique </w:t>
      </w:r>
      <w:r w:rsidRPr="0033133B">
        <w:rPr>
          <w:rFonts w:asciiTheme="majorBidi" w:hAnsiTheme="majorBidi" w:cstheme="majorBidi"/>
          <w:i/>
          <w:iCs/>
          <w:sz w:val="24"/>
          <w:szCs w:val="24"/>
        </w:rPr>
        <w:t>Monili</w:t>
      </w:r>
      <w:r w:rsidR="0033133B" w:rsidRPr="0033133B">
        <w:rPr>
          <w:rFonts w:asciiTheme="majorBidi" w:hAnsiTheme="majorBidi" w:cstheme="majorBidi"/>
          <w:i/>
          <w:iCs/>
          <w:sz w:val="24"/>
          <w:szCs w:val="24"/>
        </w:rPr>
        <w:t>ni</w:t>
      </w:r>
      <w:r w:rsidRPr="0033133B">
        <w:rPr>
          <w:rFonts w:asciiTheme="majorBidi" w:hAnsiTheme="majorBidi" w:cstheme="majorBidi"/>
          <w:i/>
          <w:iCs/>
          <w:sz w:val="24"/>
          <w:szCs w:val="24"/>
        </w:rPr>
        <w:t>a sp</w:t>
      </w:r>
    </w:p>
    <w:p w14:paraId="0460351E" w14:textId="77777777" w:rsidR="003E3FB4" w:rsidRDefault="00385ED0">
      <w:pPr>
        <w:tabs>
          <w:tab w:val="left" w:pos="3309"/>
        </w:tabs>
        <w:spacing w:after="0" w:line="240" w:lineRule="auto"/>
        <w:jc w:val="center"/>
        <w:rPr>
          <w:rFonts w:asciiTheme="majorBidi" w:hAnsiTheme="majorBidi" w:cstheme="majorBidi"/>
          <w:sz w:val="24"/>
          <w:szCs w:val="24"/>
        </w:rPr>
      </w:pPr>
      <w:r>
        <w:rPr>
          <w:rFonts w:asciiTheme="majorBidi" w:hAnsiTheme="majorBidi" w:cstheme="majorBidi"/>
          <w:sz w:val="24"/>
          <w:szCs w:val="24"/>
        </w:rPr>
        <w:t>A : Extrait éthanolique, B : témoin, C : Extrait aqueux</w:t>
      </w:r>
    </w:p>
    <w:p w14:paraId="79E25FBD" w14:textId="77777777" w:rsidR="003E3FB4" w:rsidRDefault="003E3FB4">
      <w:pPr>
        <w:tabs>
          <w:tab w:val="left" w:pos="3309"/>
        </w:tabs>
        <w:spacing w:after="0" w:line="240" w:lineRule="auto"/>
        <w:jc w:val="center"/>
        <w:rPr>
          <w:rFonts w:asciiTheme="majorBidi" w:hAnsiTheme="majorBidi" w:cstheme="majorBidi"/>
          <w:sz w:val="24"/>
          <w:szCs w:val="24"/>
        </w:rPr>
      </w:pPr>
    </w:p>
    <w:p w14:paraId="7C7FDD6D" w14:textId="77777777" w:rsidR="003E3FB4" w:rsidRDefault="00385ED0">
      <w:pPr>
        <w:tabs>
          <w:tab w:val="left" w:pos="3309"/>
        </w:tabs>
        <w:spacing w:after="0" w:line="360" w:lineRule="auto"/>
        <w:ind w:firstLine="567"/>
        <w:jc w:val="both"/>
        <w:rPr>
          <w:rFonts w:asciiTheme="majorBidi" w:hAnsiTheme="majorBidi" w:cstheme="majorBidi"/>
          <w:sz w:val="24"/>
          <w:szCs w:val="24"/>
        </w:rPr>
      </w:pPr>
      <w:r>
        <w:rPr>
          <w:rFonts w:asciiTheme="majorBidi" w:hAnsiTheme="majorBidi" w:cstheme="majorBidi"/>
          <w:sz w:val="24"/>
          <w:szCs w:val="24"/>
        </w:rPr>
        <w:t>Les résultats de l’analyse de la variance (ANOVA) ont mis en évidence une différence hautement significative entre les différents extraits testés (</w:t>
      </w:r>
      <w:r>
        <w:rPr>
          <w:rFonts w:asciiTheme="majorBidi" w:hAnsiTheme="majorBidi" w:cstheme="majorBidi"/>
          <w:i/>
          <w:iCs/>
          <w:sz w:val="24"/>
          <w:szCs w:val="24"/>
        </w:rPr>
        <w:t>p</w:t>
      </w:r>
      <w:r>
        <w:rPr>
          <w:rFonts w:asciiTheme="majorBidi" w:hAnsiTheme="majorBidi" w:cstheme="majorBidi"/>
          <w:sz w:val="24"/>
          <w:szCs w:val="24"/>
        </w:rPr>
        <w:t xml:space="preserve">=0.08).  </w:t>
      </w:r>
    </w:p>
    <w:p w14:paraId="505EA3E5" w14:textId="77777777" w:rsidR="003E3FB4" w:rsidRDefault="003E3FB4">
      <w:pPr>
        <w:tabs>
          <w:tab w:val="left" w:pos="3309"/>
        </w:tabs>
        <w:spacing w:after="0" w:line="240" w:lineRule="auto"/>
        <w:jc w:val="center"/>
        <w:rPr>
          <w:rFonts w:asciiTheme="majorBidi" w:hAnsiTheme="majorBidi" w:cstheme="majorBidi"/>
          <w:sz w:val="24"/>
          <w:szCs w:val="24"/>
        </w:rPr>
      </w:pPr>
    </w:p>
    <w:p w14:paraId="59C2676D" w14:textId="77777777" w:rsidR="003E3FB4" w:rsidRDefault="00385ED0">
      <w:pPr>
        <w:tabs>
          <w:tab w:val="left" w:pos="3309"/>
        </w:tabs>
        <w:spacing w:after="0" w:line="240" w:lineRule="auto"/>
        <w:jc w:val="center"/>
        <w:rPr>
          <w:rFonts w:asciiTheme="majorBidi" w:hAnsiTheme="majorBidi" w:cstheme="majorBidi"/>
          <w:i/>
          <w:iCs/>
          <w:sz w:val="24"/>
          <w:szCs w:val="24"/>
        </w:rPr>
      </w:pPr>
      <w:r>
        <w:rPr>
          <w:rFonts w:asciiTheme="majorBidi" w:hAnsiTheme="majorBidi" w:cstheme="majorBidi"/>
          <w:b/>
          <w:bCs/>
          <w:sz w:val="24"/>
          <w:szCs w:val="24"/>
        </w:rPr>
        <w:t>Tableau III.9.</w:t>
      </w:r>
      <w:r>
        <w:rPr>
          <w:rFonts w:asciiTheme="majorBidi" w:hAnsiTheme="majorBidi" w:cstheme="majorBidi"/>
          <w:sz w:val="24"/>
          <w:szCs w:val="24"/>
        </w:rPr>
        <w:t xml:space="preserve"> Pourcentage d’inhibition des extraits des graines de fenugrec contre la souche fongique </w:t>
      </w:r>
      <w:r>
        <w:rPr>
          <w:rFonts w:asciiTheme="majorBidi" w:hAnsiTheme="majorBidi" w:cstheme="majorBidi"/>
          <w:i/>
          <w:iCs/>
          <w:sz w:val="24"/>
          <w:szCs w:val="24"/>
        </w:rPr>
        <w:t>Monilinia sp</w:t>
      </w:r>
    </w:p>
    <w:p w14:paraId="12069545" w14:textId="77777777" w:rsidR="003E3FB4" w:rsidRDefault="003E3FB4">
      <w:pPr>
        <w:tabs>
          <w:tab w:val="left" w:pos="3309"/>
        </w:tabs>
        <w:spacing w:after="0" w:line="240" w:lineRule="auto"/>
        <w:jc w:val="center"/>
        <w:rPr>
          <w:rFonts w:asciiTheme="majorBidi" w:hAnsiTheme="majorBidi" w:cstheme="majorBidi"/>
          <w:i/>
          <w:iCs/>
          <w:sz w:val="24"/>
          <w:szCs w:val="24"/>
        </w:rPr>
      </w:pPr>
    </w:p>
    <w:tbl>
      <w:tblPr>
        <w:tblStyle w:val="TableauGrille6Couleur-Accentuation31"/>
        <w:tblW w:w="0" w:type="auto"/>
        <w:tblInd w:w="1555" w:type="dxa"/>
        <w:tblLook w:val="04A0" w:firstRow="1" w:lastRow="0" w:firstColumn="1" w:lastColumn="0" w:noHBand="0" w:noVBand="1"/>
      </w:tblPr>
      <w:tblGrid>
        <w:gridCol w:w="3092"/>
        <w:gridCol w:w="3241"/>
      </w:tblGrid>
      <w:tr w:rsidR="003E3FB4" w14:paraId="7FB421CB" w14:textId="77777777" w:rsidTr="003E3FB4">
        <w:trPr>
          <w:cnfStyle w:val="100000000000" w:firstRow="1" w:lastRow="0" w:firstColumn="0" w:lastColumn="0" w:oddVBand="0" w:evenVBand="0" w:oddHBand="0" w:evenHBand="0" w:firstRowFirstColumn="0" w:firstRowLastColumn="0" w:lastRowFirstColumn="0" w:lastRowLastColumn="0"/>
          <w:trHeight w:val="625"/>
        </w:trPr>
        <w:tc>
          <w:tcPr>
            <w:cnfStyle w:val="001000000000" w:firstRow="0" w:lastRow="0" w:firstColumn="1" w:lastColumn="0" w:oddVBand="0" w:evenVBand="0" w:oddHBand="0" w:evenHBand="0" w:firstRowFirstColumn="0" w:firstRowLastColumn="0" w:lastRowFirstColumn="0" w:lastRowLastColumn="0"/>
            <w:tcW w:w="3092" w:type="dxa"/>
          </w:tcPr>
          <w:p w14:paraId="21993549" w14:textId="77777777" w:rsidR="003E3FB4" w:rsidRDefault="00385ED0">
            <w:pPr>
              <w:tabs>
                <w:tab w:val="left" w:pos="3309"/>
              </w:tabs>
              <w:spacing w:after="0" w:line="240" w:lineRule="auto"/>
              <w:jc w:val="center"/>
              <w:rPr>
                <w:rFonts w:asciiTheme="majorBidi" w:hAnsiTheme="majorBidi" w:cstheme="majorBidi"/>
                <w:color w:val="auto"/>
                <w:sz w:val="24"/>
                <w:szCs w:val="24"/>
              </w:rPr>
            </w:pPr>
            <w:r>
              <w:rPr>
                <w:rFonts w:ascii="Times New Roman" w:hAnsi="Times New Roman" w:cs="Times New Roman"/>
                <w:color w:val="auto"/>
                <w:sz w:val="24"/>
                <w:szCs w:val="24"/>
              </w:rPr>
              <w:t>Extrait aqueux des graines de Fenugrec</w:t>
            </w:r>
          </w:p>
        </w:tc>
        <w:tc>
          <w:tcPr>
            <w:tcW w:w="3241" w:type="dxa"/>
          </w:tcPr>
          <w:p w14:paraId="0D9DF45C" w14:textId="77777777" w:rsidR="003E3FB4" w:rsidRDefault="00385ED0">
            <w:pPr>
              <w:tabs>
                <w:tab w:val="left" w:pos="3309"/>
              </w:tabs>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color w:val="auto"/>
                <w:sz w:val="24"/>
                <w:szCs w:val="24"/>
              </w:rPr>
            </w:pPr>
            <w:r>
              <w:rPr>
                <w:rFonts w:ascii="Times New Roman" w:hAnsi="Times New Roman" w:cs="Times New Roman"/>
                <w:color w:val="auto"/>
                <w:sz w:val="24"/>
                <w:szCs w:val="24"/>
              </w:rPr>
              <w:t>Extrait éthanolique des graines de Fenugrec</w:t>
            </w:r>
          </w:p>
        </w:tc>
      </w:tr>
      <w:tr w:rsidR="003E3FB4" w14:paraId="1B911245" w14:textId="77777777" w:rsidTr="003E3FB4">
        <w:trPr>
          <w:trHeight w:val="387"/>
        </w:trPr>
        <w:tc>
          <w:tcPr>
            <w:cnfStyle w:val="001000000000" w:firstRow="0" w:lastRow="0" w:firstColumn="1" w:lastColumn="0" w:oddVBand="0" w:evenVBand="0" w:oddHBand="0" w:evenHBand="0" w:firstRowFirstColumn="0" w:firstRowLastColumn="0" w:lastRowFirstColumn="0" w:lastRowLastColumn="0"/>
            <w:tcW w:w="3092" w:type="dxa"/>
            <w:shd w:val="clear" w:color="auto" w:fill="EDEDED" w:themeFill="accent3" w:themeFillTint="33"/>
          </w:tcPr>
          <w:p w14:paraId="3C8167AD" w14:textId="77777777" w:rsidR="003E3FB4" w:rsidRDefault="00385ED0">
            <w:pPr>
              <w:tabs>
                <w:tab w:val="left" w:pos="3309"/>
              </w:tabs>
              <w:spacing w:after="0" w:line="360" w:lineRule="auto"/>
              <w:jc w:val="center"/>
              <w:rPr>
                <w:rFonts w:asciiTheme="majorBidi" w:hAnsiTheme="majorBidi" w:cstheme="majorBidi"/>
                <w:b w:val="0"/>
                <w:color w:val="auto"/>
                <w:sz w:val="24"/>
                <w:szCs w:val="24"/>
              </w:rPr>
            </w:pPr>
            <w:r>
              <w:rPr>
                <w:rFonts w:ascii="Times New Roman" w:hAnsi="Times New Roman" w:cs="Times New Roman"/>
                <w:b w:val="0"/>
                <w:color w:val="auto"/>
                <w:sz w:val="24"/>
                <w:szCs w:val="24"/>
              </w:rPr>
              <w:t xml:space="preserve">73,75±1,22 </w:t>
            </w:r>
            <w:r>
              <w:rPr>
                <w:rFonts w:ascii="Times New Roman" w:hAnsi="Times New Roman" w:cs="Times New Roman"/>
                <w:bCs w:val="0"/>
                <w:color w:val="auto"/>
                <w:sz w:val="24"/>
                <w:szCs w:val="24"/>
              </w:rPr>
              <w:t>a</w:t>
            </w:r>
          </w:p>
        </w:tc>
        <w:tc>
          <w:tcPr>
            <w:tcW w:w="3241" w:type="dxa"/>
            <w:shd w:val="clear" w:color="auto" w:fill="EDEDED" w:themeFill="accent3" w:themeFillTint="33"/>
          </w:tcPr>
          <w:p w14:paraId="4B73264C" w14:textId="77777777" w:rsidR="003E3FB4" w:rsidRDefault="00385ED0">
            <w:pPr>
              <w:tabs>
                <w:tab w:val="left" w:pos="3309"/>
              </w:tabs>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auto"/>
                <w:sz w:val="24"/>
                <w:szCs w:val="24"/>
              </w:rPr>
            </w:pPr>
            <w:r>
              <w:rPr>
                <w:rFonts w:ascii="Times New Roman" w:hAnsi="Times New Roman" w:cs="Times New Roman"/>
                <w:bCs/>
                <w:color w:val="auto"/>
                <w:sz w:val="24"/>
                <w:szCs w:val="24"/>
              </w:rPr>
              <w:t xml:space="preserve">72,50±0,74 </w:t>
            </w:r>
            <w:r>
              <w:rPr>
                <w:rFonts w:ascii="Times New Roman" w:hAnsi="Times New Roman" w:cs="Times New Roman"/>
                <w:b/>
                <w:color w:val="auto"/>
                <w:sz w:val="24"/>
                <w:szCs w:val="24"/>
              </w:rPr>
              <w:t>a</w:t>
            </w:r>
          </w:p>
        </w:tc>
      </w:tr>
    </w:tbl>
    <w:p w14:paraId="2776A0AF" w14:textId="77777777" w:rsidR="003E3FB4" w:rsidRDefault="003E3FB4">
      <w:pPr>
        <w:tabs>
          <w:tab w:val="left" w:pos="3309"/>
        </w:tabs>
        <w:spacing w:after="0" w:line="240" w:lineRule="auto"/>
        <w:jc w:val="center"/>
        <w:rPr>
          <w:rFonts w:asciiTheme="majorBidi" w:hAnsiTheme="majorBidi" w:cstheme="majorBidi"/>
          <w:sz w:val="24"/>
          <w:szCs w:val="24"/>
        </w:rPr>
      </w:pPr>
    </w:p>
    <w:p w14:paraId="0CFF1538" w14:textId="77777777" w:rsidR="003E3FB4" w:rsidRDefault="00385ED0">
      <w:pPr>
        <w:tabs>
          <w:tab w:val="left" w:pos="3309"/>
        </w:tabs>
        <w:spacing w:after="0"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 xml:space="preserve">Les résultats présentés dans le </w:t>
      </w:r>
      <w:r>
        <w:rPr>
          <w:rFonts w:ascii="Times New Roman" w:hAnsi="Times New Roman" w:cs="Times New Roman"/>
          <w:b/>
          <w:sz w:val="24"/>
          <w:szCs w:val="24"/>
        </w:rPr>
        <w:t>tableau III. 9</w:t>
      </w:r>
      <w:r>
        <w:rPr>
          <w:rFonts w:ascii="Times New Roman" w:hAnsi="Times New Roman" w:cs="Times New Roman"/>
          <w:bCs/>
          <w:sz w:val="24"/>
          <w:szCs w:val="24"/>
        </w:rPr>
        <w:t xml:space="preserve">.Indiquent que l’extrait aqueux et éthanolique montrée une activité antifongique marquée contre les souches </w:t>
      </w:r>
      <w:r>
        <w:rPr>
          <w:rFonts w:ascii="Times New Roman" w:hAnsi="Times New Roman" w:cs="Times New Roman"/>
          <w:bCs/>
          <w:i/>
          <w:iCs/>
          <w:sz w:val="24"/>
          <w:szCs w:val="24"/>
        </w:rPr>
        <w:t>Monilinia sp</w:t>
      </w:r>
      <w:r>
        <w:rPr>
          <w:rFonts w:ascii="Times New Roman" w:hAnsi="Times New Roman" w:cs="Times New Roman"/>
          <w:bCs/>
          <w:sz w:val="24"/>
          <w:szCs w:val="24"/>
        </w:rPr>
        <w:t xml:space="preserve">., enregistrant un taux d’inhibition de 73.75 % (±1,22) pour l’extrait aqueux et un taux de 72.5% (±0.74) pour l’extrait éthanolique. Par conséquent, les extrait aqueux et éthanolique des graines de fenugrec sont considérés comme actif.  </w:t>
      </w:r>
    </w:p>
    <w:p w14:paraId="30DDCF4D" w14:textId="77777777" w:rsidR="003E3FB4" w:rsidRDefault="00385ED0">
      <w:pPr>
        <w:tabs>
          <w:tab w:val="left" w:pos="3309"/>
        </w:tabs>
        <w:spacing w:after="0"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À ce jour, aucune étude n’a spécifiquement rapporté l’effet antifongique des extraits aqueux et éthanoliques de graines de fenugrec (</w:t>
      </w:r>
      <w:r>
        <w:rPr>
          <w:rFonts w:ascii="Times New Roman" w:hAnsi="Times New Roman" w:cs="Times New Roman"/>
          <w:bCs/>
          <w:i/>
          <w:iCs/>
          <w:sz w:val="24"/>
          <w:szCs w:val="24"/>
        </w:rPr>
        <w:t>Trigonella foenum-graecum</w:t>
      </w:r>
      <w:r>
        <w:rPr>
          <w:rFonts w:ascii="Times New Roman" w:hAnsi="Times New Roman" w:cs="Times New Roman"/>
          <w:bCs/>
          <w:sz w:val="24"/>
          <w:szCs w:val="24"/>
        </w:rPr>
        <w:t xml:space="preserve">) sur les champignons phytopathogènes </w:t>
      </w:r>
      <w:r>
        <w:rPr>
          <w:rFonts w:ascii="Times New Roman" w:hAnsi="Times New Roman" w:cs="Times New Roman"/>
          <w:bCs/>
          <w:i/>
          <w:iCs/>
          <w:sz w:val="24"/>
          <w:szCs w:val="24"/>
        </w:rPr>
        <w:t>Monilinia sp.</w:t>
      </w:r>
      <w:r>
        <w:rPr>
          <w:rFonts w:ascii="Times New Roman" w:hAnsi="Times New Roman" w:cs="Times New Roman"/>
          <w:bCs/>
          <w:sz w:val="24"/>
          <w:szCs w:val="24"/>
        </w:rPr>
        <w:t xml:space="preserve"> Qui font l’objet de la présente étude. Toutefois, plusieurs travaux antérieurs se sont intéressés à l’activité antifongique du fenugrec contre d’autres espèces fongiques phytopathogènes, mettant en évidence des résultats encourageants quant à son potentiel en tant qu’agent antifongique naturel.</w:t>
      </w:r>
    </w:p>
    <w:p w14:paraId="48667B2A" w14:textId="77777777" w:rsidR="003E3FB4" w:rsidRDefault="00385ED0">
      <w:pPr>
        <w:tabs>
          <w:tab w:val="left" w:pos="3309"/>
        </w:tabs>
        <w:spacing w:after="0"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 xml:space="preserve">En comparant ces résultats à ceux de l’étude menée par </w:t>
      </w:r>
      <w:r>
        <w:rPr>
          <w:rFonts w:ascii="Times New Roman" w:hAnsi="Times New Roman" w:cs="Times New Roman"/>
          <w:b/>
          <w:sz w:val="24"/>
          <w:szCs w:val="24"/>
        </w:rPr>
        <w:t xml:space="preserve">Stelica et </w:t>
      </w:r>
      <w:r>
        <w:rPr>
          <w:rFonts w:ascii="Times New Roman" w:hAnsi="Times New Roman" w:cs="Times New Roman"/>
          <w:b/>
          <w:i/>
          <w:iCs/>
          <w:sz w:val="24"/>
          <w:szCs w:val="24"/>
        </w:rPr>
        <w:t>al.,</w:t>
      </w:r>
      <w:r>
        <w:rPr>
          <w:rFonts w:ascii="Times New Roman" w:hAnsi="Times New Roman" w:cs="Times New Roman"/>
          <w:b/>
          <w:sz w:val="24"/>
          <w:szCs w:val="24"/>
        </w:rPr>
        <w:t xml:space="preserve"> (2022)</w:t>
      </w:r>
      <w:r>
        <w:rPr>
          <w:rFonts w:ascii="Times New Roman" w:hAnsi="Times New Roman" w:cs="Times New Roman"/>
          <w:bCs/>
          <w:sz w:val="24"/>
          <w:szCs w:val="24"/>
        </w:rPr>
        <w:t xml:space="preserve">, qui a rapporté un taux d’inhibition de 88,8 % contre </w:t>
      </w:r>
      <w:r>
        <w:rPr>
          <w:rFonts w:ascii="Times New Roman" w:hAnsi="Times New Roman" w:cs="Times New Roman"/>
          <w:bCs/>
          <w:i/>
          <w:iCs/>
          <w:sz w:val="24"/>
          <w:szCs w:val="24"/>
        </w:rPr>
        <w:t>Monilinia spp</w:t>
      </w:r>
      <w:r>
        <w:rPr>
          <w:rFonts w:ascii="Times New Roman" w:hAnsi="Times New Roman" w:cs="Times New Roman"/>
          <w:bCs/>
          <w:sz w:val="24"/>
          <w:szCs w:val="24"/>
        </w:rPr>
        <w:t xml:space="preserve">. En utilisant un extrait au butylène glycol des graines de fenugrec, on observe une légère supériorité en termes d’efficacité. Cette différence peut être attribuée à plusieurs facteurs, notamment la nature du solvant utilisé, ainsi </w:t>
      </w:r>
      <w:r>
        <w:rPr>
          <w:rFonts w:ascii="Times New Roman" w:hAnsi="Times New Roman" w:cs="Times New Roman"/>
          <w:bCs/>
          <w:sz w:val="24"/>
          <w:szCs w:val="24"/>
        </w:rPr>
        <w:lastRenderedPageBreak/>
        <w:t xml:space="preserve">que les variations dans les méthodes d’extraction et les conditions expérimentales telles que la température, la durée de macération et le type d’isolat fongique utilisé. </w:t>
      </w:r>
    </w:p>
    <w:p w14:paraId="1E8FCAF5" w14:textId="77777777" w:rsidR="003E3FB4" w:rsidRDefault="00385ED0">
      <w:pPr>
        <w:tabs>
          <w:tab w:val="left" w:pos="3309"/>
        </w:tabs>
        <w:spacing w:after="0"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De plus, la composition chimique de l’extrait varie selon le type de solvant, ce qui peut influencer la diversité et l’efficacité des composés bioactifs extraits. Par conséquent, l’utilisation de solvants organiques comme le butylène glycol pourrait améliorer l’efficacité antifongique des extraits de fenugrec.</w:t>
      </w:r>
    </w:p>
    <w:p w14:paraId="0D69E489" w14:textId="77777777" w:rsidR="003E3FB4" w:rsidRDefault="00385ED0">
      <w:pPr>
        <w:tabs>
          <w:tab w:val="left" w:pos="3309"/>
        </w:tabs>
        <w:spacing w:after="0"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 xml:space="preserve">Dans une étude menée par </w:t>
      </w:r>
      <w:r>
        <w:rPr>
          <w:rFonts w:ascii="Times New Roman" w:hAnsi="Times New Roman" w:cs="Times New Roman"/>
          <w:b/>
          <w:sz w:val="24"/>
          <w:szCs w:val="24"/>
        </w:rPr>
        <w:t>Kapoor, (2021)</w:t>
      </w:r>
      <w:r>
        <w:rPr>
          <w:rFonts w:ascii="Times New Roman" w:hAnsi="Times New Roman" w:cs="Times New Roman"/>
          <w:bCs/>
          <w:sz w:val="24"/>
          <w:szCs w:val="24"/>
        </w:rPr>
        <w:t xml:space="preserve">, l'extrait aqueux des graines de fenugrec a démontré une activité contre </w:t>
      </w:r>
      <w:r>
        <w:rPr>
          <w:rFonts w:ascii="Times New Roman" w:hAnsi="Times New Roman" w:cs="Times New Roman"/>
          <w:bCs/>
          <w:i/>
          <w:iCs/>
          <w:sz w:val="24"/>
          <w:szCs w:val="24"/>
        </w:rPr>
        <w:t>Alternaria alternata, Fusarium oxysporum</w:t>
      </w:r>
      <w:r>
        <w:rPr>
          <w:rFonts w:ascii="Times New Roman" w:hAnsi="Times New Roman" w:cs="Times New Roman"/>
          <w:bCs/>
          <w:sz w:val="24"/>
          <w:szCs w:val="24"/>
        </w:rPr>
        <w:t xml:space="preserve"> et</w:t>
      </w:r>
      <w:r>
        <w:rPr>
          <w:rFonts w:ascii="Times New Roman" w:hAnsi="Times New Roman" w:cs="Times New Roman"/>
          <w:bCs/>
          <w:i/>
          <w:iCs/>
          <w:sz w:val="24"/>
          <w:szCs w:val="24"/>
        </w:rPr>
        <w:t xml:space="preserve"> Fusarium solani</w:t>
      </w:r>
      <w:r>
        <w:rPr>
          <w:rFonts w:ascii="Times New Roman" w:hAnsi="Times New Roman" w:cs="Times New Roman"/>
          <w:bCs/>
          <w:sz w:val="24"/>
          <w:szCs w:val="24"/>
        </w:rPr>
        <w:t xml:space="preserve">, avec des taux d'inhibition respectifs de 52 %, 49 %, 95 % et 82 %, ce qui suggère la présence de composés biologiquement actifs dans le fenugrec. Dans une étude plus récente, </w:t>
      </w:r>
      <w:r>
        <w:rPr>
          <w:rFonts w:ascii="Times New Roman" w:hAnsi="Times New Roman" w:cs="Times New Roman"/>
          <w:b/>
          <w:sz w:val="24"/>
          <w:szCs w:val="24"/>
        </w:rPr>
        <w:t xml:space="preserve">Qiuyu Zhao et </w:t>
      </w:r>
      <w:r>
        <w:rPr>
          <w:rFonts w:ascii="Times New Roman" w:hAnsi="Times New Roman" w:cs="Times New Roman"/>
          <w:b/>
          <w:i/>
          <w:iCs/>
          <w:sz w:val="24"/>
          <w:szCs w:val="24"/>
        </w:rPr>
        <w:t>al.</w:t>
      </w:r>
      <w:r>
        <w:rPr>
          <w:rFonts w:ascii="Times New Roman" w:hAnsi="Times New Roman" w:cs="Times New Roman"/>
          <w:b/>
          <w:sz w:val="24"/>
          <w:szCs w:val="24"/>
        </w:rPr>
        <w:t>, (2024)</w:t>
      </w:r>
      <w:r>
        <w:rPr>
          <w:rFonts w:ascii="Times New Roman" w:hAnsi="Times New Roman" w:cs="Times New Roman"/>
          <w:bCs/>
          <w:sz w:val="24"/>
          <w:szCs w:val="24"/>
        </w:rPr>
        <w:t xml:space="preserve"> ont signalé que l'extrait méthanolique des graines de fenugrec a induit des taux d'inhibition de 42,16 % et 37,22 % contre </w:t>
      </w:r>
      <w:r>
        <w:rPr>
          <w:rFonts w:ascii="Times New Roman" w:hAnsi="Times New Roman" w:cs="Times New Roman"/>
          <w:bCs/>
          <w:i/>
          <w:iCs/>
          <w:sz w:val="24"/>
          <w:szCs w:val="24"/>
        </w:rPr>
        <w:t xml:space="preserve">Alternaria tenuissima </w:t>
      </w:r>
      <w:r>
        <w:rPr>
          <w:rFonts w:ascii="Times New Roman" w:hAnsi="Times New Roman" w:cs="Times New Roman"/>
          <w:bCs/>
          <w:sz w:val="24"/>
          <w:szCs w:val="24"/>
        </w:rPr>
        <w:t xml:space="preserve">et </w:t>
      </w:r>
      <w:r>
        <w:rPr>
          <w:rFonts w:ascii="Times New Roman" w:hAnsi="Times New Roman" w:cs="Times New Roman"/>
          <w:bCs/>
          <w:i/>
          <w:iCs/>
          <w:sz w:val="24"/>
          <w:szCs w:val="24"/>
        </w:rPr>
        <w:t>Magnaporthe oryzae</w:t>
      </w:r>
      <w:r>
        <w:rPr>
          <w:rFonts w:ascii="Times New Roman" w:hAnsi="Times New Roman" w:cs="Times New Roman"/>
          <w:bCs/>
          <w:sz w:val="24"/>
          <w:szCs w:val="24"/>
        </w:rPr>
        <w:t xml:space="preserve">, respectivement. Par ailleurs, </w:t>
      </w:r>
      <w:r>
        <w:rPr>
          <w:rFonts w:ascii="Times New Roman" w:hAnsi="Times New Roman" w:cs="Times New Roman"/>
          <w:b/>
          <w:sz w:val="24"/>
          <w:szCs w:val="24"/>
        </w:rPr>
        <w:t>Hossam</w:t>
      </w:r>
      <w:r>
        <w:rPr>
          <w:rFonts w:ascii="Times New Roman" w:hAnsi="Times New Roman" w:cs="Times New Roman"/>
          <w:bCs/>
          <w:sz w:val="24"/>
          <w:szCs w:val="24"/>
        </w:rPr>
        <w:t>,</w:t>
      </w:r>
      <w:r>
        <w:rPr>
          <w:rFonts w:ascii="Times New Roman" w:hAnsi="Times New Roman" w:cs="Times New Roman"/>
          <w:b/>
          <w:sz w:val="24"/>
          <w:szCs w:val="24"/>
        </w:rPr>
        <w:t xml:space="preserve"> (2021)</w:t>
      </w:r>
      <w:r>
        <w:rPr>
          <w:rFonts w:ascii="Times New Roman" w:hAnsi="Times New Roman" w:cs="Times New Roman"/>
          <w:bCs/>
          <w:sz w:val="24"/>
          <w:szCs w:val="24"/>
        </w:rPr>
        <w:t xml:space="preserve"> a enregistré un taux d’inhibition de 64,6 % contre </w:t>
      </w:r>
      <w:r>
        <w:rPr>
          <w:rFonts w:ascii="Times New Roman" w:hAnsi="Times New Roman" w:cs="Times New Roman"/>
          <w:bCs/>
          <w:i/>
          <w:iCs/>
          <w:sz w:val="24"/>
          <w:szCs w:val="24"/>
        </w:rPr>
        <w:t>Rhizoctonia solani</w:t>
      </w:r>
      <w:r>
        <w:rPr>
          <w:rFonts w:ascii="Times New Roman" w:hAnsi="Times New Roman" w:cs="Times New Roman"/>
          <w:bCs/>
          <w:sz w:val="24"/>
          <w:szCs w:val="24"/>
        </w:rPr>
        <w:t xml:space="preserve"> avec un extrait de graines de fenugrec. L’étude de </w:t>
      </w:r>
      <w:r>
        <w:rPr>
          <w:rFonts w:ascii="Times New Roman" w:hAnsi="Times New Roman" w:cs="Times New Roman"/>
          <w:b/>
          <w:sz w:val="24"/>
          <w:szCs w:val="24"/>
        </w:rPr>
        <w:t xml:space="preserve">Puneet Sudan et </w:t>
      </w:r>
      <w:r>
        <w:rPr>
          <w:rFonts w:ascii="Times New Roman" w:hAnsi="Times New Roman" w:cs="Times New Roman"/>
          <w:b/>
          <w:i/>
          <w:iCs/>
          <w:sz w:val="24"/>
          <w:szCs w:val="24"/>
        </w:rPr>
        <w:t>al.</w:t>
      </w:r>
      <w:r>
        <w:rPr>
          <w:rFonts w:ascii="Times New Roman" w:hAnsi="Times New Roman" w:cs="Times New Roman"/>
          <w:b/>
          <w:sz w:val="24"/>
          <w:szCs w:val="24"/>
        </w:rPr>
        <w:t>, (2019)</w:t>
      </w:r>
      <w:r>
        <w:rPr>
          <w:rFonts w:ascii="Times New Roman" w:hAnsi="Times New Roman" w:cs="Times New Roman"/>
          <w:bCs/>
          <w:sz w:val="24"/>
          <w:szCs w:val="24"/>
        </w:rPr>
        <w:t xml:space="preserve"> a, quant à elle, mis en évidence l’efficacité de l’extrait éthanolique des graines de fenugrec contre le champignon pathogène </w:t>
      </w:r>
      <w:r>
        <w:rPr>
          <w:rFonts w:ascii="Times New Roman" w:hAnsi="Times New Roman" w:cs="Times New Roman"/>
          <w:bCs/>
          <w:i/>
          <w:iCs/>
          <w:sz w:val="24"/>
          <w:szCs w:val="24"/>
        </w:rPr>
        <w:t>Microsporum gypseum</w:t>
      </w:r>
      <w:r>
        <w:rPr>
          <w:rFonts w:ascii="Times New Roman" w:hAnsi="Times New Roman" w:cs="Times New Roman"/>
          <w:bCs/>
          <w:sz w:val="24"/>
          <w:szCs w:val="24"/>
        </w:rPr>
        <w:t>, avec un taux d’inhibition de 72 %.</w:t>
      </w:r>
    </w:p>
    <w:p w14:paraId="36ECAF5A" w14:textId="77777777" w:rsidR="003E3FB4" w:rsidRDefault="003E3FB4">
      <w:pPr>
        <w:tabs>
          <w:tab w:val="left" w:pos="6173"/>
        </w:tabs>
        <w:spacing w:line="360" w:lineRule="auto"/>
        <w:jc w:val="both"/>
        <w:rPr>
          <w:rFonts w:asciiTheme="majorBidi" w:hAnsiTheme="majorBidi" w:cstheme="majorBidi"/>
          <w:b/>
          <w:bCs/>
          <w:sz w:val="24"/>
          <w:szCs w:val="24"/>
          <w:lang w:bidi="ar-DZ"/>
        </w:rPr>
      </w:pPr>
    </w:p>
    <w:p w14:paraId="4B2F4B79" w14:textId="77777777" w:rsidR="001C5165" w:rsidRDefault="001C5165">
      <w:pPr>
        <w:tabs>
          <w:tab w:val="left" w:pos="6173"/>
        </w:tabs>
        <w:spacing w:line="360" w:lineRule="auto"/>
        <w:jc w:val="both"/>
        <w:rPr>
          <w:rFonts w:asciiTheme="majorBidi" w:hAnsiTheme="majorBidi" w:cstheme="majorBidi"/>
          <w:b/>
          <w:bCs/>
          <w:sz w:val="24"/>
          <w:szCs w:val="24"/>
          <w:lang w:bidi="ar-DZ"/>
        </w:rPr>
        <w:sectPr w:rsidR="001C5165" w:rsidSect="00EA4575">
          <w:headerReference w:type="default" r:id="rId63"/>
          <w:footerReference w:type="default" r:id="rId64"/>
          <w:pgSz w:w="11906" w:h="16838"/>
          <w:pgMar w:top="1418" w:right="1416" w:bottom="1418" w:left="1418" w:header="709" w:footer="709" w:gutter="0"/>
          <w:pgNumType w:start="38"/>
          <w:cols w:space="708"/>
          <w:docGrid w:linePitch="360"/>
        </w:sectPr>
      </w:pPr>
    </w:p>
    <w:p w14:paraId="06A68987" w14:textId="2B1D41EF" w:rsidR="004A3F2A" w:rsidRDefault="004A3F2A">
      <w:pPr>
        <w:tabs>
          <w:tab w:val="left" w:pos="6173"/>
        </w:tabs>
        <w:spacing w:line="360" w:lineRule="auto"/>
        <w:jc w:val="both"/>
        <w:rPr>
          <w:rFonts w:asciiTheme="majorBidi" w:hAnsiTheme="majorBidi" w:cstheme="majorBidi"/>
          <w:b/>
          <w:bCs/>
          <w:sz w:val="24"/>
          <w:szCs w:val="24"/>
          <w:lang w:bidi="ar-DZ"/>
        </w:rPr>
      </w:pPr>
    </w:p>
    <w:p w14:paraId="1C772799" w14:textId="2236CDC9" w:rsidR="001C5165" w:rsidRDefault="001C5165">
      <w:pPr>
        <w:tabs>
          <w:tab w:val="left" w:pos="6173"/>
        </w:tabs>
        <w:spacing w:line="360" w:lineRule="auto"/>
        <w:jc w:val="both"/>
        <w:rPr>
          <w:rFonts w:asciiTheme="majorBidi" w:hAnsiTheme="majorBidi" w:cstheme="majorBidi"/>
          <w:b/>
          <w:bCs/>
          <w:sz w:val="24"/>
          <w:szCs w:val="24"/>
          <w:lang w:bidi="ar-DZ"/>
        </w:rPr>
      </w:pPr>
    </w:p>
    <w:p w14:paraId="2B814A26" w14:textId="1A065B24" w:rsidR="001C5165" w:rsidRDefault="001C5165">
      <w:pPr>
        <w:tabs>
          <w:tab w:val="left" w:pos="6173"/>
        </w:tabs>
        <w:spacing w:line="360" w:lineRule="auto"/>
        <w:jc w:val="both"/>
        <w:rPr>
          <w:rFonts w:asciiTheme="majorBidi" w:hAnsiTheme="majorBidi" w:cstheme="majorBidi"/>
          <w:b/>
          <w:bCs/>
          <w:sz w:val="24"/>
          <w:szCs w:val="24"/>
          <w:lang w:bidi="ar-DZ"/>
        </w:rPr>
      </w:pPr>
    </w:p>
    <w:p w14:paraId="00E32490" w14:textId="77777777" w:rsidR="001C5165" w:rsidRDefault="001C5165">
      <w:pPr>
        <w:tabs>
          <w:tab w:val="left" w:pos="6173"/>
        </w:tabs>
        <w:spacing w:line="360" w:lineRule="auto"/>
        <w:jc w:val="both"/>
        <w:rPr>
          <w:rFonts w:asciiTheme="majorBidi" w:hAnsiTheme="majorBidi" w:cstheme="majorBidi"/>
          <w:b/>
          <w:bCs/>
          <w:sz w:val="24"/>
          <w:szCs w:val="24"/>
          <w:lang w:bidi="ar-DZ"/>
        </w:rPr>
      </w:pPr>
    </w:p>
    <w:p w14:paraId="4F6D9719" w14:textId="77777777" w:rsidR="003E3FB4" w:rsidRDefault="003E3FB4">
      <w:pPr>
        <w:tabs>
          <w:tab w:val="left" w:pos="6173"/>
        </w:tabs>
        <w:spacing w:line="360" w:lineRule="auto"/>
        <w:jc w:val="both"/>
        <w:rPr>
          <w:rFonts w:asciiTheme="majorBidi" w:hAnsiTheme="majorBidi" w:cstheme="majorBidi"/>
          <w:b/>
          <w:bCs/>
          <w:sz w:val="24"/>
          <w:szCs w:val="24"/>
          <w:lang w:bidi="ar-DZ"/>
        </w:rPr>
      </w:pPr>
    </w:p>
    <w:p w14:paraId="3A4A6E74" w14:textId="5E0FB430" w:rsidR="003E3FB4" w:rsidRPr="004A3F2A" w:rsidRDefault="004A3F2A" w:rsidP="004A3F2A">
      <w:pPr>
        <w:tabs>
          <w:tab w:val="left" w:pos="6173"/>
        </w:tabs>
        <w:spacing w:line="360" w:lineRule="auto"/>
        <w:jc w:val="center"/>
        <w:rPr>
          <w:rFonts w:asciiTheme="majorBidi" w:hAnsiTheme="majorBidi" w:cstheme="majorBidi"/>
          <w:b/>
          <w:bCs/>
          <w:sz w:val="96"/>
          <w:szCs w:val="96"/>
          <w:lang w:bidi="ar-DZ"/>
        </w:rPr>
      </w:pPr>
      <w:r w:rsidRPr="004A3F2A">
        <w:rPr>
          <w:rFonts w:asciiTheme="majorBidi" w:hAnsiTheme="majorBidi" w:cstheme="majorBidi"/>
          <w:b/>
          <w:bCs/>
          <w:sz w:val="96"/>
          <w:szCs w:val="96"/>
          <w:lang w:bidi="ar-DZ"/>
        </w:rPr>
        <w:t>Conclusion</w:t>
      </w:r>
      <w:r>
        <w:rPr>
          <w:rFonts w:asciiTheme="majorBidi" w:hAnsiTheme="majorBidi" w:cstheme="majorBidi"/>
          <w:b/>
          <w:bCs/>
          <w:sz w:val="96"/>
          <w:szCs w:val="96"/>
          <w:lang w:bidi="ar-DZ"/>
        </w:rPr>
        <w:t xml:space="preserve"> et perspectives </w:t>
      </w:r>
    </w:p>
    <w:p w14:paraId="547C1FD9" w14:textId="77777777" w:rsidR="003E3FB4" w:rsidRDefault="003E3FB4">
      <w:pPr>
        <w:tabs>
          <w:tab w:val="left" w:pos="6173"/>
        </w:tabs>
        <w:spacing w:line="360" w:lineRule="auto"/>
        <w:jc w:val="both"/>
        <w:rPr>
          <w:rFonts w:asciiTheme="majorBidi" w:hAnsiTheme="majorBidi" w:cstheme="majorBidi"/>
          <w:b/>
          <w:bCs/>
          <w:sz w:val="24"/>
          <w:szCs w:val="24"/>
          <w:lang w:bidi="ar-DZ"/>
        </w:rPr>
      </w:pPr>
    </w:p>
    <w:p w14:paraId="38DE9B27" w14:textId="77777777" w:rsidR="003E3FB4" w:rsidRDefault="003E3FB4">
      <w:pPr>
        <w:tabs>
          <w:tab w:val="left" w:pos="6173"/>
        </w:tabs>
        <w:spacing w:line="360" w:lineRule="auto"/>
        <w:jc w:val="both"/>
        <w:rPr>
          <w:rFonts w:asciiTheme="majorBidi" w:hAnsiTheme="majorBidi" w:cstheme="majorBidi"/>
          <w:b/>
          <w:bCs/>
          <w:sz w:val="24"/>
          <w:szCs w:val="24"/>
          <w:lang w:bidi="ar-DZ"/>
        </w:rPr>
      </w:pPr>
    </w:p>
    <w:p w14:paraId="4EF30068" w14:textId="77777777" w:rsidR="003E3FB4" w:rsidRDefault="003E3FB4">
      <w:pPr>
        <w:tabs>
          <w:tab w:val="left" w:pos="6173"/>
        </w:tabs>
        <w:spacing w:line="360" w:lineRule="auto"/>
        <w:jc w:val="both"/>
        <w:rPr>
          <w:rFonts w:asciiTheme="majorBidi" w:hAnsiTheme="majorBidi" w:cstheme="majorBidi"/>
          <w:b/>
          <w:bCs/>
          <w:sz w:val="24"/>
          <w:szCs w:val="24"/>
          <w:lang w:bidi="ar-DZ"/>
        </w:rPr>
      </w:pPr>
    </w:p>
    <w:p w14:paraId="5B637C6F" w14:textId="77777777" w:rsidR="003E3FB4" w:rsidRDefault="003E3FB4">
      <w:pPr>
        <w:tabs>
          <w:tab w:val="left" w:pos="6173"/>
        </w:tabs>
        <w:spacing w:line="360" w:lineRule="auto"/>
        <w:jc w:val="both"/>
        <w:rPr>
          <w:rFonts w:asciiTheme="majorBidi" w:hAnsiTheme="majorBidi" w:cstheme="majorBidi"/>
          <w:b/>
          <w:bCs/>
          <w:sz w:val="24"/>
          <w:szCs w:val="24"/>
          <w:lang w:bidi="ar-DZ"/>
        </w:rPr>
      </w:pPr>
    </w:p>
    <w:p w14:paraId="12A98252" w14:textId="77777777" w:rsidR="003E3FB4" w:rsidRDefault="003E3FB4">
      <w:pPr>
        <w:tabs>
          <w:tab w:val="left" w:pos="6173"/>
        </w:tabs>
        <w:spacing w:line="360" w:lineRule="auto"/>
        <w:jc w:val="both"/>
        <w:rPr>
          <w:rFonts w:asciiTheme="majorBidi" w:hAnsiTheme="majorBidi" w:cstheme="majorBidi"/>
          <w:b/>
          <w:bCs/>
          <w:sz w:val="24"/>
          <w:szCs w:val="24"/>
          <w:lang w:bidi="ar-DZ"/>
        </w:rPr>
      </w:pPr>
    </w:p>
    <w:p w14:paraId="0BF94F05" w14:textId="77777777" w:rsidR="003E3FB4" w:rsidRDefault="003E3FB4">
      <w:pPr>
        <w:tabs>
          <w:tab w:val="left" w:pos="6173"/>
        </w:tabs>
        <w:spacing w:line="360" w:lineRule="auto"/>
        <w:jc w:val="both"/>
        <w:rPr>
          <w:rFonts w:asciiTheme="majorBidi" w:hAnsiTheme="majorBidi" w:cstheme="majorBidi"/>
          <w:b/>
          <w:bCs/>
          <w:sz w:val="24"/>
          <w:szCs w:val="24"/>
          <w:lang w:bidi="ar-DZ"/>
        </w:rPr>
      </w:pPr>
    </w:p>
    <w:p w14:paraId="76593460" w14:textId="77777777" w:rsidR="003E3FB4" w:rsidRDefault="003E3FB4">
      <w:pPr>
        <w:tabs>
          <w:tab w:val="left" w:pos="6173"/>
        </w:tabs>
        <w:spacing w:line="360" w:lineRule="auto"/>
        <w:jc w:val="both"/>
        <w:rPr>
          <w:rFonts w:asciiTheme="majorBidi" w:hAnsiTheme="majorBidi" w:cstheme="majorBidi"/>
          <w:b/>
          <w:bCs/>
          <w:sz w:val="24"/>
          <w:szCs w:val="24"/>
          <w:lang w:bidi="ar-DZ"/>
        </w:rPr>
      </w:pPr>
    </w:p>
    <w:p w14:paraId="573B449B" w14:textId="77777777" w:rsidR="003E3FB4" w:rsidRDefault="003E3FB4">
      <w:pPr>
        <w:tabs>
          <w:tab w:val="left" w:pos="6173"/>
        </w:tabs>
        <w:spacing w:line="360" w:lineRule="auto"/>
        <w:jc w:val="both"/>
        <w:rPr>
          <w:rFonts w:asciiTheme="majorBidi" w:hAnsiTheme="majorBidi" w:cstheme="majorBidi"/>
          <w:b/>
          <w:bCs/>
          <w:sz w:val="24"/>
          <w:szCs w:val="24"/>
          <w:lang w:bidi="ar-DZ"/>
        </w:rPr>
      </w:pPr>
    </w:p>
    <w:p w14:paraId="17C3C05C" w14:textId="77777777" w:rsidR="003E3FB4" w:rsidRDefault="003E3FB4">
      <w:pPr>
        <w:tabs>
          <w:tab w:val="left" w:pos="6173"/>
        </w:tabs>
        <w:spacing w:line="360" w:lineRule="auto"/>
        <w:jc w:val="both"/>
        <w:rPr>
          <w:rFonts w:asciiTheme="majorBidi" w:hAnsiTheme="majorBidi" w:cstheme="majorBidi"/>
          <w:b/>
          <w:bCs/>
          <w:sz w:val="24"/>
          <w:szCs w:val="24"/>
          <w:lang w:bidi="ar-DZ"/>
        </w:rPr>
      </w:pPr>
    </w:p>
    <w:p w14:paraId="10E4A2B6" w14:textId="77777777" w:rsidR="001C5165" w:rsidRDefault="00385ED0" w:rsidP="00A901D3">
      <w:pPr>
        <w:jc w:val="center"/>
        <w:rPr>
          <w:rFonts w:asciiTheme="majorBidi" w:hAnsiTheme="majorBidi" w:cstheme="majorBidi"/>
          <w:b/>
          <w:bCs/>
          <w:sz w:val="24"/>
          <w:szCs w:val="24"/>
          <w:lang w:bidi="ar-DZ"/>
        </w:rPr>
        <w:sectPr w:rsidR="001C5165" w:rsidSect="00EA4575">
          <w:headerReference w:type="default" r:id="rId65"/>
          <w:footerReference w:type="default" r:id="rId66"/>
          <w:pgSz w:w="11906" w:h="16838"/>
          <w:pgMar w:top="1418" w:right="1416" w:bottom="1418" w:left="1418" w:header="709" w:footer="709" w:gutter="0"/>
          <w:pgNumType w:start="38"/>
          <w:cols w:space="708"/>
          <w:docGrid w:linePitch="360"/>
        </w:sectPr>
      </w:pPr>
      <w:r>
        <w:rPr>
          <w:rFonts w:asciiTheme="majorBidi" w:hAnsiTheme="majorBidi" w:cstheme="majorBidi"/>
          <w:b/>
          <w:bCs/>
          <w:sz w:val="24"/>
          <w:szCs w:val="24"/>
          <w:lang w:bidi="ar-DZ"/>
        </w:rPr>
        <w:t xml:space="preserve"> </w:t>
      </w:r>
    </w:p>
    <w:p w14:paraId="10AAF7AF" w14:textId="78A5EF92" w:rsidR="003E3FB4" w:rsidRDefault="00385ED0" w:rsidP="00A901D3">
      <w:pPr>
        <w:jc w:val="center"/>
        <w:rPr>
          <w:rFonts w:asciiTheme="majorBidi" w:hAnsiTheme="majorBidi" w:cstheme="majorBidi"/>
          <w:b/>
          <w:bCs/>
          <w:sz w:val="28"/>
          <w:szCs w:val="28"/>
          <w:lang w:bidi="ar-DZ"/>
        </w:rPr>
      </w:pPr>
      <w:r>
        <w:rPr>
          <w:rFonts w:asciiTheme="majorBidi" w:hAnsiTheme="majorBidi" w:cstheme="majorBidi"/>
          <w:b/>
          <w:bCs/>
          <w:sz w:val="28"/>
          <w:szCs w:val="28"/>
          <w:lang w:bidi="ar-DZ"/>
        </w:rPr>
        <w:lastRenderedPageBreak/>
        <w:t>Conclusion et perspectives</w:t>
      </w:r>
    </w:p>
    <w:p w14:paraId="09EC9BFD" w14:textId="77777777" w:rsidR="003E3FB4" w:rsidRDefault="00385ED0">
      <w:pPr>
        <w:spacing w:line="360" w:lineRule="auto"/>
        <w:ind w:firstLine="708"/>
        <w:jc w:val="both"/>
        <w:rPr>
          <w:rFonts w:asciiTheme="majorBidi" w:hAnsiTheme="majorBidi" w:cstheme="majorBidi"/>
          <w:sz w:val="24"/>
          <w:szCs w:val="24"/>
          <w:lang w:bidi="ar-DZ"/>
        </w:rPr>
      </w:pPr>
      <w:r>
        <w:rPr>
          <w:rFonts w:asciiTheme="majorBidi" w:hAnsiTheme="majorBidi" w:cstheme="majorBidi"/>
          <w:sz w:val="24"/>
          <w:szCs w:val="24"/>
          <w:lang w:bidi="ar-DZ"/>
        </w:rPr>
        <w:t>Au terme de ce travail de recherche, qui s’est articulé autour de l’étude des propriétés chimiques et biologiques des extraits aqueux et éthanolique des graines de fenugrec (</w:t>
      </w:r>
      <w:r>
        <w:rPr>
          <w:rFonts w:asciiTheme="majorBidi" w:hAnsiTheme="majorBidi" w:cstheme="majorBidi"/>
          <w:i/>
          <w:iCs/>
          <w:sz w:val="24"/>
          <w:szCs w:val="24"/>
          <w:lang w:bidi="ar-DZ"/>
        </w:rPr>
        <w:t>Trigonella foenum-graecum</w:t>
      </w:r>
      <w:r>
        <w:rPr>
          <w:rFonts w:asciiTheme="majorBidi" w:hAnsiTheme="majorBidi" w:cstheme="majorBidi"/>
          <w:sz w:val="24"/>
          <w:szCs w:val="24"/>
          <w:lang w:bidi="ar-DZ"/>
        </w:rPr>
        <w:t xml:space="preserve"> L.), il apparaît que cette étude a révélé un potentiel prometteur de cette plante médicinale traditionnelle en tant que source naturelle riche en composés bioactifs.</w:t>
      </w:r>
    </w:p>
    <w:p w14:paraId="55290137" w14:textId="77777777" w:rsidR="003E3FB4" w:rsidRDefault="00385ED0">
      <w:pPr>
        <w:spacing w:line="360" w:lineRule="auto"/>
        <w:ind w:firstLine="567"/>
        <w:jc w:val="both"/>
        <w:rPr>
          <w:rFonts w:asciiTheme="majorBidi" w:hAnsiTheme="majorBidi" w:cstheme="majorBidi"/>
          <w:sz w:val="24"/>
          <w:szCs w:val="24"/>
          <w:lang w:bidi="ar-DZ"/>
        </w:rPr>
      </w:pPr>
      <w:r>
        <w:rPr>
          <w:rFonts w:asciiTheme="majorBidi" w:hAnsiTheme="majorBidi" w:cstheme="majorBidi"/>
          <w:sz w:val="24"/>
          <w:szCs w:val="24"/>
          <w:lang w:bidi="ar-DZ"/>
        </w:rPr>
        <w:t>Les analyses phytochimiques ont révélé une richesse en composés bioactifs d’intérêt thérapeutique, notamment les alcaloïdes, les tanins catéchiques, les quinones libres, les flavonoïdes et les saponines stéroïdiennes. Le rendement d’extraction s’est élevé à 3,88 % pour l’extrait aqueux et à 13,25 % pour l’extrait éthanolique. Les dosages quantitatifs ont montré que l’extrait aqueux présentait la plus forte concentration en polyphénols totaux, atteignant 196,9 mg EAG/g d’extrait, contre 180 mg EAG/g pour l’extrait éthanolique. De même, la teneur en flavonoïdes était plus élevée dans l’extrait aqueux (32,72 ± 1,16 mg EQ/g) que dans l’extrait éthanolique (23,44 ± 0,51 mgEQ/g). En revanche, l’extrait éthanolique s’est distingué par une teneur plus importante en tanins (16,3 ± 0,06 mg EC/g) comparativement à l’extrait aqueux (10,34 ± 0,09 mg EC/g).</w:t>
      </w:r>
    </w:p>
    <w:p w14:paraId="21207FB0" w14:textId="77777777" w:rsidR="003E3FB4" w:rsidRDefault="00385ED0">
      <w:pPr>
        <w:spacing w:line="360" w:lineRule="auto"/>
        <w:ind w:firstLine="567"/>
        <w:jc w:val="both"/>
        <w:rPr>
          <w:rFonts w:asciiTheme="majorBidi" w:hAnsiTheme="majorBidi" w:cstheme="majorBidi"/>
          <w:sz w:val="24"/>
          <w:szCs w:val="24"/>
          <w:lang w:bidi="ar-DZ"/>
        </w:rPr>
      </w:pPr>
      <w:r>
        <w:rPr>
          <w:rFonts w:asciiTheme="majorBidi" w:hAnsiTheme="majorBidi" w:cstheme="majorBidi"/>
          <w:sz w:val="24"/>
          <w:szCs w:val="24"/>
          <w:lang w:bidi="ar-DZ"/>
        </w:rPr>
        <w:t xml:space="preserve">En ce qui concerne l’activité antioxydante, les tests DPPH et FRAP ont montré une supériorité de l’extrait aqueux. La valeur IC₅₀ obtenue avec le test DPPH était de 25,27 µg/ml, comparée à 24,53 ± 0,26 µg/ml pour le BHT et à 20,28 ± 0,24 µg/ml pour la vitamine C. Dans le test FRAP, l’extrait aqueux a montré une IC₅₀ de 49,89 ± µg/ml, contre 36,96 ± µg/ml pour l’éthanolique et 36,41µg/ml pour le BHT et 35,51µg/ml pour vitamine C. Ces résultats confirment son potentiel en tant qu’antioxydant naturel. </w:t>
      </w:r>
    </w:p>
    <w:p w14:paraId="76CF3B35" w14:textId="77777777" w:rsidR="003E3FB4" w:rsidRDefault="00385ED0">
      <w:pPr>
        <w:spacing w:line="360" w:lineRule="auto"/>
        <w:ind w:firstLine="567"/>
        <w:jc w:val="both"/>
        <w:rPr>
          <w:rFonts w:asciiTheme="majorBidi" w:hAnsiTheme="majorBidi" w:cstheme="majorBidi"/>
          <w:sz w:val="24"/>
          <w:szCs w:val="24"/>
          <w:lang w:bidi="ar-DZ"/>
        </w:rPr>
      </w:pPr>
      <w:r>
        <w:rPr>
          <w:rFonts w:asciiTheme="majorBidi" w:hAnsiTheme="majorBidi" w:cstheme="majorBidi"/>
          <w:sz w:val="24"/>
          <w:szCs w:val="24"/>
          <w:lang w:bidi="ar-DZ"/>
        </w:rPr>
        <w:t>Les deux extraits ont également montré une bonne activité anti-inflammatoire en inhibant la dénaturation de l’albumine, avec des valeurs IC₅₀ de 86,48 µg/ml pour l’extrait aqueux et 83,93 µg/ml pour l’extrait éthanolique, supérieures à celle de l’aspirine (129,35 µg/ml).</w:t>
      </w:r>
    </w:p>
    <w:p w14:paraId="071F49E8" w14:textId="77777777" w:rsidR="003E3FB4" w:rsidRDefault="00385ED0">
      <w:pPr>
        <w:spacing w:line="360" w:lineRule="auto"/>
        <w:ind w:firstLine="567"/>
        <w:jc w:val="both"/>
        <w:rPr>
          <w:rFonts w:asciiTheme="majorBidi" w:hAnsiTheme="majorBidi" w:cstheme="majorBidi"/>
          <w:sz w:val="24"/>
          <w:szCs w:val="24"/>
          <w:lang w:bidi="ar-DZ"/>
        </w:rPr>
      </w:pPr>
      <w:r>
        <w:rPr>
          <w:rFonts w:asciiTheme="majorBidi" w:hAnsiTheme="majorBidi" w:cstheme="majorBidi"/>
          <w:sz w:val="24"/>
          <w:szCs w:val="24"/>
          <w:lang w:bidi="ar-DZ"/>
        </w:rPr>
        <w:t xml:space="preserve">Concernant l’activité antibactérienne, l’extrait aqueux s’est révélé actif contre des souches bactériennes à Gram positif, notamment </w:t>
      </w:r>
      <w:r>
        <w:rPr>
          <w:rFonts w:asciiTheme="majorBidi" w:hAnsiTheme="majorBidi" w:cstheme="majorBidi"/>
          <w:i/>
          <w:iCs/>
          <w:sz w:val="24"/>
          <w:szCs w:val="24"/>
          <w:lang w:bidi="ar-DZ"/>
        </w:rPr>
        <w:t>Staphylococcus epidermidis</w:t>
      </w:r>
      <w:r>
        <w:rPr>
          <w:rFonts w:asciiTheme="majorBidi" w:hAnsiTheme="majorBidi" w:cstheme="majorBidi"/>
          <w:sz w:val="24"/>
          <w:szCs w:val="24"/>
          <w:lang w:bidi="ar-DZ"/>
        </w:rPr>
        <w:t xml:space="preserve">, avec une zone d’inhibition de 15 mm, et </w:t>
      </w:r>
      <w:r>
        <w:rPr>
          <w:rFonts w:asciiTheme="majorBidi" w:hAnsiTheme="majorBidi" w:cstheme="majorBidi"/>
          <w:i/>
          <w:iCs/>
          <w:sz w:val="24"/>
          <w:szCs w:val="24"/>
          <w:lang w:bidi="ar-DZ"/>
        </w:rPr>
        <w:t xml:space="preserve">Bacillus subtilis </w:t>
      </w:r>
      <w:r>
        <w:rPr>
          <w:rFonts w:asciiTheme="majorBidi" w:hAnsiTheme="majorBidi" w:cstheme="majorBidi"/>
          <w:sz w:val="24"/>
          <w:szCs w:val="24"/>
          <w:lang w:bidi="ar-DZ"/>
        </w:rPr>
        <w:t xml:space="preserve">(12 mm). En revanche, il n’a présenté aucune activité inhibitrice sur les autres souches testées. L’extrait éthanolique a présenté une activité antimicrobienne modérée à l’égard de Staphylococcus epidermidis, avec une zone d’inhibition mesurant 11 mm, et n’a montré aucun effet inhibiteur sur les autres souches testées. </w:t>
      </w:r>
    </w:p>
    <w:p w14:paraId="56630140" w14:textId="77777777" w:rsidR="003E3FB4" w:rsidRDefault="00385ED0">
      <w:pPr>
        <w:spacing w:line="360" w:lineRule="auto"/>
        <w:ind w:firstLine="567"/>
        <w:jc w:val="both"/>
        <w:rPr>
          <w:rFonts w:asciiTheme="majorBidi" w:hAnsiTheme="majorBidi" w:cstheme="majorBidi"/>
          <w:sz w:val="24"/>
          <w:szCs w:val="24"/>
          <w:lang w:bidi="ar-DZ"/>
        </w:rPr>
      </w:pPr>
      <w:r>
        <w:rPr>
          <w:rFonts w:asciiTheme="majorBidi" w:hAnsiTheme="majorBidi" w:cstheme="majorBidi"/>
          <w:sz w:val="24"/>
          <w:szCs w:val="24"/>
          <w:lang w:bidi="ar-DZ"/>
        </w:rPr>
        <w:lastRenderedPageBreak/>
        <w:t xml:space="preserve">À titre de comparaison, les antibiotiques de référence ont induit des zones d’inhibition nettement plus importantes, atteignant jusqu’à 48 mm, soulignant ainsi la puissance supérieure des traitements standards. Concernant l’activité antifongique, l’extrait aqueux a affiché des taux d’inhibition élevés vis-à-vis de plusieurs champignons pathogènes, en particulier </w:t>
      </w:r>
      <w:r>
        <w:rPr>
          <w:rFonts w:asciiTheme="majorBidi" w:hAnsiTheme="majorBidi" w:cstheme="majorBidi"/>
          <w:i/>
          <w:iCs/>
          <w:sz w:val="24"/>
          <w:szCs w:val="24"/>
          <w:lang w:bidi="ar-DZ"/>
        </w:rPr>
        <w:t xml:space="preserve">Aspergillus brasiliensis </w:t>
      </w:r>
      <w:r>
        <w:rPr>
          <w:rFonts w:asciiTheme="majorBidi" w:hAnsiTheme="majorBidi" w:cstheme="majorBidi"/>
          <w:sz w:val="24"/>
          <w:szCs w:val="24"/>
          <w:lang w:bidi="ar-DZ"/>
        </w:rPr>
        <w:t xml:space="preserve">(81,9 % ± 1,87), </w:t>
      </w:r>
      <w:r>
        <w:rPr>
          <w:rFonts w:asciiTheme="majorBidi" w:hAnsiTheme="majorBidi" w:cstheme="majorBidi"/>
          <w:i/>
          <w:iCs/>
          <w:sz w:val="24"/>
          <w:szCs w:val="24"/>
          <w:lang w:bidi="ar-DZ"/>
        </w:rPr>
        <w:t xml:space="preserve">Botrytis cinerea </w:t>
      </w:r>
      <w:r>
        <w:rPr>
          <w:rFonts w:asciiTheme="majorBidi" w:hAnsiTheme="majorBidi" w:cstheme="majorBidi"/>
          <w:sz w:val="24"/>
          <w:szCs w:val="24"/>
          <w:lang w:bidi="ar-DZ"/>
        </w:rPr>
        <w:t xml:space="preserve">(63,3 % ± 0,98) et </w:t>
      </w:r>
      <w:r>
        <w:rPr>
          <w:rFonts w:asciiTheme="majorBidi" w:hAnsiTheme="majorBidi" w:cstheme="majorBidi"/>
          <w:i/>
          <w:iCs/>
          <w:sz w:val="24"/>
          <w:szCs w:val="24"/>
          <w:lang w:bidi="ar-DZ"/>
        </w:rPr>
        <w:t>Colletotrichum sp.</w:t>
      </w:r>
      <w:r>
        <w:rPr>
          <w:rFonts w:asciiTheme="majorBidi" w:hAnsiTheme="majorBidi" w:cstheme="majorBidi"/>
          <w:sz w:val="24"/>
          <w:szCs w:val="24"/>
          <w:lang w:bidi="ar-DZ"/>
        </w:rPr>
        <w:t xml:space="preserve"> (68,75 % ± 0,42). L’extrait éthanolique a également montré une activité significative contre ces mêmes souches, avec des taux d’inhibition respectifs de 73 % ± 0,68, 66,66 % ± 1,03 et 71,25 % ± 0,85. Par ailleurs, les deux extraits ont exercé une inhibition marquée sur </w:t>
      </w:r>
      <w:r>
        <w:rPr>
          <w:rFonts w:asciiTheme="majorBidi" w:hAnsiTheme="majorBidi" w:cstheme="majorBidi"/>
          <w:i/>
          <w:iCs/>
          <w:sz w:val="24"/>
          <w:szCs w:val="24"/>
          <w:lang w:bidi="ar-DZ"/>
        </w:rPr>
        <w:t>Monilinia sp</w:t>
      </w:r>
      <w:r>
        <w:rPr>
          <w:rFonts w:asciiTheme="majorBidi" w:hAnsiTheme="majorBidi" w:cstheme="majorBidi"/>
          <w:sz w:val="24"/>
          <w:szCs w:val="24"/>
          <w:lang w:bidi="ar-DZ"/>
        </w:rPr>
        <w:t xml:space="preserve">., atteignant 73,75 % ± 1,22 pour l’extrait aqueux et 72,5 % ± 0,74 pour l’éthanolique. En ce qui concerne </w:t>
      </w:r>
      <w:r>
        <w:rPr>
          <w:rFonts w:asciiTheme="majorBidi" w:hAnsiTheme="majorBidi" w:cstheme="majorBidi"/>
          <w:i/>
          <w:iCs/>
          <w:sz w:val="24"/>
          <w:szCs w:val="24"/>
          <w:lang w:bidi="ar-DZ"/>
        </w:rPr>
        <w:t>Candida albicans</w:t>
      </w:r>
      <w:r>
        <w:rPr>
          <w:rFonts w:asciiTheme="majorBidi" w:hAnsiTheme="majorBidi" w:cstheme="majorBidi"/>
          <w:sz w:val="24"/>
          <w:szCs w:val="24"/>
          <w:lang w:bidi="ar-DZ"/>
        </w:rPr>
        <w:t>, une réponse antifongique modérée a été observée : la zone d’inhibition était de 13 mm avec l’extrait aqueux et de 10 mm avec l’éthanolique, contre 21 mm pour l’antibiotique de référence.</w:t>
      </w:r>
    </w:p>
    <w:p w14:paraId="2F33E864" w14:textId="77777777" w:rsidR="003E3FB4" w:rsidRDefault="00385ED0">
      <w:pPr>
        <w:spacing w:line="360" w:lineRule="auto"/>
        <w:ind w:firstLine="567"/>
        <w:jc w:val="both"/>
        <w:rPr>
          <w:rFonts w:asciiTheme="majorBidi" w:hAnsiTheme="majorBidi" w:cstheme="majorBidi"/>
          <w:sz w:val="24"/>
          <w:szCs w:val="24"/>
          <w:lang w:bidi="ar-DZ"/>
        </w:rPr>
      </w:pPr>
      <w:r>
        <w:rPr>
          <w:rFonts w:asciiTheme="majorBidi" w:hAnsiTheme="majorBidi" w:cstheme="majorBidi"/>
          <w:sz w:val="24"/>
          <w:szCs w:val="24"/>
          <w:lang w:bidi="ar-DZ"/>
        </w:rPr>
        <w:t>À la lumière de ces observations, plusieurs recommandations peuvent être formulées afin d’approfondir et valoriser ces travaux :</w:t>
      </w:r>
    </w:p>
    <w:p w14:paraId="75670CA2" w14:textId="77777777" w:rsidR="003E3FB4" w:rsidRDefault="00385ED0">
      <w:pPr>
        <w:pStyle w:val="Paragraphedeliste"/>
        <w:numPr>
          <w:ilvl w:val="0"/>
          <w:numId w:val="7"/>
        </w:numPr>
        <w:spacing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Promouvoir l’intégration des extraits de fenugrec dans les industries pharmaceutiques et cosmétiques, en tant que sources naturelles d’antioxydants et de composés à activité antibiotique.</w:t>
      </w:r>
    </w:p>
    <w:p w14:paraId="0D5C878F" w14:textId="77777777" w:rsidR="003E3FB4" w:rsidRDefault="00385ED0">
      <w:pPr>
        <w:pStyle w:val="Paragraphedeliste"/>
        <w:numPr>
          <w:ilvl w:val="0"/>
          <w:numId w:val="7"/>
        </w:numPr>
        <w:spacing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Approfondir les recherches sur les mécanismes biochimiques d’action des composés actifs identifiés, afin de mieux comprendre leurs cibles moléculaires.</w:t>
      </w:r>
    </w:p>
    <w:p w14:paraId="31C93139" w14:textId="77777777" w:rsidR="003E3FB4" w:rsidRDefault="00385ED0">
      <w:pPr>
        <w:pStyle w:val="Paragraphedeliste"/>
        <w:numPr>
          <w:ilvl w:val="0"/>
          <w:numId w:val="7"/>
        </w:numPr>
        <w:spacing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 xml:space="preserve">Réaliser des essais </w:t>
      </w:r>
      <w:r>
        <w:rPr>
          <w:rFonts w:asciiTheme="majorBidi" w:hAnsiTheme="majorBidi" w:cstheme="majorBidi"/>
          <w:i/>
          <w:iCs/>
          <w:sz w:val="24"/>
          <w:szCs w:val="24"/>
          <w:lang w:bidi="ar-DZ"/>
        </w:rPr>
        <w:t xml:space="preserve">in vivo </w:t>
      </w:r>
      <w:r>
        <w:rPr>
          <w:rFonts w:asciiTheme="majorBidi" w:hAnsiTheme="majorBidi" w:cstheme="majorBidi"/>
          <w:sz w:val="24"/>
          <w:szCs w:val="24"/>
          <w:lang w:bidi="ar-DZ"/>
        </w:rPr>
        <w:t>pour évaluer l’efficacité, la toxicité et la sécurité des extraits chez les organismes vivants.</w:t>
      </w:r>
    </w:p>
    <w:p w14:paraId="0E721AFF" w14:textId="77777777" w:rsidR="003E3FB4" w:rsidRDefault="00385ED0">
      <w:pPr>
        <w:pStyle w:val="Paragraphedeliste"/>
        <w:numPr>
          <w:ilvl w:val="0"/>
          <w:numId w:val="7"/>
        </w:numPr>
        <w:spacing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Étendre les investigations à d’autres activités biologiques potentielles, telles que l’hémolyse, les effets antidiabétiques, insecticides et antiparasitaires.</w:t>
      </w:r>
    </w:p>
    <w:p w14:paraId="4A826075" w14:textId="77777777" w:rsidR="003E3FB4" w:rsidRDefault="00385ED0">
      <w:pPr>
        <w:pStyle w:val="Paragraphedeliste"/>
        <w:numPr>
          <w:ilvl w:val="0"/>
          <w:numId w:val="7"/>
        </w:numPr>
        <w:spacing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Explorer l’utilisation des extraits comme biocides naturels, afin d’évaluer leur efficacité contre les agents phytopathogènes dans le domaine agricole.</w:t>
      </w:r>
    </w:p>
    <w:p w14:paraId="06BB4EB6" w14:textId="77777777" w:rsidR="003E3FB4" w:rsidRDefault="00385ED0">
      <w:pPr>
        <w:pStyle w:val="Paragraphedeliste"/>
        <w:numPr>
          <w:ilvl w:val="0"/>
          <w:numId w:val="7"/>
        </w:numPr>
        <w:spacing w:line="360" w:lineRule="auto"/>
        <w:jc w:val="both"/>
        <w:rPr>
          <w:rFonts w:asciiTheme="majorBidi" w:hAnsiTheme="majorBidi" w:cstheme="majorBidi"/>
          <w:sz w:val="24"/>
          <w:szCs w:val="24"/>
          <w:lang w:bidi="ar-DZ"/>
        </w:rPr>
      </w:pPr>
      <w:r>
        <w:rPr>
          <w:rFonts w:asciiTheme="majorBidi" w:hAnsiTheme="majorBidi" w:cstheme="majorBidi"/>
          <w:sz w:val="24"/>
          <w:szCs w:val="24"/>
          <w:lang w:bidi="ar-DZ"/>
        </w:rPr>
        <w:t>Effectuer une analyse chimique approfondie des composés phénoliques contenus dans les extraits, notamment par chromatographie liquide à haute performance (HPLC), afin d’identifier précisément les molécules responsables des activités observées.</w:t>
      </w:r>
    </w:p>
    <w:p w14:paraId="48FEA80C" w14:textId="77777777" w:rsidR="00A13D03" w:rsidRDefault="00A13D03">
      <w:pPr>
        <w:rPr>
          <w:rFonts w:asciiTheme="majorBidi" w:hAnsiTheme="majorBidi" w:cstheme="majorBidi"/>
          <w:b/>
          <w:bCs/>
          <w:sz w:val="24"/>
          <w:szCs w:val="24"/>
          <w:lang w:bidi="ar-DZ"/>
        </w:rPr>
        <w:sectPr w:rsidR="00A13D03" w:rsidSect="00A13D03">
          <w:headerReference w:type="default" r:id="rId67"/>
          <w:footerReference w:type="default" r:id="rId68"/>
          <w:pgSz w:w="11906" w:h="16838"/>
          <w:pgMar w:top="1418" w:right="1416" w:bottom="1418" w:left="1418" w:header="709" w:footer="709" w:gutter="0"/>
          <w:pgNumType w:start="64"/>
          <w:cols w:space="708"/>
          <w:docGrid w:linePitch="360"/>
        </w:sectPr>
      </w:pPr>
    </w:p>
    <w:p w14:paraId="5BAD5914" w14:textId="1E9897D8" w:rsidR="003E3FB4" w:rsidRDefault="003E3FB4">
      <w:pPr>
        <w:rPr>
          <w:rFonts w:asciiTheme="majorBidi" w:hAnsiTheme="majorBidi" w:cstheme="majorBidi"/>
          <w:b/>
          <w:bCs/>
          <w:sz w:val="24"/>
          <w:szCs w:val="24"/>
          <w:lang w:bidi="ar-DZ"/>
        </w:rPr>
      </w:pPr>
    </w:p>
    <w:p w14:paraId="5F05FEED" w14:textId="0411B28D" w:rsidR="007575EF" w:rsidRDefault="007575EF">
      <w:pPr>
        <w:rPr>
          <w:rFonts w:asciiTheme="majorBidi" w:hAnsiTheme="majorBidi" w:cstheme="majorBidi"/>
          <w:b/>
          <w:bCs/>
          <w:sz w:val="24"/>
          <w:szCs w:val="24"/>
          <w:lang w:bidi="ar-DZ"/>
        </w:rPr>
      </w:pPr>
    </w:p>
    <w:p w14:paraId="35FB86A4" w14:textId="0D691CFE" w:rsidR="007575EF" w:rsidRDefault="007575EF">
      <w:pPr>
        <w:rPr>
          <w:rFonts w:asciiTheme="majorBidi" w:hAnsiTheme="majorBidi" w:cstheme="majorBidi"/>
          <w:b/>
          <w:bCs/>
          <w:sz w:val="24"/>
          <w:szCs w:val="24"/>
          <w:lang w:bidi="ar-DZ"/>
        </w:rPr>
      </w:pPr>
    </w:p>
    <w:p w14:paraId="148A06D4" w14:textId="0E34C298" w:rsidR="007575EF" w:rsidRDefault="007575EF">
      <w:pPr>
        <w:rPr>
          <w:rFonts w:asciiTheme="majorBidi" w:hAnsiTheme="majorBidi" w:cstheme="majorBidi"/>
          <w:b/>
          <w:bCs/>
          <w:sz w:val="24"/>
          <w:szCs w:val="24"/>
          <w:lang w:bidi="ar-DZ"/>
        </w:rPr>
      </w:pPr>
    </w:p>
    <w:p w14:paraId="1919F0F3" w14:textId="133D68CE" w:rsidR="007575EF" w:rsidRDefault="007575EF">
      <w:pPr>
        <w:rPr>
          <w:rFonts w:asciiTheme="majorBidi" w:hAnsiTheme="majorBidi" w:cstheme="majorBidi"/>
          <w:b/>
          <w:bCs/>
          <w:sz w:val="24"/>
          <w:szCs w:val="24"/>
          <w:lang w:bidi="ar-DZ"/>
        </w:rPr>
      </w:pPr>
    </w:p>
    <w:p w14:paraId="35EA6819" w14:textId="7CA868EF" w:rsidR="007575EF" w:rsidRDefault="007575EF">
      <w:pPr>
        <w:rPr>
          <w:rFonts w:asciiTheme="majorBidi" w:hAnsiTheme="majorBidi" w:cstheme="majorBidi"/>
          <w:b/>
          <w:bCs/>
          <w:sz w:val="24"/>
          <w:szCs w:val="24"/>
          <w:lang w:bidi="ar-DZ"/>
        </w:rPr>
      </w:pPr>
    </w:p>
    <w:p w14:paraId="63CEA191" w14:textId="77777777" w:rsidR="007575EF" w:rsidRDefault="007575EF">
      <w:pPr>
        <w:rPr>
          <w:rFonts w:asciiTheme="majorBidi" w:hAnsiTheme="majorBidi" w:cstheme="majorBidi"/>
          <w:b/>
          <w:bCs/>
          <w:sz w:val="24"/>
          <w:szCs w:val="24"/>
          <w:lang w:bidi="ar-DZ"/>
        </w:rPr>
      </w:pPr>
    </w:p>
    <w:p w14:paraId="26FB11EE" w14:textId="77777777" w:rsidR="003E3FB4" w:rsidRDefault="00385ED0">
      <w:pPr>
        <w:rPr>
          <w:rFonts w:asciiTheme="majorBidi" w:hAnsiTheme="majorBidi" w:cstheme="majorBidi"/>
          <w:b/>
          <w:bCs/>
          <w:sz w:val="24"/>
          <w:szCs w:val="24"/>
          <w:lang w:bidi="ar-DZ"/>
        </w:rPr>
      </w:pPr>
      <w:r>
        <w:rPr>
          <w:rFonts w:asciiTheme="majorBidi" w:hAnsiTheme="majorBidi" w:cstheme="majorBidi"/>
          <w:b/>
          <w:bCs/>
          <w:sz w:val="24"/>
          <w:szCs w:val="24"/>
          <w:lang w:bidi="ar-DZ"/>
        </w:rPr>
        <w:t xml:space="preserve">                                     </w:t>
      </w:r>
      <w:r>
        <w:rPr>
          <w:rFonts w:asciiTheme="majorBidi" w:hAnsiTheme="majorBidi" w:cstheme="majorBidi"/>
          <w:b/>
          <w:bCs/>
          <w:i/>
          <w:iCs/>
          <w:sz w:val="96"/>
          <w:szCs w:val="96"/>
        </w:rPr>
        <w:t>Références</w:t>
      </w:r>
    </w:p>
    <w:p w14:paraId="08EBA5C4" w14:textId="77777777" w:rsidR="003E3FB4" w:rsidRDefault="00385ED0">
      <w:pPr>
        <w:jc w:val="center"/>
        <w:rPr>
          <w:rFonts w:asciiTheme="majorBidi" w:hAnsiTheme="majorBidi" w:cstheme="majorBidi"/>
          <w:b/>
          <w:bCs/>
          <w:i/>
          <w:iCs/>
          <w:sz w:val="96"/>
          <w:szCs w:val="96"/>
          <w:u w:val="single"/>
        </w:rPr>
      </w:pPr>
      <w:r>
        <w:rPr>
          <w:rFonts w:asciiTheme="majorBidi" w:hAnsiTheme="majorBidi" w:cstheme="majorBidi"/>
          <w:b/>
          <w:bCs/>
          <w:i/>
          <w:iCs/>
          <w:sz w:val="96"/>
          <w:szCs w:val="96"/>
        </w:rPr>
        <w:t>Bibliographiques</w:t>
      </w:r>
    </w:p>
    <w:p w14:paraId="5342FC8F" w14:textId="77777777" w:rsidR="003E3FB4" w:rsidRDefault="003E3FB4">
      <w:pPr>
        <w:rPr>
          <w:rFonts w:asciiTheme="majorBidi" w:hAnsiTheme="majorBidi" w:cstheme="majorBidi"/>
          <w:b/>
          <w:bCs/>
          <w:i/>
          <w:iCs/>
          <w:sz w:val="96"/>
          <w:szCs w:val="96"/>
          <w:u w:val="single"/>
        </w:rPr>
      </w:pPr>
    </w:p>
    <w:p w14:paraId="4BDFE82B" w14:textId="77777777" w:rsidR="003E3FB4" w:rsidRDefault="003E3FB4">
      <w:pPr>
        <w:tabs>
          <w:tab w:val="left" w:pos="6173"/>
        </w:tabs>
        <w:spacing w:line="360" w:lineRule="auto"/>
        <w:jc w:val="both"/>
        <w:rPr>
          <w:rFonts w:asciiTheme="majorBidi" w:hAnsiTheme="majorBidi" w:cstheme="majorBidi"/>
          <w:b/>
          <w:bCs/>
          <w:sz w:val="24"/>
          <w:szCs w:val="24"/>
          <w:lang w:bidi="ar-DZ"/>
        </w:rPr>
      </w:pPr>
    </w:p>
    <w:p w14:paraId="67DA9AE0" w14:textId="77777777" w:rsidR="003E3FB4" w:rsidRDefault="003E3FB4">
      <w:pPr>
        <w:tabs>
          <w:tab w:val="left" w:pos="6173"/>
        </w:tabs>
        <w:spacing w:line="360" w:lineRule="auto"/>
        <w:jc w:val="both"/>
        <w:rPr>
          <w:rFonts w:asciiTheme="majorBidi" w:hAnsiTheme="majorBidi" w:cstheme="majorBidi"/>
          <w:b/>
          <w:bCs/>
          <w:sz w:val="24"/>
          <w:szCs w:val="24"/>
          <w:lang w:bidi="ar-DZ"/>
        </w:rPr>
      </w:pPr>
    </w:p>
    <w:p w14:paraId="48747ABC" w14:textId="77777777" w:rsidR="003E3FB4" w:rsidRDefault="003E3FB4">
      <w:pPr>
        <w:tabs>
          <w:tab w:val="left" w:pos="6173"/>
        </w:tabs>
        <w:spacing w:line="360" w:lineRule="auto"/>
        <w:jc w:val="both"/>
        <w:rPr>
          <w:rFonts w:asciiTheme="majorBidi" w:hAnsiTheme="majorBidi" w:cstheme="majorBidi"/>
          <w:b/>
          <w:bCs/>
          <w:sz w:val="24"/>
          <w:szCs w:val="24"/>
          <w:lang w:bidi="ar-DZ"/>
        </w:rPr>
      </w:pPr>
    </w:p>
    <w:p w14:paraId="379565B3" w14:textId="77777777" w:rsidR="003E3FB4" w:rsidRDefault="003E3FB4">
      <w:pPr>
        <w:tabs>
          <w:tab w:val="left" w:pos="6173"/>
        </w:tabs>
        <w:spacing w:line="360" w:lineRule="auto"/>
        <w:jc w:val="both"/>
        <w:rPr>
          <w:rFonts w:asciiTheme="majorBidi" w:hAnsiTheme="majorBidi" w:cstheme="majorBidi"/>
          <w:b/>
          <w:bCs/>
          <w:sz w:val="24"/>
          <w:szCs w:val="24"/>
          <w:lang w:bidi="ar-DZ"/>
        </w:rPr>
      </w:pPr>
    </w:p>
    <w:p w14:paraId="796B50FA" w14:textId="77777777" w:rsidR="003E3FB4" w:rsidRDefault="003E3FB4">
      <w:pPr>
        <w:tabs>
          <w:tab w:val="left" w:pos="6173"/>
        </w:tabs>
        <w:spacing w:line="360" w:lineRule="auto"/>
        <w:jc w:val="both"/>
        <w:rPr>
          <w:rFonts w:asciiTheme="majorBidi" w:hAnsiTheme="majorBidi" w:cstheme="majorBidi"/>
          <w:b/>
          <w:bCs/>
          <w:sz w:val="24"/>
          <w:szCs w:val="24"/>
          <w:lang w:bidi="ar-DZ"/>
        </w:rPr>
      </w:pPr>
    </w:p>
    <w:p w14:paraId="250E7591" w14:textId="77777777" w:rsidR="003E3FB4" w:rsidRDefault="003E3FB4">
      <w:pPr>
        <w:tabs>
          <w:tab w:val="left" w:pos="6173"/>
        </w:tabs>
        <w:spacing w:line="360" w:lineRule="auto"/>
        <w:jc w:val="both"/>
        <w:rPr>
          <w:rFonts w:asciiTheme="majorBidi" w:hAnsiTheme="majorBidi" w:cstheme="majorBidi"/>
          <w:b/>
          <w:bCs/>
          <w:sz w:val="24"/>
          <w:szCs w:val="24"/>
          <w:lang w:bidi="ar-DZ"/>
        </w:rPr>
      </w:pPr>
    </w:p>
    <w:p w14:paraId="36C10123" w14:textId="77777777" w:rsidR="003E3FB4" w:rsidRDefault="003E3FB4">
      <w:pPr>
        <w:tabs>
          <w:tab w:val="left" w:pos="6173"/>
        </w:tabs>
        <w:spacing w:line="360" w:lineRule="auto"/>
        <w:jc w:val="both"/>
        <w:rPr>
          <w:rFonts w:asciiTheme="majorBidi" w:hAnsiTheme="majorBidi" w:cstheme="majorBidi"/>
          <w:b/>
          <w:bCs/>
          <w:sz w:val="24"/>
          <w:szCs w:val="24"/>
          <w:lang w:bidi="ar-DZ"/>
        </w:rPr>
      </w:pPr>
    </w:p>
    <w:p w14:paraId="25555DCE" w14:textId="77777777" w:rsidR="003E3FB4" w:rsidRDefault="003E3FB4">
      <w:pPr>
        <w:tabs>
          <w:tab w:val="left" w:pos="6173"/>
        </w:tabs>
        <w:spacing w:line="360" w:lineRule="auto"/>
        <w:jc w:val="both"/>
        <w:rPr>
          <w:rFonts w:asciiTheme="majorBidi" w:hAnsiTheme="majorBidi" w:cstheme="majorBidi"/>
          <w:b/>
          <w:bCs/>
          <w:sz w:val="24"/>
          <w:szCs w:val="24"/>
          <w:lang w:bidi="ar-DZ"/>
        </w:rPr>
      </w:pPr>
    </w:p>
    <w:p w14:paraId="6E1EBC2A" w14:textId="77777777" w:rsidR="007575EF" w:rsidRDefault="007575EF">
      <w:pPr>
        <w:tabs>
          <w:tab w:val="left" w:pos="6173"/>
        </w:tabs>
        <w:spacing w:line="360" w:lineRule="auto"/>
        <w:jc w:val="both"/>
        <w:rPr>
          <w:rFonts w:asciiTheme="majorBidi" w:hAnsiTheme="majorBidi" w:cstheme="majorBidi"/>
          <w:b/>
          <w:bCs/>
          <w:sz w:val="24"/>
          <w:szCs w:val="24"/>
          <w:lang w:bidi="ar-DZ"/>
        </w:rPr>
        <w:sectPr w:rsidR="007575EF" w:rsidSect="00A13D03">
          <w:headerReference w:type="default" r:id="rId69"/>
          <w:footerReference w:type="default" r:id="rId70"/>
          <w:pgSz w:w="11906" w:h="16838"/>
          <w:pgMar w:top="1418" w:right="1416" w:bottom="1418" w:left="1418" w:header="709" w:footer="709" w:gutter="0"/>
          <w:pgNumType w:start="64"/>
          <w:cols w:space="708"/>
          <w:docGrid w:linePitch="360"/>
        </w:sectPr>
      </w:pPr>
    </w:p>
    <w:p w14:paraId="4B3A2719" w14:textId="77777777" w:rsidR="003E3FB4" w:rsidRDefault="00385ED0">
      <w:pPr>
        <w:jc w:val="center"/>
        <w:rPr>
          <w:rFonts w:asciiTheme="majorBidi" w:hAnsiTheme="majorBidi" w:cstheme="majorBidi"/>
          <w:b/>
          <w:bCs/>
          <w:sz w:val="28"/>
          <w:szCs w:val="28"/>
        </w:rPr>
      </w:pPr>
      <w:r>
        <w:rPr>
          <w:rFonts w:asciiTheme="majorBidi" w:hAnsiTheme="majorBidi" w:cstheme="majorBidi"/>
          <w:b/>
          <w:bCs/>
          <w:sz w:val="28"/>
          <w:szCs w:val="28"/>
        </w:rPr>
        <w:lastRenderedPageBreak/>
        <w:t>Références bibliographiques</w:t>
      </w:r>
    </w:p>
    <w:p w14:paraId="53FE615B" w14:textId="77777777" w:rsidR="003E5817" w:rsidRDefault="003E5817">
      <w:pPr>
        <w:jc w:val="center"/>
        <w:rPr>
          <w:rFonts w:asciiTheme="majorBidi" w:hAnsiTheme="majorBidi" w:cstheme="majorBidi"/>
          <w:b/>
          <w:bCs/>
          <w:sz w:val="28"/>
          <w:szCs w:val="28"/>
        </w:rPr>
      </w:pPr>
    </w:p>
    <w:p w14:paraId="185B1810" w14:textId="77777777" w:rsidR="00BD78D0" w:rsidRDefault="00BD78D0" w:rsidP="003E5817">
      <w:pPr>
        <w:tabs>
          <w:tab w:val="left" w:pos="6173"/>
        </w:tabs>
        <w:spacing w:line="360" w:lineRule="auto"/>
        <w:jc w:val="both"/>
        <w:rPr>
          <w:rFonts w:asciiTheme="majorBidi" w:hAnsiTheme="majorBidi" w:cstheme="majorBidi"/>
          <w:b/>
          <w:bCs/>
          <w:sz w:val="28"/>
          <w:szCs w:val="28"/>
          <w:lang w:bidi="ar-DZ"/>
        </w:rPr>
      </w:pPr>
    </w:p>
    <w:p w14:paraId="79B6E358" w14:textId="77777777" w:rsidR="00BD78D0" w:rsidRPr="00BD78D0" w:rsidRDefault="00BD78D0" w:rsidP="003E5817">
      <w:pPr>
        <w:pStyle w:val="Paragraphedeliste"/>
        <w:numPr>
          <w:ilvl w:val="0"/>
          <w:numId w:val="11"/>
        </w:numPr>
        <w:spacing w:after="0" w:line="360" w:lineRule="auto"/>
        <w:ind w:left="284" w:hanging="284"/>
        <w:jc w:val="both"/>
        <w:rPr>
          <w:rFonts w:asciiTheme="majorBidi" w:hAnsiTheme="majorBidi" w:cstheme="majorBidi"/>
          <w:sz w:val="24"/>
          <w:szCs w:val="24"/>
          <w:shd w:val="clear" w:color="auto" w:fill="FFFFFF"/>
          <w:lang w:val="en-US"/>
        </w:rPr>
      </w:pPr>
      <w:r w:rsidRPr="00BD78D0">
        <w:rPr>
          <w:rFonts w:asciiTheme="majorBidi" w:hAnsiTheme="majorBidi" w:cstheme="majorBidi"/>
          <w:b/>
          <w:bCs/>
          <w:sz w:val="24"/>
          <w:szCs w:val="24"/>
          <w:shd w:val="clear" w:color="auto" w:fill="FFFFFF"/>
          <w:lang w:val="en-US"/>
        </w:rPr>
        <w:t xml:space="preserve">Aasim, M., Baloch, F. S., Nadeem, M. A., Bakhsh, A., Sameeullah, M., et Day, S. </w:t>
      </w:r>
      <w:r w:rsidRPr="00BD78D0">
        <w:rPr>
          <w:rFonts w:asciiTheme="majorBidi" w:hAnsiTheme="majorBidi" w:cstheme="majorBidi"/>
          <w:sz w:val="24"/>
          <w:szCs w:val="24"/>
          <w:shd w:val="clear" w:color="auto" w:fill="FFFFFF"/>
          <w:lang w:val="en-US"/>
        </w:rPr>
        <w:t xml:space="preserve">(2018). </w:t>
      </w:r>
      <w:r w:rsidRPr="00BD78D0">
        <w:rPr>
          <w:rFonts w:asciiTheme="majorBidi" w:hAnsiTheme="majorBidi" w:cstheme="majorBidi"/>
          <w:sz w:val="24"/>
          <w:szCs w:val="24"/>
          <w:shd w:val="clear" w:color="auto" w:fill="FFFFFF"/>
          <w:lang w:val="en-GB"/>
        </w:rPr>
        <w:t xml:space="preserve">Fenugreek (Trigonella foenum-graecum L.): An underutilized edible plant of modern world. In M. Ozturk, K. R. Hakeem, M. Ashraf, &amp; M. S. A. Ahmad (Eds.), Global perspectives on underutilized crops (pp. 381–399). Springer. </w:t>
      </w:r>
      <w:hyperlink r:id="rId71" w:history="1">
        <w:r w:rsidRPr="00BD78D0">
          <w:rPr>
            <w:rStyle w:val="Lienhypertexte"/>
            <w:rFonts w:asciiTheme="majorBidi" w:hAnsiTheme="majorBidi" w:cstheme="majorBidi"/>
            <w:sz w:val="24"/>
            <w:szCs w:val="24"/>
            <w:shd w:val="clear" w:color="auto" w:fill="FFFFFF"/>
            <w:lang w:val="en-GB"/>
          </w:rPr>
          <w:t>https://doi.org/10.1007/978-3-319-77776-4_12</w:t>
        </w:r>
      </w:hyperlink>
      <w:r w:rsidRPr="00BD78D0">
        <w:rPr>
          <w:rFonts w:asciiTheme="majorBidi" w:hAnsiTheme="majorBidi" w:cstheme="majorBidi"/>
          <w:sz w:val="24"/>
          <w:szCs w:val="24"/>
          <w:shd w:val="clear" w:color="auto" w:fill="FFFFFF"/>
          <w:lang w:val="en-GB"/>
        </w:rPr>
        <w:t>.</w:t>
      </w:r>
    </w:p>
    <w:p w14:paraId="783C9662" w14:textId="77777777" w:rsidR="00BD78D0" w:rsidRPr="00BD78D0" w:rsidRDefault="00BD78D0" w:rsidP="003E5817">
      <w:pPr>
        <w:pStyle w:val="Paragraphedeliste"/>
        <w:numPr>
          <w:ilvl w:val="0"/>
          <w:numId w:val="11"/>
        </w:numPr>
        <w:spacing w:after="0" w:line="360" w:lineRule="auto"/>
        <w:ind w:left="284" w:hanging="284"/>
        <w:jc w:val="both"/>
        <w:rPr>
          <w:rFonts w:asciiTheme="majorBidi" w:hAnsiTheme="majorBidi" w:cstheme="majorBidi"/>
          <w:sz w:val="24"/>
          <w:szCs w:val="24"/>
          <w:shd w:val="clear" w:color="auto" w:fill="FFFFFF"/>
          <w:lang w:val="en-GB"/>
        </w:rPr>
      </w:pPr>
      <w:r w:rsidRPr="00BD78D0">
        <w:rPr>
          <w:rFonts w:asciiTheme="majorBidi" w:hAnsiTheme="majorBidi" w:cstheme="majorBidi"/>
          <w:b/>
          <w:bCs/>
          <w:sz w:val="24"/>
          <w:szCs w:val="24"/>
          <w:shd w:val="clear" w:color="auto" w:fill="FFFFFF"/>
          <w:lang w:val="en-US"/>
        </w:rPr>
        <w:t>Abd-Alrahman, S. H., et Salem-Bekhit, M. M.</w:t>
      </w:r>
      <w:r w:rsidRPr="00BD78D0">
        <w:rPr>
          <w:rFonts w:asciiTheme="majorBidi" w:hAnsiTheme="majorBidi" w:cstheme="majorBidi"/>
          <w:sz w:val="24"/>
          <w:szCs w:val="24"/>
          <w:shd w:val="clear" w:color="auto" w:fill="FFFFFF"/>
          <w:lang w:val="en-US"/>
        </w:rPr>
        <w:t xml:space="preserve"> (2013). Phytochemical screening and antimicrobial activity of EtOH/Water Trigonella foenum-graecum (fenugreek) extracts. Journal of Pure and Applied Microbiology, 7(Special Edition), 417–422</w:t>
      </w:r>
    </w:p>
    <w:p w14:paraId="476231B3" w14:textId="77777777" w:rsidR="00BD78D0" w:rsidRPr="00BD78D0" w:rsidRDefault="00BD78D0" w:rsidP="003E5817">
      <w:pPr>
        <w:pStyle w:val="Paragraphedeliste"/>
        <w:numPr>
          <w:ilvl w:val="0"/>
          <w:numId w:val="11"/>
        </w:numPr>
        <w:spacing w:after="0" w:line="360" w:lineRule="auto"/>
        <w:ind w:left="284" w:hanging="284"/>
        <w:jc w:val="both"/>
        <w:rPr>
          <w:rFonts w:asciiTheme="majorBidi" w:hAnsiTheme="majorBidi" w:cstheme="majorBidi"/>
          <w:sz w:val="24"/>
          <w:szCs w:val="24"/>
          <w:shd w:val="clear" w:color="auto" w:fill="FFFFFF"/>
          <w:lang w:val="en-GB"/>
        </w:rPr>
      </w:pPr>
      <w:r w:rsidRPr="00BD78D0">
        <w:rPr>
          <w:rFonts w:asciiTheme="majorBidi" w:hAnsiTheme="majorBidi" w:cstheme="majorBidi"/>
          <w:b/>
          <w:bCs/>
          <w:sz w:val="24"/>
          <w:szCs w:val="24"/>
          <w:shd w:val="clear" w:color="auto" w:fill="FFFFFF"/>
        </w:rPr>
        <w:t>Ahmad, A., Alghamdi, S. S., Mahmood, K., et Afzal, M</w:t>
      </w:r>
      <w:r w:rsidRPr="00BD78D0">
        <w:rPr>
          <w:rFonts w:asciiTheme="majorBidi" w:hAnsiTheme="majorBidi" w:cstheme="majorBidi"/>
          <w:sz w:val="24"/>
          <w:szCs w:val="24"/>
          <w:shd w:val="clear" w:color="auto" w:fill="FFFFFF"/>
        </w:rPr>
        <w:t xml:space="preserve">. (2015). </w:t>
      </w:r>
      <w:r w:rsidRPr="00BD78D0">
        <w:rPr>
          <w:rFonts w:asciiTheme="majorBidi" w:hAnsiTheme="majorBidi" w:cstheme="majorBidi"/>
          <w:sz w:val="24"/>
          <w:szCs w:val="24"/>
          <w:shd w:val="clear" w:color="auto" w:fill="FFFFFF"/>
          <w:lang w:val="en-GB"/>
        </w:rPr>
        <w:t xml:space="preserve">Fenugreek: A multipurpose crop—Potentialities and improvements. Saudi Journal of Biological Sciences, 22(3), 1–15. </w:t>
      </w:r>
      <w:hyperlink r:id="rId72" w:history="1">
        <w:r w:rsidRPr="00BD78D0">
          <w:rPr>
            <w:rStyle w:val="Lienhypertexte"/>
            <w:rFonts w:asciiTheme="majorBidi" w:hAnsiTheme="majorBidi" w:cstheme="majorBidi"/>
            <w:sz w:val="24"/>
            <w:szCs w:val="24"/>
            <w:shd w:val="clear" w:color="auto" w:fill="FFFFFF"/>
            <w:lang w:val="en-GB"/>
          </w:rPr>
          <w:t>https://doi.org/10.1016/j.sjbs.2015.09.015</w:t>
        </w:r>
      </w:hyperlink>
    </w:p>
    <w:p w14:paraId="1D1982DC" w14:textId="77777777" w:rsidR="00BD78D0" w:rsidRPr="00BD78D0" w:rsidRDefault="00BD78D0" w:rsidP="003E5817">
      <w:pPr>
        <w:pStyle w:val="Paragraphedeliste"/>
        <w:numPr>
          <w:ilvl w:val="0"/>
          <w:numId w:val="11"/>
        </w:numPr>
        <w:spacing w:after="0" w:line="360" w:lineRule="auto"/>
        <w:ind w:left="284" w:hanging="284"/>
        <w:jc w:val="both"/>
        <w:rPr>
          <w:rFonts w:asciiTheme="majorBidi" w:hAnsiTheme="majorBidi" w:cstheme="majorBidi"/>
          <w:sz w:val="24"/>
          <w:szCs w:val="24"/>
          <w:shd w:val="clear" w:color="auto" w:fill="FFFFFF"/>
          <w:lang w:val="en-US"/>
        </w:rPr>
      </w:pPr>
      <w:r w:rsidRPr="00BD78D0">
        <w:rPr>
          <w:rFonts w:asciiTheme="majorBidi" w:hAnsiTheme="majorBidi" w:cstheme="majorBidi"/>
          <w:b/>
          <w:bCs/>
          <w:sz w:val="24"/>
          <w:szCs w:val="24"/>
          <w:shd w:val="clear" w:color="auto" w:fill="FFFFFF"/>
          <w:lang w:val="en-GB"/>
        </w:rPr>
        <w:t>Ahmad, A., Alghamdi, S.S., Mahmood, K., et Afzal, M</w:t>
      </w:r>
      <w:r w:rsidRPr="00BD78D0">
        <w:rPr>
          <w:rFonts w:asciiTheme="majorBidi" w:hAnsiTheme="majorBidi" w:cstheme="majorBidi"/>
          <w:sz w:val="24"/>
          <w:szCs w:val="24"/>
          <w:shd w:val="clear" w:color="auto" w:fill="FFFFFF"/>
          <w:lang w:val="en-GB"/>
        </w:rPr>
        <w:t>. (2016). « Fenugreek a multipurpose crop: Potentialities and improvements », Saudi Journal of Biological Sciences, V.23, 300–310. DOI: 10.1016/j.sjbs.2015.09.015</w:t>
      </w:r>
    </w:p>
    <w:p w14:paraId="76BDFBCC" w14:textId="77777777" w:rsidR="00BD78D0" w:rsidRPr="00320AF4" w:rsidRDefault="00BD78D0" w:rsidP="007C5192">
      <w:pPr>
        <w:pStyle w:val="Paragraphedeliste"/>
        <w:numPr>
          <w:ilvl w:val="0"/>
          <w:numId w:val="11"/>
        </w:numPr>
        <w:spacing w:after="0" w:line="360" w:lineRule="auto"/>
        <w:ind w:left="284" w:hanging="284"/>
        <w:jc w:val="both"/>
        <w:rPr>
          <w:rFonts w:asciiTheme="majorBidi" w:hAnsiTheme="majorBidi" w:cstheme="majorBidi"/>
          <w:sz w:val="24"/>
          <w:szCs w:val="24"/>
          <w:shd w:val="clear" w:color="auto" w:fill="FFFFFF"/>
          <w:lang w:val="en-US"/>
        </w:rPr>
      </w:pPr>
      <w:r w:rsidRPr="00BD78D0">
        <w:rPr>
          <w:rFonts w:asciiTheme="majorBidi" w:hAnsiTheme="majorBidi" w:cstheme="majorBidi"/>
          <w:b/>
          <w:bCs/>
          <w:sz w:val="24"/>
          <w:szCs w:val="24"/>
          <w:shd w:val="clear" w:color="auto" w:fill="FFFFFF"/>
          <w:lang w:val="en-US"/>
        </w:rPr>
        <w:t>Al. Mashkor, I. M. A</w:t>
      </w:r>
      <w:r w:rsidRPr="00BD78D0">
        <w:rPr>
          <w:rFonts w:asciiTheme="majorBidi" w:hAnsiTheme="majorBidi" w:cstheme="majorBidi"/>
          <w:sz w:val="24"/>
          <w:szCs w:val="24"/>
          <w:shd w:val="clear" w:color="auto" w:fill="FFFFFF"/>
          <w:lang w:val="en-US"/>
        </w:rPr>
        <w:t xml:space="preserve">. (2014). Phenolic content and antioxidant activity of fenugreek seeds extract. International Journal of Pharmacognosy and Phytochemical Research, 6(4), 841–844. Available online: </w:t>
      </w:r>
      <w:hyperlink r:id="rId73" w:history="1">
        <w:r w:rsidRPr="00BD78D0">
          <w:rPr>
            <w:rStyle w:val="Lienhypertexte"/>
            <w:rFonts w:asciiTheme="majorBidi" w:hAnsiTheme="majorBidi" w:cstheme="majorBidi"/>
            <w:sz w:val="24"/>
            <w:szCs w:val="24"/>
            <w:shd w:val="clear" w:color="auto" w:fill="FFFFFF"/>
            <w:lang w:val="en-US"/>
          </w:rPr>
          <w:t>http://www.ijppr.com/</w:t>
        </w:r>
      </w:hyperlink>
    </w:p>
    <w:p w14:paraId="7171C50E" w14:textId="77777777" w:rsidR="00BD78D0" w:rsidRPr="00BD78D0" w:rsidRDefault="00BD78D0" w:rsidP="007C5192">
      <w:pPr>
        <w:pStyle w:val="Paragraphedeliste"/>
        <w:numPr>
          <w:ilvl w:val="0"/>
          <w:numId w:val="11"/>
        </w:numPr>
        <w:spacing w:after="0" w:line="360" w:lineRule="auto"/>
        <w:ind w:left="284" w:hanging="284"/>
        <w:jc w:val="both"/>
        <w:rPr>
          <w:rFonts w:asciiTheme="majorBidi" w:hAnsiTheme="majorBidi" w:cstheme="majorBidi"/>
          <w:sz w:val="24"/>
          <w:szCs w:val="24"/>
          <w:shd w:val="clear" w:color="auto" w:fill="FFFFFF"/>
        </w:rPr>
      </w:pPr>
      <w:r w:rsidRPr="00BD78D0">
        <w:rPr>
          <w:rFonts w:asciiTheme="majorBidi" w:hAnsiTheme="majorBidi" w:cstheme="majorBidi"/>
          <w:b/>
          <w:bCs/>
          <w:sz w:val="24"/>
          <w:szCs w:val="24"/>
          <w:shd w:val="clear" w:color="auto" w:fill="FFFFFF"/>
          <w:lang w:val="en-GB"/>
        </w:rPr>
        <w:t>Al-Asadi, J. N.</w:t>
      </w:r>
      <w:r w:rsidRPr="00BD78D0">
        <w:rPr>
          <w:rFonts w:asciiTheme="majorBidi" w:hAnsiTheme="majorBidi" w:cstheme="majorBidi"/>
          <w:sz w:val="24"/>
          <w:szCs w:val="24"/>
          <w:shd w:val="clear" w:color="auto" w:fill="FFFFFF"/>
          <w:lang w:val="en-GB"/>
        </w:rPr>
        <w:t xml:space="preserve"> (2014). Therapeutic Uses of Fenugreek (Trigonella foenum-graecum L.). American Journal of Social Issues and Humanities, 4(2), 21–33. Fenugreek Special Issue Mar/Apr 2014. ISSN: 2276–6928.</w:t>
      </w:r>
    </w:p>
    <w:p w14:paraId="34A1A558" w14:textId="77777777" w:rsidR="00BD78D0" w:rsidRPr="00BD78D0" w:rsidRDefault="00BD78D0" w:rsidP="007C5192">
      <w:pPr>
        <w:pStyle w:val="Paragraphedeliste"/>
        <w:numPr>
          <w:ilvl w:val="0"/>
          <w:numId w:val="11"/>
        </w:numPr>
        <w:spacing w:after="0" w:line="360" w:lineRule="auto"/>
        <w:ind w:left="284" w:hanging="284"/>
        <w:jc w:val="both"/>
        <w:rPr>
          <w:rFonts w:asciiTheme="majorBidi" w:hAnsiTheme="majorBidi" w:cstheme="majorBidi"/>
          <w:sz w:val="24"/>
          <w:szCs w:val="24"/>
          <w:shd w:val="clear" w:color="auto" w:fill="FFFFFF"/>
        </w:rPr>
      </w:pPr>
      <w:r w:rsidRPr="00BD78D0">
        <w:rPr>
          <w:rFonts w:asciiTheme="majorBidi" w:hAnsiTheme="majorBidi" w:cstheme="majorBidi"/>
          <w:b/>
          <w:bCs/>
          <w:sz w:val="24"/>
          <w:szCs w:val="24"/>
          <w:shd w:val="clear" w:color="auto" w:fill="FFFFFF"/>
          <w:lang w:val="en-US"/>
        </w:rPr>
        <w:t>Al-Asadi. J, N.</w:t>
      </w:r>
      <w:r w:rsidRPr="00BD78D0">
        <w:rPr>
          <w:rFonts w:asciiTheme="majorBidi" w:hAnsiTheme="majorBidi" w:cstheme="majorBidi"/>
          <w:sz w:val="24"/>
          <w:szCs w:val="24"/>
          <w:shd w:val="clear" w:color="auto" w:fill="FFFFFF"/>
          <w:lang w:val="en-US"/>
        </w:rPr>
        <w:t xml:space="preserve"> (2017). Therapeutic Uses of Fenugreek (Trigonella foenum-graecum L.)  </w:t>
      </w:r>
      <w:r w:rsidRPr="00BD78D0">
        <w:rPr>
          <w:rFonts w:asciiTheme="majorBidi" w:hAnsiTheme="majorBidi" w:cstheme="majorBidi"/>
          <w:sz w:val="24"/>
          <w:szCs w:val="24"/>
          <w:shd w:val="clear" w:color="auto" w:fill="FFFFFF"/>
        </w:rPr>
        <w:t>AMERICAN JOURNAL .2276 – 6928</w:t>
      </w:r>
    </w:p>
    <w:p w14:paraId="3850F32A" w14:textId="77777777" w:rsidR="00BD78D0" w:rsidRPr="00BD78D0" w:rsidRDefault="00BD78D0" w:rsidP="003E5817">
      <w:pPr>
        <w:pStyle w:val="Paragraphedeliste"/>
        <w:numPr>
          <w:ilvl w:val="0"/>
          <w:numId w:val="11"/>
        </w:numPr>
        <w:spacing w:after="0" w:line="360" w:lineRule="auto"/>
        <w:ind w:left="284" w:hanging="284"/>
        <w:jc w:val="both"/>
        <w:rPr>
          <w:rFonts w:asciiTheme="majorBidi" w:hAnsiTheme="majorBidi" w:cstheme="majorBidi"/>
          <w:sz w:val="24"/>
          <w:szCs w:val="24"/>
          <w:lang w:val="en-US"/>
        </w:rPr>
      </w:pPr>
      <w:r w:rsidRPr="00BD78D0">
        <w:rPr>
          <w:rFonts w:asciiTheme="majorBidi" w:hAnsiTheme="majorBidi" w:cstheme="majorBidi"/>
          <w:b/>
          <w:bCs/>
          <w:sz w:val="24"/>
          <w:szCs w:val="24"/>
          <w:shd w:val="clear" w:color="auto" w:fill="FFFFFF"/>
          <w:lang w:val="en-GB"/>
        </w:rPr>
        <w:t xml:space="preserve">Alessandra Durazzo et </w:t>
      </w:r>
      <w:r w:rsidRPr="00BD78D0">
        <w:rPr>
          <w:rFonts w:asciiTheme="majorBidi" w:hAnsiTheme="majorBidi" w:cstheme="majorBidi"/>
          <w:b/>
          <w:bCs/>
          <w:i/>
          <w:iCs/>
          <w:sz w:val="24"/>
          <w:szCs w:val="24"/>
          <w:shd w:val="clear" w:color="auto" w:fill="FFFFFF"/>
          <w:lang w:val="en-GB"/>
        </w:rPr>
        <w:t>a</w:t>
      </w:r>
      <w:r w:rsidRPr="00BD78D0">
        <w:rPr>
          <w:rFonts w:asciiTheme="majorBidi" w:hAnsiTheme="majorBidi" w:cstheme="majorBidi"/>
          <w:i/>
          <w:iCs/>
          <w:sz w:val="24"/>
          <w:szCs w:val="24"/>
          <w:shd w:val="clear" w:color="auto" w:fill="FFFFFF"/>
          <w:lang w:val="en-GB"/>
        </w:rPr>
        <w:t>l.</w:t>
      </w:r>
      <w:r w:rsidRPr="00BD78D0">
        <w:rPr>
          <w:rFonts w:asciiTheme="majorBidi" w:hAnsiTheme="majorBidi" w:cstheme="majorBidi"/>
          <w:sz w:val="24"/>
          <w:szCs w:val="24"/>
          <w:shd w:val="clear" w:color="auto" w:fill="FFFFFF"/>
          <w:lang w:val="en-GB"/>
        </w:rPr>
        <w:t xml:space="preserve"> (2019). polyphenols: A concise overview on the chemistry, occurrence and human health (2019). </w:t>
      </w:r>
      <w:proofErr w:type="gramStart"/>
      <w:r w:rsidRPr="00BD78D0">
        <w:rPr>
          <w:rFonts w:asciiTheme="majorBidi" w:hAnsiTheme="majorBidi" w:cstheme="majorBidi"/>
          <w:sz w:val="24"/>
          <w:szCs w:val="24"/>
          <w:shd w:val="clear" w:color="auto" w:fill="FFFFFF"/>
        </w:rPr>
        <w:t>DOI:</w:t>
      </w:r>
      <w:proofErr w:type="gramEnd"/>
      <w:r w:rsidRPr="00BD78D0">
        <w:rPr>
          <w:rFonts w:asciiTheme="majorBidi" w:hAnsiTheme="majorBidi" w:cstheme="majorBidi"/>
          <w:sz w:val="24"/>
          <w:szCs w:val="24"/>
          <w:shd w:val="clear" w:color="auto" w:fill="FFFFFF"/>
        </w:rPr>
        <w:t xml:space="preserve"> 10.1002/ PTR.6419;33(9): 2221-2243</w:t>
      </w:r>
    </w:p>
    <w:p w14:paraId="148D7611" w14:textId="77777777" w:rsidR="00BD78D0" w:rsidRPr="00320AF4" w:rsidRDefault="00BD78D0" w:rsidP="003E5817">
      <w:pPr>
        <w:pStyle w:val="Paragraphedeliste"/>
        <w:numPr>
          <w:ilvl w:val="0"/>
          <w:numId w:val="11"/>
        </w:numPr>
        <w:spacing w:after="0" w:line="360" w:lineRule="auto"/>
        <w:ind w:left="284" w:hanging="284"/>
        <w:jc w:val="both"/>
        <w:rPr>
          <w:rFonts w:asciiTheme="majorBidi" w:hAnsiTheme="majorBidi" w:cstheme="majorBidi"/>
          <w:sz w:val="24"/>
          <w:szCs w:val="24"/>
          <w:shd w:val="clear" w:color="auto" w:fill="FFFFFF"/>
          <w:lang w:val="en-US"/>
        </w:rPr>
      </w:pPr>
      <w:r w:rsidRPr="00BD78D0">
        <w:rPr>
          <w:rFonts w:asciiTheme="majorBidi" w:hAnsiTheme="majorBidi" w:cstheme="majorBidi"/>
          <w:b/>
          <w:bCs/>
          <w:sz w:val="24"/>
          <w:szCs w:val="24"/>
        </w:rPr>
        <w:t>Ali, A. M. A., et ElNour, M. E. M.</w:t>
      </w:r>
      <w:r w:rsidRPr="00BD78D0">
        <w:rPr>
          <w:rFonts w:asciiTheme="majorBidi" w:hAnsiTheme="majorBidi" w:cstheme="majorBidi"/>
          <w:sz w:val="24"/>
          <w:szCs w:val="24"/>
        </w:rPr>
        <w:t xml:space="preserve"> (2014). </w:t>
      </w:r>
      <w:r w:rsidRPr="00BD78D0">
        <w:rPr>
          <w:rFonts w:asciiTheme="majorBidi" w:hAnsiTheme="majorBidi" w:cstheme="majorBidi"/>
          <w:sz w:val="24"/>
          <w:szCs w:val="24"/>
          <w:lang w:val="en-US"/>
        </w:rPr>
        <w:t xml:space="preserve">Antioxidant activity, total phenolic, flavonoid and tannin contents of callus and seeds extracts of Fenugreek (Trigonella foenum-graecum L.). International Journal of Science and Research (IJSR), 3(10), 1268–1272. </w:t>
      </w:r>
      <w:hyperlink r:id="rId74" w:history="1">
        <w:r w:rsidRPr="00BD78D0">
          <w:rPr>
            <w:rStyle w:val="Lienhypertexte"/>
            <w:rFonts w:asciiTheme="majorBidi" w:hAnsiTheme="majorBidi" w:cstheme="majorBidi"/>
            <w:sz w:val="24"/>
            <w:szCs w:val="24"/>
            <w:lang w:val="en-US"/>
          </w:rPr>
          <w:t>https://www.researchgate.net/publication/324647752</w:t>
        </w:r>
      </w:hyperlink>
    </w:p>
    <w:p w14:paraId="11F71B8F" w14:textId="77777777" w:rsidR="00BD78D0" w:rsidRPr="00320AF4" w:rsidRDefault="00BD78D0" w:rsidP="003E5817">
      <w:pPr>
        <w:pStyle w:val="Paragraphedeliste"/>
        <w:numPr>
          <w:ilvl w:val="0"/>
          <w:numId w:val="11"/>
        </w:numPr>
        <w:spacing w:after="0" w:line="360" w:lineRule="auto"/>
        <w:ind w:left="284" w:hanging="284"/>
        <w:jc w:val="both"/>
        <w:rPr>
          <w:rFonts w:asciiTheme="majorBidi" w:hAnsiTheme="majorBidi" w:cstheme="majorBidi"/>
          <w:sz w:val="24"/>
          <w:szCs w:val="24"/>
          <w:shd w:val="clear" w:color="auto" w:fill="FFFFFF"/>
        </w:rPr>
      </w:pPr>
      <w:r w:rsidRPr="00BD78D0">
        <w:rPr>
          <w:rFonts w:asciiTheme="majorBidi" w:hAnsiTheme="majorBidi" w:cstheme="majorBidi"/>
          <w:b/>
          <w:bCs/>
          <w:sz w:val="24"/>
          <w:szCs w:val="24"/>
          <w:shd w:val="clear" w:color="auto" w:fill="FFFFFF"/>
        </w:rPr>
        <w:lastRenderedPageBreak/>
        <w:t>Ali-Rachedi F, Meraghni S, Touaibia N et Mesbah S.</w:t>
      </w:r>
      <w:r w:rsidRPr="00BD78D0">
        <w:rPr>
          <w:rFonts w:asciiTheme="majorBidi" w:hAnsiTheme="majorBidi" w:cstheme="majorBidi"/>
          <w:sz w:val="24"/>
          <w:szCs w:val="24"/>
          <w:shd w:val="clear" w:color="auto" w:fill="FFFFFF"/>
        </w:rPr>
        <w:t xml:space="preserve"> (2018). Analyse quantitative des composés phénoliques d'une endémique algérienne Scabiosa Atropurpurea sub. Maritima L. Bulletinde la société royale des sciences de liège.87, 13-21. </w:t>
      </w:r>
    </w:p>
    <w:p w14:paraId="4FE8E4F6" w14:textId="77777777" w:rsidR="00BD78D0" w:rsidRPr="00BD78D0" w:rsidRDefault="00BD78D0" w:rsidP="003E5817">
      <w:pPr>
        <w:pStyle w:val="Paragraphedeliste"/>
        <w:numPr>
          <w:ilvl w:val="0"/>
          <w:numId w:val="11"/>
        </w:numPr>
        <w:spacing w:after="0" w:line="360" w:lineRule="auto"/>
        <w:ind w:left="284" w:hanging="284"/>
        <w:jc w:val="both"/>
        <w:rPr>
          <w:rFonts w:asciiTheme="majorBidi" w:hAnsiTheme="majorBidi" w:cstheme="majorBidi"/>
          <w:sz w:val="24"/>
          <w:szCs w:val="24"/>
          <w:shd w:val="clear" w:color="auto" w:fill="FFFFFF"/>
          <w:lang w:val="en-GB"/>
        </w:rPr>
      </w:pPr>
      <w:r w:rsidRPr="00BD78D0">
        <w:rPr>
          <w:rFonts w:asciiTheme="majorBidi" w:hAnsiTheme="majorBidi" w:cstheme="majorBidi"/>
          <w:b/>
          <w:bCs/>
          <w:sz w:val="24"/>
          <w:szCs w:val="24"/>
          <w:shd w:val="clear" w:color="auto" w:fill="FFFFFF"/>
        </w:rPr>
        <w:t xml:space="preserve">Aloui, F., Selmi, H., Hasnaoui, F., Bouraoui, H., Mouhbi, R., et Abbés, C. </w:t>
      </w:r>
      <w:r w:rsidRPr="00BD78D0">
        <w:rPr>
          <w:rFonts w:asciiTheme="majorBidi" w:hAnsiTheme="majorBidi" w:cstheme="majorBidi"/>
          <w:sz w:val="24"/>
          <w:szCs w:val="24"/>
          <w:shd w:val="clear" w:color="auto" w:fill="FFFFFF"/>
        </w:rPr>
        <w:t>(2020).</w:t>
      </w:r>
      <w:r w:rsidRPr="00BD78D0">
        <w:rPr>
          <w:rFonts w:asciiTheme="majorBidi" w:hAnsiTheme="majorBidi" w:cstheme="majorBidi"/>
          <w:b/>
          <w:bCs/>
          <w:sz w:val="24"/>
          <w:szCs w:val="24"/>
          <w:shd w:val="clear" w:color="auto" w:fill="FFFFFF"/>
        </w:rPr>
        <w:t xml:space="preserve"> </w:t>
      </w:r>
      <w:r w:rsidRPr="00BD78D0">
        <w:rPr>
          <w:rFonts w:asciiTheme="majorBidi" w:hAnsiTheme="majorBidi" w:cstheme="majorBidi"/>
          <w:sz w:val="24"/>
          <w:szCs w:val="24"/>
          <w:shd w:val="clear" w:color="auto" w:fill="FFFFFF"/>
          <w:lang w:val="en-GB"/>
        </w:rPr>
        <w:t>Phytochemical analysis and in vitro digestibility evaluation of leaf and cones parts of Cupressus sempervirens originating from Tunisia. Journal of New Sciences, 71, 4311-4318.</w:t>
      </w:r>
    </w:p>
    <w:p w14:paraId="34A48B0F" w14:textId="77777777" w:rsidR="00BD78D0" w:rsidRPr="00BD78D0" w:rsidRDefault="00BD78D0" w:rsidP="003E5817">
      <w:pPr>
        <w:pStyle w:val="Paragraphedeliste"/>
        <w:numPr>
          <w:ilvl w:val="0"/>
          <w:numId w:val="11"/>
        </w:numPr>
        <w:spacing w:after="0" w:line="360" w:lineRule="auto"/>
        <w:ind w:left="284" w:hanging="284"/>
        <w:jc w:val="both"/>
        <w:rPr>
          <w:rFonts w:asciiTheme="majorBidi" w:hAnsiTheme="majorBidi" w:cstheme="majorBidi"/>
          <w:sz w:val="24"/>
          <w:szCs w:val="24"/>
          <w:shd w:val="clear" w:color="auto" w:fill="FFFFFF"/>
          <w:lang w:val="en-GB"/>
        </w:rPr>
      </w:pPr>
      <w:r w:rsidRPr="00BD78D0">
        <w:rPr>
          <w:rFonts w:asciiTheme="majorBidi" w:hAnsiTheme="majorBidi" w:cstheme="majorBidi"/>
          <w:b/>
          <w:bCs/>
          <w:sz w:val="24"/>
          <w:szCs w:val="24"/>
          <w:shd w:val="clear" w:color="auto" w:fill="FFFFFF"/>
          <w:lang w:val="en-GB"/>
        </w:rPr>
        <w:t>Alu’datt, M. H., Rababah, T., Al-ali, S., Tranchant, C. C., Gammoh, S., Alrosan, M., Kubow, S., Tan, T.-C., et Ghatasheh, S</w:t>
      </w:r>
      <w:r w:rsidRPr="00BD78D0">
        <w:rPr>
          <w:rFonts w:asciiTheme="majorBidi" w:hAnsiTheme="majorBidi" w:cstheme="majorBidi"/>
          <w:sz w:val="24"/>
          <w:szCs w:val="24"/>
          <w:shd w:val="clear" w:color="auto" w:fill="FFFFFF"/>
          <w:lang w:val="en-GB"/>
        </w:rPr>
        <w:t xml:space="preserve">. (2024). Current perspectives on fenugreek bioactive compounds and their potential impact on human health: A review of recent insights into functional foods and other high value applications. Journal of Food Science, 89(4), 1835–1864. </w:t>
      </w:r>
      <w:hyperlink r:id="rId75" w:history="1">
        <w:r w:rsidRPr="00BD78D0">
          <w:rPr>
            <w:rStyle w:val="Lienhypertexte"/>
            <w:rFonts w:asciiTheme="majorBidi" w:hAnsiTheme="majorBidi" w:cstheme="majorBidi"/>
            <w:sz w:val="24"/>
            <w:szCs w:val="24"/>
            <w:shd w:val="clear" w:color="auto" w:fill="FFFFFF"/>
            <w:lang w:val="en-GB"/>
          </w:rPr>
          <w:t>https://doi.org/10.1111/1750-3841.16970</w:t>
        </w:r>
      </w:hyperlink>
      <w:r w:rsidRPr="00BD78D0">
        <w:t>.</w:t>
      </w:r>
    </w:p>
    <w:p w14:paraId="27778230" w14:textId="77777777" w:rsidR="00BD78D0" w:rsidRPr="00BD78D0" w:rsidRDefault="00BD78D0" w:rsidP="003E5817">
      <w:pPr>
        <w:pStyle w:val="Paragraphedeliste"/>
        <w:numPr>
          <w:ilvl w:val="0"/>
          <w:numId w:val="11"/>
        </w:numPr>
        <w:spacing w:after="0" w:line="360" w:lineRule="auto"/>
        <w:ind w:left="284" w:hanging="284"/>
        <w:jc w:val="both"/>
        <w:rPr>
          <w:rFonts w:asciiTheme="majorBidi" w:hAnsiTheme="majorBidi" w:cstheme="majorBidi"/>
          <w:sz w:val="24"/>
          <w:szCs w:val="24"/>
          <w:shd w:val="clear" w:color="auto" w:fill="FFFFFF"/>
          <w:lang w:val="en-GB"/>
        </w:rPr>
      </w:pPr>
      <w:r w:rsidRPr="00BD78D0">
        <w:rPr>
          <w:rFonts w:asciiTheme="majorBidi" w:hAnsiTheme="majorBidi" w:cstheme="majorBidi"/>
          <w:b/>
          <w:bCs/>
          <w:sz w:val="24"/>
          <w:szCs w:val="24"/>
          <w:shd w:val="clear" w:color="auto" w:fill="FFFFFF"/>
        </w:rPr>
        <w:t xml:space="preserve"> Anand, S. C., Nagaraju, B., Ahmed, N., Swain, S. R., Ahmed, F., Padmavathi, G. V., Chandra, N. S., et Shampalatha, S. P</w:t>
      </w:r>
      <w:r w:rsidRPr="00BD78D0">
        <w:rPr>
          <w:rFonts w:asciiTheme="majorBidi" w:hAnsiTheme="majorBidi" w:cstheme="majorBidi"/>
          <w:sz w:val="24"/>
          <w:szCs w:val="24"/>
          <w:shd w:val="clear" w:color="auto" w:fill="FFFFFF"/>
        </w:rPr>
        <w:t xml:space="preserve">. (2012). </w:t>
      </w:r>
      <w:r w:rsidRPr="00BD78D0">
        <w:rPr>
          <w:rFonts w:asciiTheme="majorBidi" w:hAnsiTheme="majorBidi" w:cstheme="majorBidi"/>
          <w:sz w:val="24"/>
          <w:szCs w:val="24"/>
          <w:shd w:val="clear" w:color="auto" w:fill="FFFFFF"/>
          <w:lang w:val="en-GB"/>
        </w:rPr>
        <w:t xml:space="preserve">Antiulcer activity of Trigonella foenum-graecum leaves in cold restraint stress-induced ulcer model. Molecular Clinical Pharmacology, 3(1), 90–99. Retrieved from </w:t>
      </w:r>
      <w:hyperlink r:id="rId76" w:history="1">
        <w:r w:rsidRPr="00BD78D0">
          <w:rPr>
            <w:rStyle w:val="Lienhypertexte"/>
            <w:rFonts w:asciiTheme="majorBidi" w:hAnsiTheme="majorBidi" w:cstheme="majorBidi"/>
            <w:sz w:val="24"/>
            <w:szCs w:val="24"/>
            <w:shd w:val="clear" w:color="auto" w:fill="FFFFFF"/>
            <w:lang w:val="en-GB"/>
          </w:rPr>
          <w:t>https://www.researchgate.net/publication/366669866</w:t>
        </w:r>
      </w:hyperlink>
    </w:p>
    <w:p w14:paraId="2ECA26B5" w14:textId="77777777" w:rsidR="00BD78D0" w:rsidRPr="00BD78D0" w:rsidRDefault="00BD78D0" w:rsidP="003E5817">
      <w:pPr>
        <w:pStyle w:val="Paragraphedeliste"/>
        <w:numPr>
          <w:ilvl w:val="0"/>
          <w:numId w:val="11"/>
        </w:numPr>
        <w:spacing w:after="0" w:line="360" w:lineRule="auto"/>
        <w:ind w:left="284" w:hanging="284"/>
        <w:jc w:val="both"/>
        <w:rPr>
          <w:rFonts w:asciiTheme="majorBidi" w:hAnsiTheme="majorBidi" w:cstheme="majorBidi"/>
          <w:sz w:val="24"/>
          <w:szCs w:val="24"/>
          <w:shd w:val="clear" w:color="auto" w:fill="FFFFFF"/>
          <w:lang w:val="en-GB"/>
        </w:rPr>
      </w:pPr>
      <w:r w:rsidRPr="00BD78D0">
        <w:rPr>
          <w:rFonts w:asciiTheme="majorBidi" w:hAnsiTheme="majorBidi" w:cstheme="majorBidi"/>
          <w:sz w:val="24"/>
          <w:szCs w:val="24"/>
          <w:shd w:val="clear" w:color="auto" w:fill="FFFFFF"/>
          <w:lang w:val="en-GB"/>
        </w:rPr>
        <w:t>A</w:t>
      </w:r>
      <w:r w:rsidRPr="00BD78D0">
        <w:rPr>
          <w:rFonts w:asciiTheme="majorBidi" w:hAnsiTheme="majorBidi" w:cstheme="majorBidi"/>
          <w:b/>
          <w:bCs/>
          <w:sz w:val="24"/>
          <w:szCs w:val="24"/>
          <w:shd w:val="clear" w:color="auto" w:fill="FFFFFF"/>
          <w:lang w:val="en-GB"/>
        </w:rPr>
        <w:t>rmo, Y.S., Sahu, Y.K., Singh, S., et Rathore, S</w:t>
      </w:r>
      <w:r w:rsidRPr="00BD78D0">
        <w:rPr>
          <w:rFonts w:asciiTheme="majorBidi" w:hAnsiTheme="majorBidi" w:cstheme="majorBidi"/>
          <w:sz w:val="24"/>
          <w:szCs w:val="24"/>
          <w:shd w:val="clear" w:color="auto" w:fill="FFFFFF"/>
          <w:lang w:val="en-GB"/>
        </w:rPr>
        <w:t xml:space="preserve">. (2024). A Review Phytochemical Investigation and Biological Evaluation of Fenugreek. International Journal of Pharmaceutical Sciences, 2(5), 185-194. </w:t>
      </w:r>
      <w:hyperlink r:id="rId77" w:history="1">
        <w:r w:rsidRPr="00BD78D0">
          <w:rPr>
            <w:rStyle w:val="Lienhypertexte"/>
            <w:rFonts w:asciiTheme="majorBidi" w:hAnsiTheme="majorBidi" w:cstheme="majorBidi"/>
            <w:sz w:val="24"/>
            <w:szCs w:val="24"/>
            <w:shd w:val="clear" w:color="auto" w:fill="FFFFFF"/>
            <w:lang w:val="en-GB"/>
          </w:rPr>
          <w:t>https://doi.org/10.5281/zenodo.11114968</w:t>
        </w:r>
      </w:hyperlink>
    </w:p>
    <w:p w14:paraId="1C3BBB3B" w14:textId="77777777" w:rsidR="00BD78D0" w:rsidRPr="004A3F2A" w:rsidRDefault="00BD78D0" w:rsidP="003E5817">
      <w:pPr>
        <w:pStyle w:val="Paragraphedeliste"/>
        <w:numPr>
          <w:ilvl w:val="0"/>
          <w:numId w:val="11"/>
        </w:numPr>
        <w:spacing w:after="0" w:line="360" w:lineRule="auto"/>
        <w:ind w:left="284" w:hanging="284"/>
        <w:jc w:val="both"/>
        <w:rPr>
          <w:rFonts w:asciiTheme="majorBidi" w:hAnsiTheme="majorBidi" w:cstheme="majorBidi"/>
          <w:sz w:val="24"/>
          <w:szCs w:val="24"/>
          <w:shd w:val="clear" w:color="auto" w:fill="FFFFFF"/>
          <w:lang w:val="en-GB"/>
        </w:rPr>
      </w:pPr>
      <w:r w:rsidRPr="00BD78D0">
        <w:rPr>
          <w:rFonts w:asciiTheme="majorBidi" w:hAnsiTheme="majorBidi" w:cstheme="majorBidi"/>
          <w:b/>
          <w:bCs/>
          <w:sz w:val="24"/>
          <w:szCs w:val="24"/>
          <w:shd w:val="clear" w:color="auto" w:fill="FFFFFF"/>
        </w:rPr>
        <w:t>Arya, P., Kumari, N., Wani, S. A., et Kumar, P</w:t>
      </w:r>
      <w:r w:rsidRPr="00BD78D0">
        <w:rPr>
          <w:rFonts w:asciiTheme="majorBidi" w:hAnsiTheme="majorBidi" w:cstheme="majorBidi"/>
          <w:sz w:val="24"/>
          <w:szCs w:val="24"/>
          <w:shd w:val="clear" w:color="auto" w:fill="FFFFFF"/>
        </w:rPr>
        <w:t xml:space="preserve">. (2023). </w:t>
      </w:r>
      <w:r w:rsidRPr="00BD78D0">
        <w:rPr>
          <w:rFonts w:asciiTheme="majorBidi" w:hAnsiTheme="majorBidi" w:cstheme="majorBidi"/>
          <w:sz w:val="24"/>
          <w:szCs w:val="24"/>
          <w:shd w:val="clear" w:color="auto" w:fill="FFFFFF"/>
          <w:lang w:val="en-GB"/>
        </w:rPr>
        <w:t xml:space="preserve">Trigonella foenum graecum. In </w:t>
      </w:r>
      <w:r w:rsidRPr="00BD78D0">
        <w:rPr>
          <w:rFonts w:asciiTheme="majorBidi" w:hAnsiTheme="majorBidi" w:cstheme="majorBidi"/>
          <w:b/>
          <w:bCs/>
          <w:sz w:val="24"/>
          <w:szCs w:val="24"/>
          <w:shd w:val="clear" w:color="auto" w:fill="FFFFFF"/>
          <w:lang w:val="en-GB"/>
        </w:rPr>
        <w:t xml:space="preserve">A. Amalraj, S. Kuttappan, K. V. A. C., et A. Matharu </w:t>
      </w:r>
      <w:r w:rsidRPr="00BD78D0">
        <w:rPr>
          <w:rFonts w:asciiTheme="majorBidi" w:hAnsiTheme="majorBidi" w:cstheme="majorBidi"/>
          <w:sz w:val="24"/>
          <w:szCs w:val="24"/>
          <w:shd w:val="clear" w:color="auto" w:fill="FFFFFF"/>
          <w:lang w:val="en-GB"/>
        </w:rPr>
        <w:t xml:space="preserve">(Eds.), Herbs, Spices and Their Roles in Nutraceuticals and Functional Foods (pp. 133–148). Academic Press. </w:t>
      </w:r>
      <w:hyperlink r:id="rId78" w:history="1">
        <w:r w:rsidRPr="00BD78D0">
          <w:rPr>
            <w:rStyle w:val="Lienhypertexte"/>
            <w:rFonts w:asciiTheme="majorBidi" w:hAnsiTheme="majorBidi" w:cstheme="majorBidi"/>
            <w:sz w:val="24"/>
            <w:szCs w:val="24"/>
            <w:shd w:val="clear" w:color="auto" w:fill="FFFFFF"/>
            <w:lang w:val="en-GB"/>
          </w:rPr>
          <w:t>https://doi.org/10.1016/B978-0-323-90794-1.00009-6</w:t>
        </w:r>
      </w:hyperlink>
    </w:p>
    <w:p w14:paraId="5B092531" w14:textId="553C8149" w:rsidR="004A3F2A" w:rsidRPr="00BD78D0" w:rsidRDefault="004A3F2A" w:rsidP="003E5817">
      <w:pPr>
        <w:pStyle w:val="Paragraphedeliste"/>
        <w:numPr>
          <w:ilvl w:val="0"/>
          <w:numId w:val="11"/>
        </w:numPr>
        <w:spacing w:after="0" w:line="360" w:lineRule="auto"/>
        <w:ind w:left="284" w:hanging="284"/>
        <w:jc w:val="both"/>
        <w:rPr>
          <w:rFonts w:asciiTheme="majorBidi" w:hAnsiTheme="majorBidi" w:cstheme="majorBidi"/>
          <w:sz w:val="24"/>
          <w:szCs w:val="24"/>
          <w:shd w:val="clear" w:color="auto" w:fill="FFFFFF"/>
          <w:lang w:val="en-GB"/>
        </w:rPr>
      </w:pPr>
      <w:r w:rsidRPr="004A3F2A">
        <w:rPr>
          <w:rFonts w:asciiTheme="majorBidi" w:hAnsiTheme="majorBidi" w:cstheme="majorBidi"/>
          <w:b/>
          <w:bCs/>
          <w:sz w:val="24"/>
          <w:szCs w:val="24"/>
          <w:shd w:val="clear" w:color="auto" w:fill="FFFFFF"/>
          <w:lang w:val="en-GB"/>
        </w:rPr>
        <w:t xml:space="preserve">Atere, T. G., </w:t>
      </w:r>
      <w:r w:rsidR="00A964A9" w:rsidRPr="004A3F2A">
        <w:rPr>
          <w:rFonts w:asciiTheme="majorBidi" w:hAnsiTheme="majorBidi" w:cstheme="majorBidi"/>
          <w:b/>
          <w:bCs/>
          <w:sz w:val="24"/>
          <w:szCs w:val="24"/>
          <w:shd w:val="clear" w:color="auto" w:fill="FFFFFF"/>
          <w:lang w:val="en-GB"/>
        </w:rPr>
        <w:t>Akintoye</w:t>
      </w:r>
      <w:r w:rsidRPr="004A3F2A">
        <w:rPr>
          <w:rFonts w:asciiTheme="majorBidi" w:hAnsiTheme="majorBidi" w:cstheme="majorBidi"/>
          <w:b/>
          <w:bCs/>
          <w:sz w:val="24"/>
          <w:szCs w:val="24"/>
          <w:shd w:val="clear" w:color="auto" w:fill="FFFFFF"/>
          <w:lang w:val="en-GB"/>
        </w:rPr>
        <w:t xml:space="preserve">, O. A., Ugbaja, R. N., Ojo, D. A., </w:t>
      </w:r>
      <w:r w:rsidR="00A964A9">
        <w:rPr>
          <w:rFonts w:asciiTheme="majorBidi" w:hAnsiTheme="majorBidi" w:cstheme="majorBidi"/>
          <w:b/>
          <w:bCs/>
          <w:sz w:val="24"/>
          <w:szCs w:val="24"/>
          <w:shd w:val="clear" w:color="auto" w:fill="FFFFFF"/>
          <w:lang w:val="en-GB"/>
        </w:rPr>
        <w:t xml:space="preserve">et </w:t>
      </w:r>
      <w:r w:rsidR="00A964A9" w:rsidRPr="004A3F2A">
        <w:rPr>
          <w:rFonts w:asciiTheme="majorBidi" w:hAnsiTheme="majorBidi" w:cstheme="majorBidi"/>
          <w:b/>
          <w:bCs/>
          <w:sz w:val="24"/>
          <w:szCs w:val="24"/>
          <w:shd w:val="clear" w:color="auto" w:fill="FFFFFF"/>
          <w:lang w:val="en-GB"/>
        </w:rPr>
        <w:t>Dealtry</w:t>
      </w:r>
      <w:r w:rsidRPr="004A3F2A">
        <w:rPr>
          <w:rFonts w:asciiTheme="majorBidi" w:hAnsiTheme="majorBidi" w:cstheme="majorBidi"/>
          <w:b/>
          <w:bCs/>
          <w:sz w:val="24"/>
          <w:szCs w:val="24"/>
          <w:shd w:val="clear" w:color="auto" w:fill="FFFFFF"/>
          <w:lang w:val="en-GB"/>
        </w:rPr>
        <w:t>, G.</w:t>
      </w:r>
      <w:r w:rsidRPr="004A3F2A">
        <w:rPr>
          <w:rFonts w:asciiTheme="majorBidi" w:hAnsiTheme="majorBidi" w:cstheme="majorBidi"/>
          <w:sz w:val="24"/>
          <w:szCs w:val="24"/>
          <w:shd w:val="clear" w:color="auto" w:fill="FFFFFF"/>
          <w:lang w:val="en-GB"/>
        </w:rPr>
        <w:t xml:space="preserve"> (2018). In vitro antioxidant capacity and free radical scavenging evaluation of standardized extract of Costus afer leaf. Food Science and Human Wellness, 7(4), 266-272.</w:t>
      </w:r>
    </w:p>
    <w:p w14:paraId="3A8A993B" w14:textId="77777777" w:rsidR="00BD78D0" w:rsidRPr="00BD78D0" w:rsidRDefault="00BD78D0" w:rsidP="003E5817">
      <w:pPr>
        <w:pStyle w:val="Paragraphedeliste"/>
        <w:numPr>
          <w:ilvl w:val="0"/>
          <w:numId w:val="11"/>
        </w:numPr>
        <w:spacing w:after="0" w:line="360" w:lineRule="auto"/>
        <w:ind w:left="284" w:hanging="284"/>
        <w:jc w:val="both"/>
        <w:rPr>
          <w:rFonts w:asciiTheme="majorBidi" w:hAnsiTheme="majorBidi" w:cstheme="majorBidi"/>
          <w:sz w:val="24"/>
          <w:szCs w:val="24"/>
          <w:shd w:val="clear" w:color="auto" w:fill="FFFFFF"/>
          <w:lang w:val="en-US"/>
        </w:rPr>
      </w:pPr>
      <w:r w:rsidRPr="00BD78D0">
        <w:rPr>
          <w:rFonts w:asciiTheme="majorBidi" w:hAnsiTheme="majorBidi" w:cstheme="majorBidi"/>
          <w:b/>
          <w:bCs/>
          <w:sz w:val="24"/>
          <w:szCs w:val="24"/>
          <w:shd w:val="clear" w:color="auto" w:fill="FFFFFF"/>
        </w:rPr>
        <w:t>Aylanc, V., Eskin, B., Zengin, G., Dursun, M., et Cakmak, Y. S</w:t>
      </w:r>
      <w:r w:rsidRPr="00BD78D0">
        <w:rPr>
          <w:rFonts w:asciiTheme="majorBidi" w:hAnsiTheme="majorBidi" w:cstheme="majorBidi"/>
          <w:sz w:val="24"/>
          <w:szCs w:val="24"/>
          <w:shd w:val="clear" w:color="auto" w:fill="FFFFFF"/>
        </w:rPr>
        <w:t xml:space="preserve">. (2020). </w:t>
      </w:r>
      <w:r w:rsidRPr="00BD78D0">
        <w:rPr>
          <w:rFonts w:asciiTheme="majorBidi" w:hAnsiTheme="majorBidi" w:cstheme="majorBidi"/>
          <w:sz w:val="24"/>
          <w:szCs w:val="24"/>
          <w:shd w:val="clear" w:color="auto" w:fill="FFFFFF"/>
          <w:lang w:val="en-US"/>
        </w:rPr>
        <w:t xml:space="preserve">In vitro studies on different extracts of fenugreek (Trigonella spruneriana BOISS.): Phytochemical profile, antioxidant activity, and enzyme inhibition potential. Journal of Food Biochemistry, 44(12), e13463. </w:t>
      </w:r>
      <w:hyperlink r:id="rId79" w:history="1">
        <w:r w:rsidRPr="00BD78D0">
          <w:rPr>
            <w:rStyle w:val="Lienhypertexte"/>
            <w:rFonts w:asciiTheme="majorBidi" w:hAnsiTheme="majorBidi" w:cstheme="majorBidi"/>
            <w:sz w:val="24"/>
            <w:szCs w:val="24"/>
            <w:shd w:val="clear" w:color="auto" w:fill="FFFFFF"/>
            <w:lang w:val="en-US"/>
          </w:rPr>
          <w:t>https://doi.org/10.1111/jfbc.13463</w:t>
        </w:r>
      </w:hyperlink>
    </w:p>
    <w:p w14:paraId="72253B41" w14:textId="77777777" w:rsidR="00BD78D0" w:rsidRPr="00BD78D0" w:rsidRDefault="00BD78D0" w:rsidP="003E5817">
      <w:pPr>
        <w:pStyle w:val="Paragraphedeliste"/>
        <w:numPr>
          <w:ilvl w:val="0"/>
          <w:numId w:val="11"/>
        </w:numPr>
        <w:spacing w:after="0" w:line="360" w:lineRule="auto"/>
        <w:ind w:left="284" w:hanging="284"/>
        <w:jc w:val="both"/>
        <w:rPr>
          <w:rFonts w:asciiTheme="majorBidi" w:hAnsiTheme="majorBidi" w:cstheme="majorBidi"/>
          <w:sz w:val="24"/>
          <w:szCs w:val="24"/>
          <w:shd w:val="clear" w:color="auto" w:fill="FFFFFF"/>
          <w:lang w:val="en-GB"/>
        </w:rPr>
      </w:pPr>
      <w:r w:rsidRPr="00BD78D0">
        <w:rPr>
          <w:rFonts w:asciiTheme="majorBidi" w:hAnsiTheme="majorBidi" w:cstheme="majorBidi"/>
          <w:b/>
          <w:bCs/>
          <w:sz w:val="24"/>
          <w:szCs w:val="24"/>
          <w:shd w:val="clear" w:color="auto" w:fill="FFFFFF"/>
          <w:lang w:val="en-US"/>
        </w:rPr>
        <w:t>Babaei, A. H., Motamedifar, M., Khalifat, S., Mohammadi, A., Zamani, K., et Motamedifar, A</w:t>
      </w:r>
      <w:r w:rsidRPr="00BD78D0">
        <w:rPr>
          <w:rFonts w:asciiTheme="majorBidi" w:hAnsiTheme="majorBidi" w:cstheme="majorBidi"/>
          <w:sz w:val="24"/>
          <w:szCs w:val="24"/>
          <w:shd w:val="clear" w:color="auto" w:fill="FFFFFF"/>
          <w:lang w:val="en-US"/>
        </w:rPr>
        <w:t xml:space="preserve">. (2018). In vitro study of antibacterial property and cytotoxic effects of aqueous, ethanolic, methanolic, and hydroalcoholic extracts of fenugreek seed. Pakistan </w:t>
      </w:r>
      <w:r w:rsidRPr="00BD78D0">
        <w:rPr>
          <w:rFonts w:asciiTheme="majorBidi" w:hAnsiTheme="majorBidi" w:cstheme="majorBidi"/>
          <w:sz w:val="24"/>
          <w:szCs w:val="24"/>
          <w:shd w:val="clear" w:color="auto" w:fill="FFFFFF"/>
          <w:lang w:val="en-US"/>
        </w:rPr>
        <w:lastRenderedPageBreak/>
        <w:t xml:space="preserve">Journal of Medical &amp; Health Sciences, 12(2), 906–910. Retrieved from </w:t>
      </w:r>
      <w:hyperlink r:id="rId80" w:history="1">
        <w:r w:rsidRPr="00BD78D0">
          <w:rPr>
            <w:rStyle w:val="Lienhypertexte"/>
            <w:rFonts w:asciiTheme="majorBidi" w:hAnsiTheme="majorBidi" w:cstheme="majorBidi"/>
            <w:sz w:val="24"/>
            <w:szCs w:val="24"/>
            <w:shd w:val="clear" w:color="auto" w:fill="FFFFFF"/>
            <w:lang w:val="en-US"/>
          </w:rPr>
          <w:t>https://www.researchgate.net/publication/327362452</w:t>
        </w:r>
      </w:hyperlink>
    </w:p>
    <w:p w14:paraId="195F301D" w14:textId="77777777" w:rsidR="00BD78D0" w:rsidRPr="00320AF4" w:rsidRDefault="00BD78D0" w:rsidP="003E5817">
      <w:pPr>
        <w:pStyle w:val="Paragraphedeliste"/>
        <w:numPr>
          <w:ilvl w:val="0"/>
          <w:numId w:val="11"/>
        </w:numPr>
        <w:spacing w:after="0" w:line="360" w:lineRule="auto"/>
        <w:ind w:left="284" w:hanging="284"/>
        <w:jc w:val="both"/>
        <w:rPr>
          <w:rFonts w:asciiTheme="majorBidi" w:hAnsiTheme="majorBidi" w:cstheme="majorBidi"/>
          <w:sz w:val="28"/>
          <w:szCs w:val="28"/>
          <w:shd w:val="clear" w:color="auto" w:fill="FFFFFF"/>
          <w:lang w:val="en-US"/>
        </w:rPr>
      </w:pPr>
      <w:r w:rsidRPr="00BD78D0">
        <w:rPr>
          <w:rFonts w:asciiTheme="majorBidi" w:hAnsiTheme="majorBidi" w:cstheme="majorBidi"/>
          <w:b/>
          <w:bCs/>
          <w:sz w:val="24"/>
          <w:szCs w:val="24"/>
          <w:shd w:val="clear" w:color="auto" w:fill="FFFFFF"/>
        </w:rPr>
        <w:t>Bahmani, M., Shirzad, H., Mirhosseini, M., Mesripour, A., et Rafieian-Kopaei, M</w:t>
      </w:r>
      <w:r w:rsidRPr="00BD78D0">
        <w:rPr>
          <w:rFonts w:asciiTheme="majorBidi" w:hAnsiTheme="majorBidi" w:cstheme="majorBidi"/>
          <w:sz w:val="24"/>
          <w:szCs w:val="24"/>
          <w:shd w:val="clear" w:color="auto" w:fill="FFFFFF"/>
        </w:rPr>
        <w:t xml:space="preserve">. (2016). </w:t>
      </w:r>
      <w:r w:rsidRPr="00BD78D0">
        <w:rPr>
          <w:rFonts w:asciiTheme="majorBidi" w:hAnsiTheme="majorBidi" w:cstheme="majorBidi"/>
          <w:sz w:val="24"/>
          <w:szCs w:val="24"/>
          <w:shd w:val="clear" w:color="auto" w:fill="FFFFFF"/>
          <w:lang w:val="en-GB"/>
        </w:rPr>
        <w:t xml:space="preserve">A review on ethnobotanical and therapeutic uses of fenugreek (Trigonella foenum-graecum L.). Journal of Evidence-Based Complementary &amp; Alternative Medicine, 21(1), 53–62. </w:t>
      </w:r>
      <w:hyperlink r:id="rId81" w:history="1">
        <w:r w:rsidRPr="00BD78D0">
          <w:rPr>
            <w:rStyle w:val="Lienhypertexte"/>
            <w:rFonts w:asciiTheme="majorBidi" w:hAnsiTheme="majorBidi" w:cstheme="majorBidi"/>
            <w:sz w:val="24"/>
            <w:szCs w:val="24"/>
            <w:shd w:val="clear" w:color="auto" w:fill="FFFFFF"/>
            <w:lang w:val="en-GB"/>
          </w:rPr>
          <w:t>https://doi.org/10.1177/2156587215583405</w:t>
        </w:r>
      </w:hyperlink>
    </w:p>
    <w:p w14:paraId="73C599FB" w14:textId="77777777" w:rsidR="00BD78D0" w:rsidRPr="00BD78D0" w:rsidRDefault="00BD78D0" w:rsidP="003E5817">
      <w:pPr>
        <w:pStyle w:val="Paragraphedeliste"/>
        <w:numPr>
          <w:ilvl w:val="0"/>
          <w:numId w:val="11"/>
        </w:numPr>
        <w:spacing w:after="0" w:line="360" w:lineRule="auto"/>
        <w:ind w:left="284" w:hanging="284"/>
        <w:jc w:val="both"/>
        <w:rPr>
          <w:rFonts w:asciiTheme="majorBidi" w:hAnsiTheme="majorBidi" w:cstheme="majorBidi"/>
          <w:sz w:val="28"/>
          <w:szCs w:val="28"/>
          <w:shd w:val="clear" w:color="auto" w:fill="FFFFFF"/>
        </w:rPr>
      </w:pPr>
      <w:r w:rsidRPr="00BD78D0">
        <w:rPr>
          <w:rFonts w:asciiTheme="majorBidi" w:hAnsiTheme="majorBidi" w:cstheme="majorBidi"/>
          <w:b/>
          <w:bCs/>
          <w:sz w:val="24"/>
          <w:szCs w:val="24"/>
        </w:rPr>
        <w:t>Benamira, H</w:t>
      </w:r>
      <w:r w:rsidRPr="00BD78D0">
        <w:rPr>
          <w:rFonts w:asciiTheme="majorBidi" w:hAnsiTheme="majorBidi" w:cstheme="majorBidi"/>
          <w:sz w:val="24"/>
          <w:szCs w:val="24"/>
        </w:rPr>
        <w:t>. (2022). Évaluation in vitro de l’activité antioxydante des polyphénols des graines de Trigonella foenum-graecum</w:t>
      </w:r>
    </w:p>
    <w:p w14:paraId="7EB11D07" w14:textId="77777777" w:rsidR="00BD78D0" w:rsidRPr="00BD78D0" w:rsidRDefault="00BD78D0" w:rsidP="003E5817">
      <w:pPr>
        <w:pStyle w:val="Paragraphedeliste"/>
        <w:numPr>
          <w:ilvl w:val="0"/>
          <w:numId w:val="11"/>
        </w:numPr>
        <w:spacing w:after="0" w:line="360" w:lineRule="auto"/>
        <w:ind w:left="284" w:hanging="284"/>
        <w:jc w:val="both"/>
        <w:rPr>
          <w:rFonts w:asciiTheme="majorBidi" w:hAnsiTheme="majorBidi" w:cstheme="majorBidi"/>
          <w:b/>
          <w:bCs/>
          <w:sz w:val="24"/>
          <w:szCs w:val="24"/>
          <w:shd w:val="clear" w:color="auto" w:fill="FFFFFF"/>
          <w:lang w:val="en-US"/>
        </w:rPr>
      </w:pPr>
      <w:r w:rsidRPr="00BD78D0">
        <w:rPr>
          <w:rFonts w:asciiTheme="majorBidi" w:hAnsiTheme="majorBidi" w:cstheme="majorBidi"/>
          <w:b/>
          <w:bCs/>
          <w:sz w:val="24"/>
          <w:szCs w:val="24"/>
          <w:shd w:val="clear" w:color="auto" w:fill="FFFFFF"/>
        </w:rPr>
        <w:t>Benhammou, B., Bekkara, F. A. et T. K</w:t>
      </w:r>
      <w:r w:rsidRPr="00BD78D0">
        <w:rPr>
          <w:rFonts w:asciiTheme="majorBidi" w:hAnsiTheme="majorBidi" w:cstheme="majorBidi"/>
          <w:sz w:val="24"/>
          <w:szCs w:val="24"/>
          <w:shd w:val="clear" w:color="auto" w:fill="FFFFFF"/>
        </w:rPr>
        <w:t xml:space="preserve">. (2009). </w:t>
      </w:r>
      <w:r w:rsidRPr="00BD78D0">
        <w:rPr>
          <w:rFonts w:asciiTheme="majorBidi" w:hAnsiTheme="majorBidi" w:cstheme="majorBidi"/>
          <w:sz w:val="24"/>
          <w:szCs w:val="24"/>
          <w:shd w:val="clear" w:color="auto" w:fill="FFFFFF"/>
          <w:lang w:val="en-US"/>
        </w:rPr>
        <w:t xml:space="preserve">Antioxidant activity of methanolic extracts and some phenolic compounds of Atriplex halimus. </w:t>
      </w:r>
      <w:r w:rsidRPr="00BD78D0">
        <w:rPr>
          <w:rFonts w:asciiTheme="majorBidi" w:hAnsiTheme="majorBidi" w:cstheme="majorBidi"/>
          <w:sz w:val="24"/>
          <w:szCs w:val="24"/>
          <w:shd w:val="clear" w:color="auto" w:fill="FFFFFF"/>
        </w:rPr>
        <w:t>Comptes Rendus Chimie, 12(12), 1259–1266.</w:t>
      </w:r>
    </w:p>
    <w:p w14:paraId="6BB396A4" w14:textId="77777777" w:rsidR="00BD78D0" w:rsidRPr="00BD78D0" w:rsidRDefault="00BD78D0" w:rsidP="003E5817">
      <w:pPr>
        <w:pStyle w:val="Paragraphedeliste"/>
        <w:numPr>
          <w:ilvl w:val="0"/>
          <w:numId w:val="11"/>
        </w:numPr>
        <w:spacing w:after="0" w:line="360" w:lineRule="auto"/>
        <w:ind w:left="284" w:hanging="284"/>
        <w:jc w:val="both"/>
        <w:rPr>
          <w:rFonts w:asciiTheme="majorBidi" w:hAnsiTheme="majorBidi" w:cstheme="majorBidi"/>
          <w:sz w:val="24"/>
          <w:szCs w:val="24"/>
          <w:shd w:val="clear" w:color="auto" w:fill="FFFFFF"/>
          <w:lang w:val="en-GB"/>
        </w:rPr>
      </w:pPr>
      <w:r w:rsidRPr="00BD78D0">
        <w:rPr>
          <w:rFonts w:asciiTheme="majorBidi" w:hAnsiTheme="majorBidi" w:cstheme="majorBidi"/>
          <w:b/>
          <w:bCs/>
          <w:sz w:val="24"/>
          <w:szCs w:val="24"/>
          <w:shd w:val="clear" w:color="auto" w:fill="FFFFFF"/>
          <w:lang w:val="en-US"/>
        </w:rPr>
        <w:t>Benkhaira, N., Bakrim, S., Bourais, I., Benali, T., Lee, L. H., El Omari, </w:t>
      </w:r>
      <w:proofErr w:type="gramStart"/>
      <w:r w:rsidRPr="00BD78D0">
        <w:rPr>
          <w:rFonts w:asciiTheme="majorBidi" w:hAnsiTheme="majorBidi" w:cstheme="majorBidi"/>
          <w:b/>
          <w:bCs/>
          <w:sz w:val="24"/>
          <w:szCs w:val="24"/>
          <w:shd w:val="clear" w:color="auto" w:fill="FFFFFF"/>
          <w:lang w:val="en-US"/>
        </w:rPr>
        <w:t>N.,Sheikh</w:t>
      </w:r>
      <w:proofErr w:type="gramEnd"/>
      <w:r w:rsidRPr="00BD78D0">
        <w:rPr>
          <w:rFonts w:asciiTheme="majorBidi" w:hAnsiTheme="majorBidi" w:cstheme="majorBidi"/>
          <w:b/>
          <w:bCs/>
          <w:sz w:val="24"/>
          <w:szCs w:val="24"/>
          <w:shd w:val="clear" w:color="auto" w:fill="FFFFFF"/>
          <w:lang w:val="en-US"/>
        </w:rPr>
        <w:t>, R. A., Goh, K. W., Ming, L. C., et Bouyahya, A</w:t>
      </w:r>
      <w:r w:rsidRPr="00BD78D0">
        <w:rPr>
          <w:rFonts w:asciiTheme="majorBidi" w:hAnsiTheme="majorBidi" w:cstheme="majorBidi"/>
          <w:sz w:val="24"/>
          <w:szCs w:val="24"/>
          <w:shd w:val="clear" w:color="auto" w:fill="FFFFFF"/>
          <w:lang w:val="en-US"/>
        </w:rPr>
        <w:t>. (2022). Health Benefits and Pharmacological Properties of Stigmasterol. Antioxidants, 11(10), Article 1912.https://doi.org/10.3390/antiox11101912</w:t>
      </w:r>
    </w:p>
    <w:p w14:paraId="63A71094" w14:textId="77777777" w:rsidR="00BD78D0" w:rsidRPr="00BD78D0" w:rsidRDefault="00BD78D0" w:rsidP="00194E55">
      <w:pPr>
        <w:pStyle w:val="Paragraphedeliste"/>
        <w:numPr>
          <w:ilvl w:val="0"/>
          <w:numId w:val="11"/>
        </w:numPr>
        <w:spacing w:after="0" w:line="360" w:lineRule="auto"/>
        <w:ind w:left="284" w:hanging="284"/>
        <w:jc w:val="both"/>
        <w:rPr>
          <w:rFonts w:asciiTheme="majorBidi" w:hAnsiTheme="majorBidi" w:cstheme="majorBidi"/>
          <w:sz w:val="24"/>
          <w:szCs w:val="24"/>
          <w:shd w:val="clear" w:color="auto" w:fill="FFFFFF"/>
          <w:lang w:val="en-GB"/>
        </w:rPr>
      </w:pPr>
      <w:r w:rsidRPr="00BD78D0">
        <w:rPr>
          <w:rFonts w:asciiTheme="majorBidi" w:hAnsiTheme="majorBidi" w:cstheme="majorBidi"/>
          <w:b/>
          <w:bCs/>
          <w:sz w:val="24"/>
          <w:szCs w:val="24"/>
          <w:shd w:val="clear" w:color="auto" w:fill="FFFFFF"/>
        </w:rPr>
        <w:t>Benziane, M. N. A., Acem, K.*, Aggad, H., et Abdali, M</w:t>
      </w:r>
      <w:r w:rsidRPr="00BD78D0">
        <w:rPr>
          <w:rFonts w:asciiTheme="majorBidi" w:hAnsiTheme="majorBidi" w:cstheme="majorBidi"/>
          <w:sz w:val="24"/>
          <w:szCs w:val="24"/>
          <w:shd w:val="clear" w:color="auto" w:fill="FFFFFF"/>
        </w:rPr>
        <w:t xml:space="preserve">. (2019). </w:t>
      </w:r>
      <w:r w:rsidRPr="00BD78D0">
        <w:rPr>
          <w:rFonts w:asciiTheme="majorBidi" w:hAnsiTheme="majorBidi" w:cstheme="majorBidi"/>
          <w:sz w:val="24"/>
          <w:szCs w:val="24"/>
          <w:shd w:val="clear" w:color="auto" w:fill="FFFFFF"/>
          <w:lang w:val="en-GB"/>
        </w:rPr>
        <w:t xml:space="preserve">Phytochemistry, HPLC profile and antioxidant activity of aqueous extracts of fenugreek (Trigonella foenum graecum L.) seeds grown in arid zones of Algeria. </w:t>
      </w:r>
      <w:r w:rsidRPr="00BD78D0">
        <w:rPr>
          <w:rFonts w:asciiTheme="majorBidi" w:hAnsiTheme="majorBidi" w:cstheme="majorBidi"/>
          <w:sz w:val="24"/>
          <w:szCs w:val="24"/>
          <w:shd w:val="clear" w:color="auto" w:fill="FFFFFF"/>
          <w:lang w:val="en-US"/>
        </w:rPr>
        <w:t>Acta Scientifica Naturalis, 6(2), 71–87.</w:t>
      </w:r>
    </w:p>
    <w:p w14:paraId="1B33F97A" w14:textId="77777777" w:rsidR="00BD78D0" w:rsidRPr="00BD78D0" w:rsidRDefault="00BD78D0" w:rsidP="003E5817">
      <w:pPr>
        <w:pStyle w:val="Paragraphedeliste"/>
        <w:numPr>
          <w:ilvl w:val="0"/>
          <w:numId w:val="11"/>
        </w:numPr>
        <w:spacing w:after="0" w:line="360" w:lineRule="auto"/>
        <w:ind w:left="284" w:hanging="284"/>
        <w:jc w:val="both"/>
        <w:rPr>
          <w:rFonts w:asciiTheme="majorBidi" w:hAnsiTheme="majorBidi" w:cstheme="majorBidi"/>
          <w:sz w:val="24"/>
          <w:szCs w:val="24"/>
          <w:shd w:val="clear" w:color="auto" w:fill="FFFFFF"/>
          <w:lang w:val="en-US"/>
        </w:rPr>
      </w:pPr>
      <w:r w:rsidRPr="00BD78D0">
        <w:rPr>
          <w:rFonts w:asciiTheme="majorBidi" w:hAnsiTheme="majorBidi" w:cstheme="majorBidi"/>
          <w:b/>
          <w:bCs/>
          <w:sz w:val="24"/>
          <w:szCs w:val="24"/>
          <w:shd w:val="clear" w:color="auto" w:fill="FFFFFF"/>
          <w:lang w:val="en-GB"/>
        </w:rPr>
        <w:t xml:space="preserve"> </w:t>
      </w:r>
      <w:r w:rsidRPr="00BD78D0">
        <w:rPr>
          <w:rFonts w:asciiTheme="majorBidi" w:hAnsiTheme="majorBidi" w:cstheme="majorBidi"/>
          <w:b/>
          <w:bCs/>
          <w:sz w:val="24"/>
          <w:szCs w:val="24"/>
          <w:lang w:val="en-US" w:bidi="ar-DZ"/>
        </w:rPr>
        <w:t>Bhatti, M.A., Khan, M.T.J., Ahmed, B., Jamshaid, M. et Ahmad, W</w:t>
      </w:r>
      <w:r w:rsidRPr="00BD78D0">
        <w:rPr>
          <w:rFonts w:asciiTheme="majorBidi" w:hAnsiTheme="majorBidi" w:cstheme="majorBidi"/>
          <w:sz w:val="24"/>
          <w:szCs w:val="24"/>
          <w:lang w:val="en-US" w:bidi="ar-DZ"/>
        </w:rPr>
        <w:t>. (1996). Antimicrobial activity of Trigonella foenum-graecum seeds. Fitoterapia, 67: 372 –374</w:t>
      </w:r>
    </w:p>
    <w:p w14:paraId="33F66C87" w14:textId="77777777" w:rsidR="00BD78D0" w:rsidRPr="00BD78D0" w:rsidRDefault="00BD78D0" w:rsidP="003E5817">
      <w:pPr>
        <w:pStyle w:val="Paragraphedeliste"/>
        <w:numPr>
          <w:ilvl w:val="0"/>
          <w:numId w:val="11"/>
        </w:numPr>
        <w:tabs>
          <w:tab w:val="left" w:pos="6173"/>
        </w:tabs>
        <w:spacing w:after="0" w:line="360" w:lineRule="auto"/>
        <w:ind w:left="284" w:hanging="284"/>
        <w:jc w:val="both"/>
        <w:rPr>
          <w:rFonts w:asciiTheme="majorBidi" w:hAnsiTheme="majorBidi" w:cstheme="majorBidi"/>
          <w:sz w:val="24"/>
          <w:szCs w:val="24"/>
          <w:lang w:val="en-US" w:bidi="ar-DZ"/>
        </w:rPr>
      </w:pPr>
      <w:r w:rsidRPr="00BD78D0">
        <w:rPr>
          <w:rFonts w:asciiTheme="majorBidi" w:hAnsiTheme="majorBidi" w:cstheme="majorBidi"/>
          <w:b/>
          <w:bCs/>
          <w:sz w:val="24"/>
          <w:szCs w:val="24"/>
          <w:shd w:val="clear" w:color="auto" w:fill="FFFFFF"/>
        </w:rPr>
        <w:t>Bouhlali E, Sellam K, Bammou M, Alem C et Filali-zehzouti, Y.</w:t>
      </w:r>
      <w:r w:rsidRPr="00BD78D0">
        <w:rPr>
          <w:rFonts w:asciiTheme="majorBidi" w:hAnsiTheme="majorBidi" w:cstheme="majorBidi"/>
          <w:sz w:val="24"/>
          <w:szCs w:val="24"/>
          <w:shd w:val="clear" w:color="auto" w:fill="FFFFFF"/>
        </w:rPr>
        <w:t xml:space="preserve"> (2016). </w:t>
      </w:r>
      <w:r w:rsidRPr="00BD78D0">
        <w:rPr>
          <w:rFonts w:asciiTheme="majorBidi" w:hAnsiTheme="majorBidi" w:cstheme="majorBidi"/>
          <w:sz w:val="24"/>
          <w:szCs w:val="24"/>
          <w:shd w:val="clear" w:color="auto" w:fill="FFFFFF"/>
          <w:lang w:val="en-US"/>
        </w:rPr>
        <w:t>In vitro Antioxidant and anti-inflammatory properties of selected Moroccan medicinal plants. Journal of Applied Pharmaceutical Science.; 6 (05), 156-162.</w:t>
      </w:r>
    </w:p>
    <w:p w14:paraId="0FAE3B28" w14:textId="77777777" w:rsidR="00BD78D0" w:rsidRPr="00BD78D0" w:rsidRDefault="00BD78D0" w:rsidP="003E5817">
      <w:pPr>
        <w:pStyle w:val="Paragraphedeliste"/>
        <w:numPr>
          <w:ilvl w:val="0"/>
          <w:numId w:val="11"/>
        </w:numPr>
        <w:tabs>
          <w:tab w:val="left" w:pos="6173"/>
        </w:tabs>
        <w:spacing w:after="0" w:line="360" w:lineRule="auto"/>
        <w:ind w:left="284" w:hanging="284"/>
        <w:jc w:val="both"/>
        <w:rPr>
          <w:rFonts w:asciiTheme="majorBidi" w:hAnsiTheme="majorBidi" w:cstheme="majorBidi"/>
          <w:sz w:val="24"/>
          <w:szCs w:val="24"/>
          <w:shd w:val="clear" w:color="auto" w:fill="FFFFFF"/>
          <w:lang w:val="en-GB"/>
        </w:rPr>
      </w:pPr>
      <w:r w:rsidRPr="00BD78D0">
        <w:rPr>
          <w:rFonts w:asciiTheme="majorBidi" w:hAnsiTheme="majorBidi" w:cstheme="majorBidi"/>
          <w:b/>
          <w:bCs/>
          <w:sz w:val="24"/>
          <w:szCs w:val="24"/>
          <w:lang w:val="en-US" w:bidi="ar-DZ"/>
        </w:rPr>
        <w:t xml:space="preserve">Bruno Casciaro et </w:t>
      </w:r>
      <w:r w:rsidRPr="00BD78D0">
        <w:rPr>
          <w:rFonts w:asciiTheme="majorBidi" w:hAnsiTheme="majorBidi" w:cstheme="majorBidi"/>
          <w:b/>
          <w:bCs/>
          <w:i/>
          <w:iCs/>
          <w:sz w:val="24"/>
          <w:szCs w:val="24"/>
          <w:lang w:val="en-US" w:bidi="ar-DZ"/>
        </w:rPr>
        <w:t>al</w:t>
      </w:r>
      <w:r w:rsidRPr="00BD78D0">
        <w:rPr>
          <w:rFonts w:asciiTheme="majorBidi" w:hAnsiTheme="majorBidi" w:cstheme="majorBidi"/>
          <w:sz w:val="24"/>
          <w:szCs w:val="24"/>
          <w:lang w:val="en-US" w:bidi="ar-DZ"/>
        </w:rPr>
        <w:t>. (2020). Naturally - occurring Alkaloids of plant origin as potential Antimicrobials against Antibiotic - Resistant infections; (2020</w:t>
      </w:r>
      <w:proofErr w:type="gramStart"/>
      <w:r w:rsidRPr="00BD78D0">
        <w:rPr>
          <w:rFonts w:asciiTheme="majorBidi" w:hAnsiTheme="majorBidi" w:cstheme="majorBidi"/>
          <w:sz w:val="24"/>
          <w:szCs w:val="24"/>
          <w:lang w:val="en-US" w:bidi="ar-DZ"/>
        </w:rPr>
        <w:t>) ,</w:t>
      </w:r>
      <w:proofErr w:type="gramEnd"/>
      <w:r w:rsidRPr="00BD78D0">
        <w:rPr>
          <w:rFonts w:asciiTheme="majorBidi" w:hAnsiTheme="majorBidi" w:cstheme="majorBidi"/>
          <w:sz w:val="24"/>
          <w:szCs w:val="24"/>
          <w:lang w:val="en-US" w:bidi="ar-DZ"/>
        </w:rPr>
        <w:t xml:space="preserve"> 25(16) , 3619; https: //DOI .org / 10.3390/molecules. 25163619</w:t>
      </w:r>
    </w:p>
    <w:p w14:paraId="2A202548" w14:textId="77777777" w:rsidR="00BD78D0" w:rsidRPr="00BD78D0" w:rsidRDefault="00BD78D0" w:rsidP="003E5817">
      <w:pPr>
        <w:pStyle w:val="Paragraphedeliste"/>
        <w:numPr>
          <w:ilvl w:val="0"/>
          <w:numId w:val="11"/>
        </w:numPr>
        <w:tabs>
          <w:tab w:val="left" w:pos="6173"/>
        </w:tabs>
        <w:spacing w:after="0" w:line="360" w:lineRule="auto"/>
        <w:ind w:left="284" w:hanging="284"/>
        <w:jc w:val="both"/>
        <w:rPr>
          <w:rFonts w:asciiTheme="majorBidi" w:hAnsiTheme="majorBidi" w:cstheme="majorBidi"/>
          <w:sz w:val="24"/>
          <w:szCs w:val="24"/>
          <w:shd w:val="clear" w:color="auto" w:fill="FFFFFF"/>
          <w:lang w:val="en-GB"/>
        </w:rPr>
      </w:pPr>
      <w:r w:rsidRPr="00BD78D0">
        <w:rPr>
          <w:rFonts w:asciiTheme="majorBidi" w:hAnsiTheme="majorBidi" w:cstheme="majorBidi"/>
          <w:b/>
          <w:bCs/>
          <w:sz w:val="24"/>
          <w:szCs w:val="24"/>
          <w:shd w:val="clear" w:color="auto" w:fill="FFFFFF"/>
        </w:rPr>
        <w:t>Bukhari, S. B., Bhanger, M. I., et Memon, S</w:t>
      </w:r>
      <w:r w:rsidRPr="00BD78D0">
        <w:rPr>
          <w:rFonts w:asciiTheme="majorBidi" w:hAnsiTheme="majorBidi" w:cstheme="majorBidi"/>
          <w:sz w:val="24"/>
          <w:szCs w:val="24"/>
          <w:shd w:val="clear" w:color="auto" w:fill="FFFFFF"/>
        </w:rPr>
        <w:t xml:space="preserve">. (2008). </w:t>
      </w:r>
      <w:r w:rsidRPr="00BD78D0">
        <w:rPr>
          <w:rFonts w:asciiTheme="majorBidi" w:hAnsiTheme="majorBidi" w:cstheme="majorBidi"/>
          <w:sz w:val="24"/>
          <w:szCs w:val="24"/>
          <w:shd w:val="clear" w:color="auto" w:fill="FFFFFF"/>
          <w:lang w:val="en-GB"/>
        </w:rPr>
        <w:t>Antioxidative activity of extracts from fenugreek seeds (Trigonella foenum-graecum). Pakistan Journal of Analytical and Environmental Chemistry, 9(2), 78–83.</w:t>
      </w:r>
    </w:p>
    <w:p w14:paraId="2E42F407" w14:textId="77777777" w:rsidR="00BD78D0" w:rsidRPr="00BD78D0" w:rsidRDefault="00BD78D0" w:rsidP="003E5817">
      <w:pPr>
        <w:pStyle w:val="Paragraphedeliste"/>
        <w:numPr>
          <w:ilvl w:val="0"/>
          <w:numId w:val="11"/>
        </w:numPr>
        <w:tabs>
          <w:tab w:val="left" w:pos="6173"/>
        </w:tabs>
        <w:spacing w:after="0" w:line="360" w:lineRule="auto"/>
        <w:ind w:left="284" w:hanging="284"/>
        <w:jc w:val="both"/>
        <w:rPr>
          <w:rFonts w:asciiTheme="majorBidi" w:hAnsiTheme="majorBidi" w:cstheme="majorBidi"/>
          <w:sz w:val="28"/>
          <w:szCs w:val="28"/>
          <w:shd w:val="clear" w:color="auto" w:fill="FFFFFF"/>
          <w:lang w:val="en-GB"/>
        </w:rPr>
      </w:pPr>
      <w:r w:rsidRPr="00BD78D0">
        <w:rPr>
          <w:rFonts w:asciiTheme="majorBidi" w:hAnsiTheme="majorBidi" w:cstheme="majorBidi"/>
          <w:b/>
          <w:bCs/>
          <w:sz w:val="24"/>
          <w:szCs w:val="24"/>
          <w:shd w:val="clear" w:color="auto" w:fill="FFFFFF"/>
          <w:lang w:val="en-GB"/>
        </w:rPr>
        <w:t>Chalghoumi, R., Mabrouki, S., Abdouli, H., &amp; Line, J. E</w:t>
      </w:r>
      <w:r w:rsidRPr="00BD78D0">
        <w:rPr>
          <w:rFonts w:asciiTheme="majorBidi" w:hAnsiTheme="majorBidi" w:cstheme="majorBidi"/>
          <w:sz w:val="24"/>
          <w:szCs w:val="24"/>
          <w:shd w:val="clear" w:color="auto" w:fill="FFFFFF"/>
          <w:lang w:val="en-GB"/>
        </w:rPr>
        <w:t xml:space="preserve">. (2020). Effect of extraction procedure on yield, phytochemical profile and antibacterial activity of fenugreek seed (Trigonella foenum-graecum) crude extracts. Legume Research: An International Journal. </w:t>
      </w:r>
      <w:hyperlink r:id="rId82" w:history="1">
        <w:r w:rsidRPr="00BD78D0">
          <w:rPr>
            <w:rStyle w:val="Lienhypertexte"/>
            <w:rFonts w:asciiTheme="majorBidi" w:hAnsiTheme="majorBidi" w:cstheme="majorBidi"/>
            <w:sz w:val="24"/>
            <w:szCs w:val="24"/>
            <w:shd w:val="clear" w:color="auto" w:fill="FFFFFF"/>
            <w:lang w:val="en-GB"/>
          </w:rPr>
          <w:t>https://doi.org/10.18805/LR-511</w:t>
        </w:r>
      </w:hyperlink>
    </w:p>
    <w:p w14:paraId="59988536" w14:textId="77777777" w:rsidR="00BD78D0" w:rsidRPr="00BD78D0" w:rsidRDefault="00BD78D0" w:rsidP="003E5817">
      <w:pPr>
        <w:pStyle w:val="Paragraphedeliste"/>
        <w:numPr>
          <w:ilvl w:val="0"/>
          <w:numId w:val="11"/>
        </w:numPr>
        <w:tabs>
          <w:tab w:val="left" w:pos="6173"/>
        </w:tabs>
        <w:spacing w:after="0" w:line="360" w:lineRule="auto"/>
        <w:ind w:left="284" w:hanging="284"/>
        <w:jc w:val="both"/>
        <w:rPr>
          <w:rFonts w:asciiTheme="majorBidi" w:hAnsiTheme="majorBidi" w:cstheme="majorBidi"/>
          <w:sz w:val="24"/>
          <w:szCs w:val="24"/>
          <w:shd w:val="clear" w:color="auto" w:fill="FFFFFF"/>
          <w:lang w:val="en-US"/>
        </w:rPr>
      </w:pPr>
      <w:r w:rsidRPr="00BD78D0">
        <w:rPr>
          <w:rFonts w:asciiTheme="majorBidi" w:hAnsiTheme="majorBidi" w:cstheme="majorBidi"/>
          <w:b/>
          <w:bCs/>
          <w:sz w:val="24"/>
          <w:szCs w:val="24"/>
          <w:shd w:val="clear" w:color="auto" w:fill="FFFFFF"/>
          <w:lang w:val="en-GB"/>
        </w:rPr>
        <w:lastRenderedPageBreak/>
        <w:t xml:space="preserve">Chalghoumi, R., Mabrouki, S., Abdouli, H.et Line, J. E. </w:t>
      </w:r>
      <w:r w:rsidRPr="00BD78D0">
        <w:rPr>
          <w:rFonts w:asciiTheme="majorBidi" w:hAnsiTheme="majorBidi" w:cstheme="majorBidi"/>
          <w:sz w:val="24"/>
          <w:szCs w:val="24"/>
          <w:shd w:val="clear" w:color="auto" w:fill="FFFFFF"/>
          <w:lang w:val="en-GB"/>
        </w:rPr>
        <w:t xml:space="preserve">(2016). Antibacterial Activity of Fenugreek Seeds (Trigonella foenum-graecum) Crude Extracts Against a Rabbit Escherichia coli Isolate. Academia Journal of Microbiology Research, 3(3), 000–000. </w:t>
      </w:r>
      <w:hyperlink r:id="rId83" w:history="1">
        <w:r w:rsidRPr="00BD78D0">
          <w:rPr>
            <w:rStyle w:val="Lienhypertexte"/>
            <w:rFonts w:asciiTheme="majorBidi" w:hAnsiTheme="majorBidi" w:cstheme="majorBidi"/>
            <w:sz w:val="24"/>
            <w:szCs w:val="24"/>
            <w:shd w:val="clear" w:color="auto" w:fill="FFFFFF"/>
            <w:lang w:val="en-GB"/>
          </w:rPr>
          <w:t>https://doi.org/10.15413/ajmr.2016.0117</w:t>
        </w:r>
      </w:hyperlink>
    </w:p>
    <w:p w14:paraId="4B3B4C32" w14:textId="77777777" w:rsidR="00BD78D0" w:rsidRPr="00BD78D0" w:rsidRDefault="00BD78D0" w:rsidP="003E5817">
      <w:pPr>
        <w:pStyle w:val="Paragraphedeliste"/>
        <w:numPr>
          <w:ilvl w:val="0"/>
          <w:numId w:val="11"/>
        </w:numPr>
        <w:tabs>
          <w:tab w:val="left" w:pos="6173"/>
        </w:tabs>
        <w:spacing w:after="0" w:line="360" w:lineRule="auto"/>
        <w:ind w:left="284" w:hanging="284"/>
        <w:jc w:val="both"/>
        <w:rPr>
          <w:rFonts w:asciiTheme="majorBidi" w:hAnsiTheme="majorBidi" w:cstheme="majorBidi"/>
          <w:sz w:val="24"/>
          <w:szCs w:val="24"/>
          <w:shd w:val="clear" w:color="auto" w:fill="FFFFFF"/>
        </w:rPr>
      </w:pPr>
      <w:r w:rsidRPr="00BD78D0">
        <w:rPr>
          <w:rFonts w:asciiTheme="majorBidi" w:hAnsiTheme="majorBidi" w:cstheme="majorBidi"/>
          <w:b/>
          <w:bCs/>
          <w:sz w:val="24"/>
          <w:szCs w:val="24"/>
          <w:shd w:val="clear" w:color="auto" w:fill="FFFFFF"/>
        </w:rPr>
        <w:t>Chandra S, Chatterjee P, Dey P et Bhattacharya S.</w:t>
      </w:r>
      <w:r w:rsidRPr="00BD78D0">
        <w:rPr>
          <w:rFonts w:asciiTheme="majorBidi" w:hAnsiTheme="majorBidi" w:cstheme="majorBidi"/>
          <w:sz w:val="24"/>
          <w:szCs w:val="24"/>
          <w:shd w:val="clear" w:color="auto" w:fill="FFFFFF"/>
        </w:rPr>
        <w:t xml:space="preserve"> (2012). </w:t>
      </w:r>
      <w:r w:rsidRPr="00BD78D0">
        <w:rPr>
          <w:rFonts w:asciiTheme="majorBidi" w:hAnsiTheme="majorBidi" w:cstheme="majorBidi"/>
          <w:sz w:val="24"/>
          <w:szCs w:val="24"/>
          <w:shd w:val="clear" w:color="auto" w:fill="FFFFFF"/>
          <w:lang w:val="en-US"/>
        </w:rPr>
        <w:t>Evaluation of in vitro anti-inflammatory activity of coffee against the denaturation of protein. Asian Pacific Journal of Tropical Biomedicine.; 2(1), 178-180</w:t>
      </w:r>
    </w:p>
    <w:p w14:paraId="3CE7035D" w14:textId="77777777" w:rsidR="00BD78D0" w:rsidRPr="00BD78D0" w:rsidRDefault="00BD78D0" w:rsidP="003E5817">
      <w:pPr>
        <w:pStyle w:val="Paragraphedeliste"/>
        <w:numPr>
          <w:ilvl w:val="0"/>
          <w:numId w:val="11"/>
        </w:numPr>
        <w:tabs>
          <w:tab w:val="left" w:pos="6173"/>
        </w:tabs>
        <w:spacing w:after="0" w:line="360" w:lineRule="auto"/>
        <w:ind w:left="284" w:hanging="284"/>
        <w:jc w:val="both"/>
        <w:rPr>
          <w:rFonts w:asciiTheme="majorBidi" w:hAnsiTheme="majorBidi" w:cstheme="majorBidi"/>
          <w:sz w:val="24"/>
          <w:szCs w:val="24"/>
          <w:shd w:val="clear" w:color="auto" w:fill="FFFFFF"/>
          <w:lang w:val="en-GB"/>
        </w:rPr>
      </w:pPr>
      <w:r w:rsidRPr="00BD78D0">
        <w:rPr>
          <w:rFonts w:asciiTheme="majorBidi" w:hAnsiTheme="majorBidi" w:cstheme="majorBidi"/>
          <w:b/>
          <w:bCs/>
          <w:sz w:val="24"/>
          <w:szCs w:val="24"/>
          <w:shd w:val="clear" w:color="auto" w:fill="FFFFFF"/>
        </w:rPr>
        <w:t xml:space="preserve">Chaouche, T.M., Haddouchi, F., Abbou, F., Aissaoui, M., Boudjemai, O., Ghellai, I., et Senhadji, S. </w:t>
      </w:r>
      <w:r w:rsidRPr="00BD78D0">
        <w:rPr>
          <w:rFonts w:asciiTheme="majorBidi" w:hAnsiTheme="majorBidi" w:cstheme="majorBidi"/>
          <w:sz w:val="24"/>
          <w:szCs w:val="24"/>
          <w:shd w:val="clear" w:color="auto" w:fill="FFFFFF"/>
        </w:rPr>
        <w:t>(2021). Criblage phytochimique et évaluation de l’activité antioxydante et antibactérienne d’Atriplex halimus de deux régions d’Algérie (El Oued et Tlemcen). Journal de génétique et de biodiversité, 5(2), 59-67.</w:t>
      </w:r>
    </w:p>
    <w:p w14:paraId="0578E187" w14:textId="77777777" w:rsidR="00BD78D0" w:rsidRPr="00BD78D0" w:rsidRDefault="00BD78D0" w:rsidP="003E5817">
      <w:pPr>
        <w:pStyle w:val="Paragraphedeliste"/>
        <w:numPr>
          <w:ilvl w:val="0"/>
          <w:numId w:val="11"/>
        </w:numPr>
        <w:tabs>
          <w:tab w:val="left" w:pos="6173"/>
        </w:tabs>
        <w:spacing w:after="0" w:line="360" w:lineRule="auto"/>
        <w:ind w:left="284" w:hanging="284"/>
        <w:jc w:val="both"/>
        <w:rPr>
          <w:rFonts w:asciiTheme="majorBidi" w:hAnsiTheme="majorBidi" w:cstheme="majorBidi"/>
          <w:sz w:val="24"/>
          <w:szCs w:val="24"/>
          <w:shd w:val="clear" w:color="auto" w:fill="FFFFFF"/>
          <w:lang w:val="en-GB"/>
        </w:rPr>
      </w:pPr>
      <w:r w:rsidRPr="00BD78D0">
        <w:rPr>
          <w:rFonts w:asciiTheme="majorBidi" w:hAnsiTheme="majorBidi" w:cstheme="majorBidi"/>
          <w:b/>
          <w:bCs/>
          <w:sz w:val="24"/>
          <w:szCs w:val="24"/>
          <w:shd w:val="clear" w:color="auto" w:fill="FFFFFF"/>
        </w:rPr>
        <w:t>Chaudhary, K. K., et Jhajhria, A</w:t>
      </w:r>
      <w:r w:rsidRPr="00BD78D0">
        <w:rPr>
          <w:rFonts w:asciiTheme="majorBidi" w:hAnsiTheme="majorBidi" w:cstheme="majorBidi"/>
          <w:sz w:val="24"/>
          <w:szCs w:val="24"/>
          <w:shd w:val="clear" w:color="auto" w:fill="FFFFFF"/>
        </w:rPr>
        <w:t xml:space="preserve">. (2016). </w:t>
      </w:r>
      <w:r w:rsidRPr="00BD78D0">
        <w:rPr>
          <w:rFonts w:asciiTheme="majorBidi" w:hAnsiTheme="majorBidi" w:cstheme="majorBidi"/>
          <w:sz w:val="24"/>
          <w:szCs w:val="24"/>
          <w:shd w:val="clear" w:color="auto" w:fill="FFFFFF"/>
          <w:lang w:val="en-GB"/>
        </w:rPr>
        <w:t>Fenugreek with its medicinal applications. International Journal of Pharmaceutical Sciences Review and Research, 41(1), 194–201.https://www.researchgate.net/publication/311791738_Fenugreek_with_its_medicinal_applications</w:t>
      </w:r>
    </w:p>
    <w:p w14:paraId="0970AA40" w14:textId="77777777" w:rsidR="00BD78D0" w:rsidRPr="00BD78D0" w:rsidRDefault="00BD78D0" w:rsidP="003E5817">
      <w:pPr>
        <w:pStyle w:val="Paragraphedeliste"/>
        <w:numPr>
          <w:ilvl w:val="0"/>
          <w:numId w:val="11"/>
        </w:numPr>
        <w:tabs>
          <w:tab w:val="left" w:pos="6173"/>
        </w:tabs>
        <w:spacing w:after="0" w:line="360" w:lineRule="auto"/>
        <w:ind w:left="284" w:hanging="284"/>
        <w:jc w:val="both"/>
        <w:rPr>
          <w:rFonts w:asciiTheme="majorBidi" w:hAnsiTheme="majorBidi" w:cstheme="majorBidi"/>
          <w:sz w:val="24"/>
          <w:szCs w:val="24"/>
          <w:lang w:val="en-US" w:bidi="ar-DZ"/>
        </w:rPr>
      </w:pPr>
      <w:r w:rsidRPr="00BD78D0">
        <w:rPr>
          <w:rFonts w:asciiTheme="majorBidi" w:hAnsiTheme="majorBidi" w:cstheme="majorBidi"/>
          <w:b/>
          <w:bCs/>
          <w:sz w:val="24"/>
          <w:szCs w:val="24"/>
          <w:shd w:val="clear" w:color="auto" w:fill="FFFFFF"/>
          <w:lang w:val="en-GB"/>
        </w:rPr>
        <w:t>Chaudhary, S., Chaudhary, P. S., Chikara, S. K., Sharma, M. C., et Iriti, M</w:t>
      </w:r>
      <w:r w:rsidRPr="00BD78D0">
        <w:rPr>
          <w:rFonts w:asciiTheme="majorBidi" w:hAnsiTheme="majorBidi" w:cstheme="majorBidi"/>
          <w:sz w:val="24"/>
          <w:szCs w:val="24"/>
          <w:shd w:val="clear" w:color="auto" w:fill="FFFFFF"/>
          <w:lang w:val="en-GB"/>
        </w:rPr>
        <w:t xml:space="preserve">. (2018). Review on fenugreek (Trigonella foenum-graecum L.) and its important secondary metabolite diosgenin. Notulae Botanicae Horti Agrobotanici Cluj-Napoca, 46(1), 22-  </w:t>
      </w:r>
      <w:hyperlink r:id="rId84" w:history="1">
        <w:r w:rsidRPr="00BD78D0">
          <w:rPr>
            <w:rStyle w:val="Lienhypertexte"/>
            <w:rFonts w:asciiTheme="majorBidi" w:hAnsiTheme="majorBidi" w:cstheme="majorBidi"/>
            <w:sz w:val="24"/>
            <w:szCs w:val="24"/>
            <w:shd w:val="clear" w:color="auto" w:fill="FFFFFF"/>
            <w:lang w:val="en-GB"/>
          </w:rPr>
          <w:t>https://doi.org/10.15835/nbha46110996</w:t>
        </w:r>
      </w:hyperlink>
    </w:p>
    <w:p w14:paraId="42400130" w14:textId="77777777" w:rsidR="00BD78D0" w:rsidRPr="00BD78D0" w:rsidRDefault="00BD78D0" w:rsidP="003E5817">
      <w:pPr>
        <w:pStyle w:val="Paragraphedeliste"/>
        <w:numPr>
          <w:ilvl w:val="0"/>
          <w:numId w:val="11"/>
        </w:numPr>
        <w:tabs>
          <w:tab w:val="left" w:pos="6173"/>
        </w:tabs>
        <w:spacing w:after="0" w:line="360" w:lineRule="auto"/>
        <w:ind w:left="284" w:hanging="284"/>
        <w:jc w:val="both"/>
        <w:rPr>
          <w:rFonts w:asciiTheme="majorBidi" w:hAnsiTheme="majorBidi" w:cstheme="majorBidi"/>
          <w:sz w:val="24"/>
          <w:szCs w:val="24"/>
          <w:lang w:val="en-US"/>
        </w:rPr>
      </w:pPr>
      <w:r w:rsidRPr="00BD78D0">
        <w:rPr>
          <w:rFonts w:asciiTheme="majorBidi" w:hAnsiTheme="majorBidi" w:cstheme="majorBidi"/>
          <w:b/>
          <w:bCs/>
          <w:sz w:val="24"/>
          <w:szCs w:val="24"/>
          <w:lang w:val="en-US" w:bidi="ar-DZ"/>
        </w:rPr>
        <w:t>Cowan, M.M.,</w:t>
      </w:r>
      <w:r w:rsidRPr="00BD78D0">
        <w:rPr>
          <w:rFonts w:asciiTheme="majorBidi" w:hAnsiTheme="majorBidi" w:cstheme="majorBidi"/>
          <w:sz w:val="24"/>
          <w:szCs w:val="24"/>
          <w:lang w:val="en-US" w:bidi="ar-DZ"/>
        </w:rPr>
        <w:t xml:space="preserve"> (1999). Plant Products as antimicrobial agents. Clinical Microbiology Reviews, 12: 564 – 582.</w:t>
      </w:r>
    </w:p>
    <w:p w14:paraId="2C7A6129" w14:textId="77777777" w:rsidR="00BD78D0" w:rsidRPr="00BD78D0" w:rsidRDefault="00BD78D0" w:rsidP="003E5817">
      <w:pPr>
        <w:pStyle w:val="Paragraphedeliste"/>
        <w:numPr>
          <w:ilvl w:val="0"/>
          <w:numId w:val="11"/>
        </w:numPr>
        <w:tabs>
          <w:tab w:val="left" w:pos="6173"/>
        </w:tabs>
        <w:spacing w:after="0" w:line="360" w:lineRule="auto"/>
        <w:ind w:left="284" w:hanging="284"/>
        <w:jc w:val="both"/>
        <w:rPr>
          <w:rFonts w:asciiTheme="majorBidi" w:hAnsiTheme="majorBidi" w:cstheme="majorBidi"/>
          <w:sz w:val="24"/>
          <w:szCs w:val="24"/>
          <w:shd w:val="clear" w:color="auto" w:fill="FFFFFF"/>
          <w:lang w:val="en-GB"/>
        </w:rPr>
      </w:pPr>
      <w:r w:rsidRPr="00BD78D0">
        <w:rPr>
          <w:rFonts w:asciiTheme="majorBidi" w:hAnsiTheme="majorBidi" w:cstheme="majorBidi"/>
          <w:b/>
          <w:bCs/>
          <w:sz w:val="24"/>
          <w:szCs w:val="24"/>
          <w:lang w:val="en-US"/>
        </w:rPr>
        <w:t>Cristea stelica et al</w:t>
      </w:r>
      <w:r w:rsidRPr="00BD78D0">
        <w:rPr>
          <w:rFonts w:asciiTheme="majorBidi" w:hAnsiTheme="majorBidi" w:cstheme="majorBidi"/>
          <w:sz w:val="24"/>
          <w:szCs w:val="24"/>
          <w:lang w:val="en-US"/>
        </w:rPr>
        <w:t>, (2022), Research on the action of fenugreek extract on the growth of pathogen Monilinia spp.in vitro. DOI: 10-25083/RBL/27.4/3623-3627</w:t>
      </w:r>
    </w:p>
    <w:p w14:paraId="6DEE29C0" w14:textId="77777777" w:rsidR="00BD78D0" w:rsidRPr="00BD78D0" w:rsidRDefault="00BD78D0" w:rsidP="003E5817">
      <w:pPr>
        <w:pStyle w:val="Paragraphedeliste"/>
        <w:numPr>
          <w:ilvl w:val="0"/>
          <w:numId w:val="11"/>
        </w:numPr>
        <w:tabs>
          <w:tab w:val="left" w:pos="6173"/>
        </w:tabs>
        <w:spacing w:after="0" w:line="360" w:lineRule="auto"/>
        <w:ind w:left="284" w:hanging="284"/>
        <w:jc w:val="both"/>
        <w:rPr>
          <w:rFonts w:asciiTheme="majorBidi" w:hAnsiTheme="majorBidi" w:cstheme="majorBidi"/>
          <w:sz w:val="24"/>
          <w:szCs w:val="24"/>
          <w:shd w:val="clear" w:color="auto" w:fill="FFFFFF"/>
          <w:lang w:val="en-US"/>
        </w:rPr>
      </w:pPr>
      <w:r w:rsidRPr="00BD78D0">
        <w:rPr>
          <w:rFonts w:asciiTheme="majorBidi" w:hAnsiTheme="majorBidi" w:cstheme="majorBidi"/>
          <w:b/>
          <w:bCs/>
          <w:sz w:val="24"/>
          <w:szCs w:val="24"/>
          <w:shd w:val="clear" w:color="auto" w:fill="FFFFFF"/>
          <w:lang w:val="en-GB"/>
        </w:rPr>
        <w:t xml:space="preserve">Debasis Bagchi., Kalyan c., Nagulapalli, Venkata., Anand, Swaroop., et Anapum, Bishayee. </w:t>
      </w:r>
      <w:r w:rsidRPr="00BD78D0">
        <w:rPr>
          <w:rFonts w:asciiTheme="majorBidi" w:hAnsiTheme="majorBidi" w:cstheme="majorBidi"/>
          <w:sz w:val="24"/>
          <w:szCs w:val="24"/>
          <w:shd w:val="clear" w:color="auto" w:fill="FFFFFF"/>
          <w:lang w:val="en-GB"/>
        </w:rPr>
        <w:t>(2017). A small plant with big benefits: Fenugreek (Trigonella foenum-Graecum Linn.) for disease prevention and health promotion (2017), DOI: 10.1002/mnfr.201600950, mol, nutr. food Res.61,6,2017,1600950.</w:t>
      </w:r>
    </w:p>
    <w:p w14:paraId="64C48C01" w14:textId="5558F97A" w:rsidR="00BD78D0" w:rsidRPr="00BD78D0" w:rsidRDefault="00BD78D0" w:rsidP="003E5817">
      <w:pPr>
        <w:pStyle w:val="Paragraphedeliste"/>
        <w:numPr>
          <w:ilvl w:val="0"/>
          <w:numId w:val="11"/>
        </w:numPr>
        <w:tabs>
          <w:tab w:val="left" w:pos="6173"/>
        </w:tabs>
        <w:spacing w:after="0" w:line="360" w:lineRule="auto"/>
        <w:ind w:left="284" w:hanging="284"/>
        <w:jc w:val="both"/>
        <w:rPr>
          <w:rFonts w:asciiTheme="majorBidi" w:hAnsiTheme="majorBidi" w:cstheme="majorBidi"/>
          <w:sz w:val="24"/>
          <w:szCs w:val="24"/>
          <w:shd w:val="clear" w:color="auto" w:fill="FFFFFF"/>
          <w:lang w:val="en-US"/>
        </w:rPr>
      </w:pPr>
      <w:r w:rsidRPr="00BD78D0">
        <w:rPr>
          <w:rFonts w:asciiTheme="majorBidi" w:hAnsiTheme="majorBidi" w:cstheme="majorBidi"/>
          <w:b/>
          <w:bCs/>
          <w:sz w:val="24"/>
          <w:szCs w:val="24"/>
          <w:shd w:val="clear" w:color="auto" w:fill="FFFFFF"/>
          <w:lang w:val="en-US"/>
        </w:rPr>
        <w:t>Debib, A., Smith, J., et Johnson, B. (2014).</w:t>
      </w:r>
      <w:r w:rsidRPr="00BD78D0">
        <w:rPr>
          <w:rFonts w:asciiTheme="majorBidi" w:hAnsiTheme="majorBidi" w:cstheme="majorBidi"/>
          <w:sz w:val="24"/>
          <w:szCs w:val="24"/>
          <w:shd w:val="clear" w:color="auto" w:fill="FFFFFF"/>
          <w:lang w:val="en-US"/>
        </w:rPr>
        <w:t xml:space="preserve"> Phenolic composition and antioxidant activities of Debib plant extracts. Journal of </w:t>
      </w:r>
      <w:r w:rsidR="00A964A9" w:rsidRPr="00BD78D0">
        <w:rPr>
          <w:rFonts w:asciiTheme="majorBidi" w:hAnsiTheme="majorBidi" w:cstheme="majorBidi"/>
          <w:sz w:val="24"/>
          <w:szCs w:val="24"/>
          <w:shd w:val="clear" w:color="auto" w:fill="FFFFFF"/>
          <w:lang w:val="en-US"/>
        </w:rPr>
        <w:t>Medicinal</w:t>
      </w:r>
      <w:r w:rsidRPr="00BD78D0">
        <w:rPr>
          <w:rFonts w:asciiTheme="majorBidi" w:hAnsiTheme="majorBidi" w:cstheme="majorBidi"/>
          <w:sz w:val="24"/>
          <w:szCs w:val="24"/>
          <w:shd w:val="clear" w:color="auto" w:fill="FFFFFF"/>
          <w:lang w:val="en-US"/>
        </w:rPr>
        <w:t xml:space="preserve"> Plants Research, 8(5), 210-225.</w:t>
      </w:r>
    </w:p>
    <w:p w14:paraId="633BF9DF" w14:textId="77777777" w:rsidR="00BD78D0" w:rsidRPr="00BD78D0" w:rsidRDefault="00BD78D0" w:rsidP="003E5817">
      <w:pPr>
        <w:pStyle w:val="Paragraphedeliste"/>
        <w:numPr>
          <w:ilvl w:val="0"/>
          <w:numId w:val="11"/>
        </w:numPr>
        <w:tabs>
          <w:tab w:val="left" w:pos="6173"/>
        </w:tabs>
        <w:spacing w:after="0" w:line="360" w:lineRule="auto"/>
        <w:ind w:left="284" w:hanging="284"/>
        <w:jc w:val="both"/>
        <w:rPr>
          <w:rFonts w:asciiTheme="majorBidi" w:hAnsiTheme="majorBidi" w:cstheme="majorBidi"/>
          <w:sz w:val="24"/>
          <w:szCs w:val="24"/>
          <w:shd w:val="clear" w:color="auto" w:fill="FFFFFF"/>
          <w:lang w:val="en-US"/>
        </w:rPr>
      </w:pPr>
      <w:r w:rsidRPr="00BD78D0">
        <w:rPr>
          <w:rFonts w:asciiTheme="majorBidi" w:hAnsiTheme="majorBidi" w:cstheme="majorBidi"/>
          <w:b/>
          <w:bCs/>
          <w:sz w:val="24"/>
          <w:szCs w:val="24"/>
          <w:shd w:val="clear" w:color="auto" w:fill="FFFFFF"/>
        </w:rPr>
        <w:t>Dhull, S. B., Kaur, M., et Sandhu, K. S.</w:t>
      </w:r>
      <w:r w:rsidRPr="00BD78D0">
        <w:rPr>
          <w:rFonts w:asciiTheme="majorBidi" w:hAnsiTheme="majorBidi" w:cstheme="majorBidi"/>
          <w:sz w:val="24"/>
          <w:szCs w:val="24"/>
          <w:shd w:val="clear" w:color="auto" w:fill="FFFFFF"/>
        </w:rPr>
        <w:t xml:space="preserve"> (2020). </w:t>
      </w:r>
      <w:r w:rsidRPr="00BD78D0">
        <w:rPr>
          <w:rFonts w:asciiTheme="majorBidi" w:hAnsiTheme="majorBidi" w:cstheme="majorBidi"/>
          <w:sz w:val="24"/>
          <w:szCs w:val="24"/>
          <w:shd w:val="clear" w:color="auto" w:fill="FFFFFF"/>
          <w:lang w:val="en-US"/>
        </w:rPr>
        <w:t xml:space="preserve">Antioxidant characterization and in vitro DNA damage protection potential of some Indian fenugreek (Trigonella foenum-graecum) cultivars: effect of solvents. Journal of Food Science and Technology, 57(9), 3457–3466. </w:t>
      </w:r>
      <w:hyperlink r:id="rId85" w:history="1">
        <w:r w:rsidRPr="00BD78D0">
          <w:rPr>
            <w:rStyle w:val="Lienhypertexte"/>
            <w:rFonts w:asciiTheme="majorBidi" w:hAnsiTheme="majorBidi" w:cstheme="majorBidi"/>
            <w:sz w:val="24"/>
            <w:szCs w:val="24"/>
            <w:shd w:val="clear" w:color="auto" w:fill="FFFFFF"/>
            <w:lang w:val="en-US"/>
          </w:rPr>
          <w:t>https://doi.org/10.1007/s13197-020-04380-y</w:t>
        </w:r>
      </w:hyperlink>
    </w:p>
    <w:p w14:paraId="0EEDD55A" w14:textId="77777777" w:rsidR="00BD78D0" w:rsidRPr="00BD78D0" w:rsidRDefault="00BD78D0" w:rsidP="003E5817">
      <w:pPr>
        <w:pStyle w:val="Paragraphedeliste"/>
        <w:numPr>
          <w:ilvl w:val="0"/>
          <w:numId w:val="11"/>
        </w:numPr>
        <w:tabs>
          <w:tab w:val="left" w:pos="6173"/>
        </w:tabs>
        <w:spacing w:after="0" w:line="360" w:lineRule="auto"/>
        <w:ind w:left="284" w:hanging="284"/>
        <w:jc w:val="both"/>
        <w:rPr>
          <w:rFonts w:asciiTheme="majorBidi" w:hAnsiTheme="majorBidi" w:cstheme="majorBidi"/>
          <w:sz w:val="24"/>
          <w:szCs w:val="24"/>
        </w:rPr>
      </w:pPr>
      <w:r w:rsidRPr="00BD78D0">
        <w:rPr>
          <w:rFonts w:asciiTheme="majorBidi" w:hAnsiTheme="majorBidi" w:cstheme="majorBidi"/>
          <w:b/>
          <w:bCs/>
          <w:sz w:val="24"/>
          <w:szCs w:val="24"/>
          <w:shd w:val="clear" w:color="auto" w:fill="FFFFFF"/>
        </w:rPr>
        <w:lastRenderedPageBreak/>
        <w:t xml:space="preserve">Diop, A. A., N. B., et al. </w:t>
      </w:r>
      <w:r w:rsidRPr="00BD78D0">
        <w:rPr>
          <w:rFonts w:asciiTheme="majorBidi" w:hAnsiTheme="majorBidi" w:cstheme="majorBidi"/>
          <w:sz w:val="24"/>
          <w:szCs w:val="24"/>
          <w:shd w:val="clear" w:color="auto" w:fill="FFFFFF"/>
          <w:lang w:val="en-US"/>
        </w:rPr>
        <w:t>(2021</w:t>
      </w:r>
      <w:r w:rsidRPr="00BD78D0">
        <w:rPr>
          <w:rFonts w:asciiTheme="majorBidi" w:hAnsiTheme="majorBidi" w:cstheme="majorBidi"/>
          <w:b/>
          <w:bCs/>
          <w:sz w:val="24"/>
          <w:szCs w:val="24"/>
          <w:shd w:val="clear" w:color="auto" w:fill="FFFFFF"/>
          <w:lang w:val="en-US"/>
        </w:rPr>
        <w:t>)</w:t>
      </w:r>
      <w:r w:rsidRPr="00BD78D0">
        <w:rPr>
          <w:rFonts w:asciiTheme="majorBidi" w:hAnsiTheme="majorBidi" w:cstheme="majorBidi"/>
          <w:sz w:val="24"/>
          <w:szCs w:val="24"/>
          <w:shd w:val="clear" w:color="auto" w:fill="FFFFFF"/>
          <w:lang w:val="en-US"/>
        </w:rPr>
        <w:t>. Marrubium vulgare Extract Improves Spatial Working Memory and Reduces Oxidative Stress in Scopolamine</w:t>
      </w:r>
      <w:r w:rsidRPr="00BD78D0">
        <w:rPr>
          <w:rFonts w:asciiTheme="majorBidi" w:hAnsiTheme="majorBidi" w:cstheme="majorBidi"/>
          <w:sz w:val="24"/>
          <w:szCs w:val="24"/>
          <w:shd w:val="clear" w:color="auto" w:fill="FFFFFF"/>
          <w:lang w:val="en-US"/>
        </w:rPr>
        <w:noBreakHyphen/>
        <w:t>Induced Dementia in Rats. Biologie, 13(6), 426. Doi :10.3390/biology13060426.</w:t>
      </w:r>
    </w:p>
    <w:p w14:paraId="551EA267" w14:textId="77777777" w:rsidR="00BD78D0" w:rsidRPr="00BD78D0" w:rsidRDefault="00BD78D0" w:rsidP="003E5817">
      <w:pPr>
        <w:pStyle w:val="Paragraphedeliste"/>
        <w:numPr>
          <w:ilvl w:val="0"/>
          <w:numId w:val="11"/>
        </w:numPr>
        <w:tabs>
          <w:tab w:val="left" w:pos="6173"/>
        </w:tabs>
        <w:spacing w:after="0" w:line="360" w:lineRule="auto"/>
        <w:ind w:left="284" w:hanging="284"/>
        <w:jc w:val="both"/>
        <w:rPr>
          <w:rFonts w:asciiTheme="majorBidi" w:hAnsiTheme="majorBidi" w:cstheme="majorBidi"/>
          <w:sz w:val="24"/>
          <w:szCs w:val="24"/>
          <w:shd w:val="clear" w:color="auto" w:fill="FFFFFF"/>
        </w:rPr>
      </w:pPr>
      <w:r w:rsidRPr="00BD78D0">
        <w:rPr>
          <w:rFonts w:asciiTheme="majorBidi" w:hAnsiTheme="majorBidi" w:cstheme="majorBidi"/>
          <w:b/>
          <w:bCs/>
          <w:sz w:val="24"/>
          <w:szCs w:val="24"/>
          <w:lang w:val="en-US"/>
        </w:rPr>
        <w:t>Divakar, S., Shanthin, K., et Kanaga, P</w:t>
      </w:r>
      <w:r w:rsidRPr="00BD78D0">
        <w:rPr>
          <w:rFonts w:asciiTheme="majorBidi" w:hAnsiTheme="majorBidi" w:cstheme="majorBidi"/>
          <w:sz w:val="24"/>
          <w:szCs w:val="24"/>
          <w:lang w:val="en-US"/>
        </w:rPr>
        <w:t xml:space="preserve">. (2024). A review article on extraction of fenugreek seed. </w:t>
      </w:r>
      <w:r w:rsidRPr="00BD78D0">
        <w:rPr>
          <w:rFonts w:asciiTheme="majorBidi" w:hAnsiTheme="majorBidi" w:cstheme="majorBidi"/>
          <w:sz w:val="24"/>
          <w:szCs w:val="24"/>
        </w:rPr>
        <w:t xml:space="preserve">International Journal of Pharmaceutical Sciences, 2(6), 461–466. </w:t>
      </w:r>
      <w:hyperlink r:id="rId86" w:history="1">
        <w:r w:rsidRPr="00BD78D0">
          <w:rPr>
            <w:rStyle w:val="Lienhypertexte"/>
            <w:rFonts w:asciiTheme="majorBidi" w:hAnsiTheme="majorBidi" w:cstheme="majorBidi"/>
            <w:sz w:val="24"/>
            <w:szCs w:val="24"/>
          </w:rPr>
          <w:t>https://doi.org/10.5281/zenodo.11521023</w:t>
        </w:r>
      </w:hyperlink>
    </w:p>
    <w:p w14:paraId="134938EA" w14:textId="77777777" w:rsidR="00BD78D0" w:rsidRPr="00BD78D0" w:rsidRDefault="00BD78D0" w:rsidP="003E5817">
      <w:pPr>
        <w:pStyle w:val="Paragraphedeliste"/>
        <w:numPr>
          <w:ilvl w:val="0"/>
          <w:numId w:val="11"/>
        </w:numPr>
        <w:tabs>
          <w:tab w:val="left" w:pos="6173"/>
        </w:tabs>
        <w:spacing w:after="0" w:line="360" w:lineRule="auto"/>
        <w:ind w:left="284" w:hanging="284"/>
        <w:jc w:val="both"/>
        <w:rPr>
          <w:rFonts w:asciiTheme="majorBidi" w:hAnsiTheme="majorBidi" w:cstheme="majorBidi"/>
          <w:sz w:val="24"/>
          <w:szCs w:val="24"/>
        </w:rPr>
      </w:pPr>
      <w:r w:rsidRPr="00BD78D0">
        <w:rPr>
          <w:rFonts w:asciiTheme="majorBidi" w:hAnsiTheme="majorBidi" w:cstheme="majorBidi"/>
          <w:b/>
          <w:bCs/>
          <w:sz w:val="24"/>
          <w:szCs w:val="24"/>
          <w:shd w:val="clear" w:color="auto" w:fill="FFFFFF"/>
        </w:rPr>
        <w:t>Djahra Ali Boutlelis</w:t>
      </w:r>
      <w:r w:rsidRPr="00BD78D0">
        <w:rPr>
          <w:rFonts w:asciiTheme="majorBidi" w:hAnsiTheme="majorBidi" w:cstheme="majorBidi"/>
          <w:sz w:val="24"/>
          <w:szCs w:val="24"/>
          <w:shd w:val="clear" w:color="auto" w:fill="FFFFFF"/>
        </w:rPr>
        <w:t xml:space="preserve"> (2014)</w:t>
      </w:r>
      <w:proofErr w:type="gramStart"/>
      <w:r w:rsidRPr="00BD78D0">
        <w:rPr>
          <w:rFonts w:asciiTheme="majorBidi" w:hAnsiTheme="majorBidi" w:cstheme="majorBidi"/>
          <w:sz w:val="24"/>
          <w:szCs w:val="24"/>
          <w:shd w:val="clear" w:color="auto" w:fill="FFFFFF"/>
        </w:rPr>
        <w:t>.;</w:t>
      </w:r>
      <w:proofErr w:type="gramEnd"/>
      <w:r w:rsidRPr="00BD78D0">
        <w:rPr>
          <w:rFonts w:asciiTheme="majorBidi" w:hAnsiTheme="majorBidi" w:cstheme="majorBidi"/>
          <w:sz w:val="24"/>
          <w:szCs w:val="24"/>
          <w:shd w:val="clear" w:color="auto" w:fill="FFFFFF"/>
        </w:rPr>
        <w:t xml:space="preserve"> Étude phytochimique et activité anti microbienne, antioxydante, antihépatotoxique du Marube blanc </w:t>
      </w:r>
    </w:p>
    <w:p w14:paraId="7B192745" w14:textId="77777777" w:rsidR="00BD78D0" w:rsidRPr="00BD78D0" w:rsidRDefault="00BD78D0" w:rsidP="003E5817">
      <w:pPr>
        <w:pStyle w:val="Paragraphedeliste"/>
        <w:numPr>
          <w:ilvl w:val="0"/>
          <w:numId w:val="11"/>
        </w:numPr>
        <w:tabs>
          <w:tab w:val="left" w:pos="6173"/>
        </w:tabs>
        <w:spacing w:after="0" w:line="360" w:lineRule="auto"/>
        <w:ind w:left="284" w:hanging="284"/>
        <w:jc w:val="both"/>
        <w:rPr>
          <w:rFonts w:asciiTheme="majorBidi" w:hAnsiTheme="majorBidi" w:cstheme="majorBidi"/>
          <w:sz w:val="24"/>
          <w:szCs w:val="24"/>
          <w:shd w:val="clear" w:color="auto" w:fill="FFFFFF"/>
          <w:lang w:val="en-US"/>
        </w:rPr>
      </w:pPr>
      <w:r w:rsidRPr="00BD78D0">
        <w:rPr>
          <w:rFonts w:asciiTheme="majorBidi" w:hAnsiTheme="majorBidi" w:cstheme="majorBidi"/>
          <w:b/>
          <w:bCs/>
          <w:sz w:val="24"/>
          <w:szCs w:val="24"/>
        </w:rPr>
        <w:t>ElNour, M. E. M., Ali, A. M. A., et Saeed, B. E. A</w:t>
      </w:r>
      <w:r w:rsidRPr="00BD78D0">
        <w:rPr>
          <w:rFonts w:asciiTheme="majorBidi" w:hAnsiTheme="majorBidi" w:cstheme="majorBidi"/>
          <w:sz w:val="24"/>
          <w:szCs w:val="24"/>
        </w:rPr>
        <w:t xml:space="preserve">. (2015). </w:t>
      </w:r>
      <w:r w:rsidRPr="00BD78D0">
        <w:rPr>
          <w:rFonts w:asciiTheme="majorBidi" w:hAnsiTheme="majorBidi" w:cstheme="majorBidi"/>
          <w:sz w:val="24"/>
          <w:szCs w:val="24"/>
          <w:lang w:val="en-US"/>
        </w:rPr>
        <w:t>Antimicrobial Activities and Phytochemical Screening of Callus and Seeds Extracts of Fenugreek (Trigonella foenum-graecum). International Journal of Current Microbiology and Applied Sciences, 4(2), 147–157. Retrieved from.</w:t>
      </w:r>
      <w:hyperlink r:id="rId87" w:history="1">
        <w:r w:rsidRPr="00BD78D0">
          <w:rPr>
            <w:rStyle w:val="Lienhypertexte"/>
            <w:rFonts w:asciiTheme="majorBidi" w:hAnsiTheme="majorBidi" w:cstheme="majorBidi"/>
            <w:sz w:val="24"/>
            <w:szCs w:val="24"/>
          </w:rPr>
          <w:t>https://www.researchgate.net/publication/324648029</w:t>
        </w:r>
      </w:hyperlink>
    </w:p>
    <w:p w14:paraId="0F048019" w14:textId="77777777" w:rsidR="00BD78D0" w:rsidRPr="00320AF4" w:rsidRDefault="00BD78D0" w:rsidP="003E5817">
      <w:pPr>
        <w:pStyle w:val="Paragraphedeliste"/>
        <w:numPr>
          <w:ilvl w:val="0"/>
          <w:numId w:val="11"/>
        </w:numPr>
        <w:tabs>
          <w:tab w:val="left" w:pos="6173"/>
        </w:tabs>
        <w:spacing w:after="0" w:line="360" w:lineRule="auto"/>
        <w:ind w:left="284" w:hanging="284"/>
        <w:jc w:val="both"/>
        <w:rPr>
          <w:rFonts w:asciiTheme="majorBidi" w:hAnsiTheme="majorBidi" w:cstheme="majorBidi"/>
          <w:sz w:val="24"/>
          <w:szCs w:val="24"/>
          <w:lang w:val="en-US"/>
        </w:rPr>
      </w:pPr>
      <w:r w:rsidRPr="00BD78D0">
        <w:rPr>
          <w:rFonts w:asciiTheme="majorBidi" w:hAnsiTheme="majorBidi" w:cstheme="majorBidi"/>
          <w:b/>
          <w:bCs/>
          <w:sz w:val="24"/>
          <w:szCs w:val="24"/>
          <w:shd w:val="clear" w:color="auto" w:fill="FFFFFF"/>
        </w:rPr>
        <w:t>Evans, W.C</w:t>
      </w:r>
      <w:r w:rsidRPr="00BD78D0">
        <w:rPr>
          <w:rFonts w:asciiTheme="majorBidi" w:hAnsiTheme="majorBidi" w:cstheme="majorBidi"/>
          <w:sz w:val="24"/>
          <w:szCs w:val="24"/>
          <w:shd w:val="clear" w:color="auto" w:fill="FFFFFF"/>
        </w:rPr>
        <w:t xml:space="preserve">. (1996). Édition révisée. </w:t>
      </w:r>
      <w:r w:rsidRPr="00BD78D0">
        <w:rPr>
          <w:rFonts w:asciiTheme="majorBidi" w:hAnsiTheme="majorBidi" w:cstheme="majorBidi"/>
          <w:sz w:val="24"/>
          <w:szCs w:val="24"/>
          <w:shd w:val="clear" w:color="auto" w:fill="FFFFFF"/>
          <w:lang w:val="en-US"/>
        </w:rPr>
        <w:t>Saunders Ltd. "Trease and Evans' Pharmacognosy", ISBN-13: 978-0721640196</w:t>
      </w:r>
    </w:p>
    <w:p w14:paraId="3AB306A4" w14:textId="77777777" w:rsidR="00BD78D0" w:rsidRPr="00BD78D0" w:rsidRDefault="00BD78D0" w:rsidP="003E5817">
      <w:pPr>
        <w:pStyle w:val="Paragraphedeliste"/>
        <w:numPr>
          <w:ilvl w:val="0"/>
          <w:numId w:val="11"/>
        </w:numPr>
        <w:tabs>
          <w:tab w:val="left" w:pos="6173"/>
        </w:tabs>
        <w:spacing w:after="0" w:line="360" w:lineRule="auto"/>
        <w:ind w:left="284" w:hanging="284"/>
        <w:jc w:val="both"/>
        <w:rPr>
          <w:rFonts w:asciiTheme="majorBidi" w:hAnsiTheme="majorBidi" w:cstheme="majorBidi"/>
          <w:sz w:val="24"/>
          <w:szCs w:val="24"/>
          <w:shd w:val="clear" w:color="auto" w:fill="FFFFFF"/>
          <w:lang w:val="en-US"/>
        </w:rPr>
      </w:pPr>
      <w:r w:rsidRPr="00BD78D0">
        <w:rPr>
          <w:rFonts w:asciiTheme="majorBidi" w:hAnsiTheme="majorBidi" w:cstheme="majorBidi"/>
          <w:b/>
          <w:bCs/>
          <w:sz w:val="24"/>
          <w:szCs w:val="24"/>
          <w:lang w:val="en-US"/>
        </w:rPr>
        <w:t>Faisal, Z. G.</w:t>
      </w:r>
      <w:r w:rsidRPr="00BD78D0">
        <w:rPr>
          <w:rFonts w:asciiTheme="majorBidi" w:hAnsiTheme="majorBidi" w:cstheme="majorBidi"/>
          <w:sz w:val="24"/>
          <w:szCs w:val="24"/>
          <w:lang w:val="en-US"/>
        </w:rPr>
        <w:t xml:space="preserve"> (2022). Evaluation of antibacterial and antifungal activity of Trigonella foenum-graecum seeds and leaves against some of clinical bacteria and fungi. </w:t>
      </w:r>
      <w:r w:rsidRPr="00BD78D0">
        <w:rPr>
          <w:rFonts w:asciiTheme="majorBidi" w:hAnsiTheme="majorBidi" w:cs="Times New Roman"/>
          <w:sz w:val="24"/>
          <w:szCs w:val="24"/>
          <w:rtl/>
          <w:lang w:val="en-US"/>
        </w:rPr>
        <w:t>مجلة الدراسات التربوية والعلمية - كلية التربية - الجامعة العراقية, 19(</w:t>
      </w:r>
      <w:r w:rsidRPr="00BD78D0">
        <w:rPr>
          <w:rFonts w:asciiTheme="majorBidi" w:hAnsiTheme="majorBidi" w:cs="Times New Roman" w:hint="cs"/>
          <w:sz w:val="24"/>
          <w:szCs w:val="24"/>
          <w:rtl/>
          <w:lang w:val="en-US"/>
        </w:rPr>
        <w:t xml:space="preserve">2) </w:t>
      </w:r>
      <w:r w:rsidRPr="00BD78D0">
        <w:rPr>
          <w:rFonts w:asciiTheme="majorBidi" w:hAnsiTheme="majorBidi" w:cs="Times New Roman"/>
          <w:sz w:val="24"/>
          <w:szCs w:val="24"/>
          <w:rtl/>
          <w:lang w:val="en-US"/>
        </w:rPr>
        <w:t>, 175–180</w:t>
      </w:r>
      <w:r w:rsidRPr="00BD78D0">
        <w:rPr>
          <w:rFonts w:asciiTheme="majorBidi" w:hAnsiTheme="majorBidi" w:cstheme="majorBidi"/>
          <w:sz w:val="24"/>
          <w:szCs w:val="24"/>
          <w:lang w:val="en-US"/>
        </w:rPr>
        <w:t xml:space="preserve">. </w:t>
      </w:r>
      <w:hyperlink r:id="rId88" w:history="1">
        <w:r w:rsidRPr="00BD78D0">
          <w:rPr>
            <w:rStyle w:val="Lienhypertexte"/>
            <w:rFonts w:asciiTheme="majorBidi" w:hAnsiTheme="majorBidi" w:cstheme="majorBidi"/>
            <w:sz w:val="24"/>
            <w:szCs w:val="24"/>
          </w:rPr>
          <w:t>https://doi.org/10.52866/esj.2022.02.19.13</w:t>
        </w:r>
      </w:hyperlink>
    </w:p>
    <w:p w14:paraId="011286F7" w14:textId="77777777" w:rsidR="00BD78D0" w:rsidRPr="00BD78D0" w:rsidRDefault="00BD78D0" w:rsidP="003E5817">
      <w:pPr>
        <w:pStyle w:val="Paragraphedeliste"/>
        <w:numPr>
          <w:ilvl w:val="0"/>
          <w:numId w:val="11"/>
        </w:numPr>
        <w:tabs>
          <w:tab w:val="left" w:pos="6173"/>
        </w:tabs>
        <w:spacing w:after="0" w:line="360" w:lineRule="auto"/>
        <w:ind w:left="284" w:hanging="284"/>
        <w:jc w:val="both"/>
        <w:rPr>
          <w:rFonts w:asciiTheme="majorBidi" w:hAnsiTheme="majorBidi" w:cstheme="majorBidi"/>
          <w:sz w:val="24"/>
          <w:szCs w:val="24"/>
          <w:lang w:val="en-US" w:bidi="ar-DZ"/>
        </w:rPr>
      </w:pPr>
      <w:r w:rsidRPr="00BD78D0">
        <w:rPr>
          <w:rFonts w:asciiTheme="majorBidi" w:hAnsiTheme="majorBidi" w:cstheme="majorBidi"/>
          <w:b/>
          <w:bCs/>
          <w:sz w:val="24"/>
          <w:szCs w:val="24"/>
          <w:shd w:val="clear" w:color="auto" w:fill="FFFFFF"/>
        </w:rPr>
        <w:t xml:space="preserve">Falleh, H., Ksouri, R., Chaieb, K., Karray, B.N., Trabelsi, N., Boulaaba, M., et Abdelly, C. </w:t>
      </w:r>
      <w:r w:rsidRPr="00BD78D0">
        <w:rPr>
          <w:rFonts w:asciiTheme="majorBidi" w:hAnsiTheme="majorBidi" w:cstheme="majorBidi"/>
          <w:sz w:val="24"/>
          <w:szCs w:val="24"/>
          <w:shd w:val="clear" w:color="auto" w:fill="FFFFFF"/>
        </w:rPr>
        <w:t>(2008).</w:t>
      </w:r>
      <w:r w:rsidRPr="00BD78D0">
        <w:rPr>
          <w:rFonts w:asciiTheme="majorBidi" w:hAnsiTheme="majorBidi" w:cstheme="majorBidi"/>
          <w:b/>
          <w:bCs/>
          <w:sz w:val="24"/>
          <w:szCs w:val="24"/>
          <w:shd w:val="clear" w:color="auto" w:fill="FFFFFF"/>
        </w:rPr>
        <w:t xml:space="preserve"> </w:t>
      </w:r>
      <w:r w:rsidRPr="00BD78D0">
        <w:rPr>
          <w:rFonts w:asciiTheme="majorBidi" w:hAnsiTheme="majorBidi" w:cstheme="majorBidi"/>
          <w:sz w:val="24"/>
          <w:szCs w:val="24"/>
          <w:shd w:val="clear" w:color="auto" w:fill="FFFFFF"/>
          <w:lang w:val="en-US"/>
        </w:rPr>
        <w:t>Phenolic composition of Cynara cardunculus L. organs, and their biological activities. Comptes Rendus. Biologies, 331(5), 372-379.</w:t>
      </w:r>
    </w:p>
    <w:p w14:paraId="3ED06CD9" w14:textId="77777777" w:rsidR="00BD78D0" w:rsidRPr="00BD78D0" w:rsidRDefault="00BD78D0" w:rsidP="003E5817">
      <w:pPr>
        <w:pStyle w:val="Paragraphedeliste"/>
        <w:numPr>
          <w:ilvl w:val="0"/>
          <w:numId w:val="11"/>
        </w:numPr>
        <w:tabs>
          <w:tab w:val="left" w:pos="6173"/>
        </w:tabs>
        <w:spacing w:after="0" w:line="360" w:lineRule="auto"/>
        <w:ind w:left="284" w:hanging="284"/>
        <w:jc w:val="both"/>
        <w:rPr>
          <w:rFonts w:asciiTheme="majorBidi" w:hAnsiTheme="majorBidi" w:cstheme="majorBidi"/>
          <w:sz w:val="24"/>
          <w:szCs w:val="24"/>
          <w:shd w:val="clear" w:color="auto" w:fill="FFFFFF"/>
          <w:lang w:val="en-US"/>
        </w:rPr>
      </w:pPr>
      <w:r w:rsidRPr="00BD78D0">
        <w:rPr>
          <w:rFonts w:asciiTheme="majorBidi" w:hAnsiTheme="majorBidi" w:cstheme="majorBidi"/>
          <w:b/>
          <w:bCs/>
          <w:sz w:val="24"/>
          <w:szCs w:val="24"/>
          <w:lang w:val="en-US" w:bidi="ar-DZ"/>
        </w:rPr>
        <w:t>Fatma Rahmouni., Mongi saoudi., Tarek rebai</w:t>
      </w:r>
      <w:r w:rsidRPr="00BD78D0">
        <w:rPr>
          <w:rFonts w:asciiTheme="majorBidi" w:hAnsiTheme="majorBidi" w:cstheme="majorBidi"/>
          <w:sz w:val="24"/>
          <w:szCs w:val="24"/>
          <w:lang w:val="en-US" w:bidi="ar-DZ"/>
        </w:rPr>
        <w:t>. (2021). Therapeutics studies and biological properties of teucrium polium (Lamiaceae) .47(3), DOI: 10,1002/biof,1782.</w:t>
      </w:r>
    </w:p>
    <w:p w14:paraId="5CECA6BC" w14:textId="77777777" w:rsidR="00BD78D0" w:rsidRPr="00BD78D0" w:rsidRDefault="00BD78D0" w:rsidP="003E5817">
      <w:pPr>
        <w:pStyle w:val="Paragraphedeliste"/>
        <w:numPr>
          <w:ilvl w:val="0"/>
          <w:numId w:val="11"/>
        </w:numPr>
        <w:tabs>
          <w:tab w:val="left" w:pos="6173"/>
        </w:tabs>
        <w:spacing w:after="0" w:line="360" w:lineRule="auto"/>
        <w:ind w:left="284" w:hanging="284"/>
        <w:jc w:val="both"/>
        <w:rPr>
          <w:rFonts w:asciiTheme="majorBidi" w:hAnsiTheme="majorBidi" w:cstheme="majorBidi"/>
          <w:sz w:val="24"/>
          <w:szCs w:val="24"/>
          <w:shd w:val="clear" w:color="auto" w:fill="FFFFFF"/>
          <w:lang w:val="en-GB"/>
        </w:rPr>
      </w:pPr>
      <w:r w:rsidRPr="00BD78D0">
        <w:rPr>
          <w:rFonts w:asciiTheme="majorBidi" w:hAnsiTheme="majorBidi" w:cstheme="majorBidi"/>
          <w:b/>
          <w:bCs/>
          <w:sz w:val="24"/>
          <w:szCs w:val="24"/>
          <w:shd w:val="clear" w:color="auto" w:fill="FFFFFF"/>
          <w:lang w:val="en-US"/>
        </w:rPr>
        <w:t xml:space="preserve">Fester, K. </w:t>
      </w:r>
      <w:r w:rsidRPr="00BD78D0">
        <w:rPr>
          <w:rFonts w:asciiTheme="majorBidi" w:hAnsiTheme="majorBidi" w:cstheme="majorBidi"/>
          <w:sz w:val="24"/>
          <w:szCs w:val="24"/>
          <w:shd w:val="clear" w:color="auto" w:fill="FFFFFF"/>
          <w:lang w:val="en-US"/>
        </w:rPr>
        <w:t>(2010). Plant alkaloids. In Encyclopedia of Life Sciences. Wiley. DOI 10.1002/9780470015902.a0001912.pub2</w:t>
      </w:r>
    </w:p>
    <w:p w14:paraId="7DC560CC" w14:textId="77777777" w:rsidR="00BD78D0" w:rsidRPr="00BD78D0" w:rsidRDefault="00BD78D0" w:rsidP="003E5817">
      <w:pPr>
        <w:pStyle w:val="Paragraphedeliste"/>
        <w:numPr>
          <w:ilvl w:val="0"/>
          <w:numId w:val="11"/>
        </w:numPr>
        <w:tabs>
          <w:tab w:val="left" w:pos="6173"/>
        </w:tabs>
        <w:spacing w:after="0" w:line="360" w:lineRule="auto"/>
        <w:ind w:left="284" w:hanging="284"/>
        <w:jc w:val="both"/>
        <w:rPr>
          <w:rFonts w:asciiTheme="majorBidi" w:hAnsiTheme="majorBidi" w:cstheme="majorBidi"/>
          <w:sz w:val="24"/>
          <w:szCs w:val="24"/>
          <w:shd w:val="clear" w:color="auto" w:fill="FFFFFF"/>
          <w:lang w:val="en-US"/>
        </w:rPr>
      </w:pPr>
      <w:r w:rsidRPr="00BD78D0">
        <w:rPr>
          <w:rFonts w:asciiTheme="majorBidi" w:hAnsiTheme="majorBidi" w:cstheme="majorBidi"/>
          <w:b/>
          <w:bCs/>
          <w:sz w:val="24"/>
          <w:szCs w:val="24"/>
          <w:shd w:val="clear" w:color="auto" w:fill="FFFFFF"/>
          <w:lang w:val="en-GB"/>
        </w:rPr>
        <w:t>Gawade, M. B., Shejul, D. D., et Kakade, V</w:t>
      </w:r>
      <w:r w:rsidRPr="00BD78D0">
        <w:rPr>
          <w:rFonts w:asciiTheme="majorBidi" w:hAnsiTheme="majorBidi" w:cstheme="majorBidi"/>
          <w:sz w:val="24"/>
          <w:szCs w:val="24"/>
          <w:shd w:val="clear" w:color="auto" w:fill="FFFFFF"/>
          <w:lang w:val="en-GB"/>
        </w:rPr>
        <w:t xml:space="preserve">. (2023). Health benefits, chemical constituents and therapeutic pharmacological effects of fenugreek. International Research Journal of Plant Science, 14(4), 01–05. </w:t>
      </w:r>
      <w:hyperlink r:id="rId89" w:history="1">
        <w:r w:rsidRPr="00BD78D0">
          <w:rPr>
            <w:rStyle w:val="Lienhypertexte"/>
            <w:rFonts w:asciiTheme="majorBidi" w:hAnsiTheme="majorBidi" w:cstheme="majorBidi"/>
            <w:sz w:val="24"/>
            <w:szCs w:val="24"/>
            <w:shd w:val="clear" w:color="auto" w:fill="FFFFFF"/>
            <w:lang w:val="en-GB"/>
          </w:rPr>
          <w:t>https://doi.org/10.14303/irjps.2023.27</w:t>
        </w:r>
      </w:hyperlink>
    </w:p>
    <w:p w14:paraId="181F5E89" w14:textId="77777777" w:rsidR="00BD78D0" w:rsidRPr="00BD78D0" w:rsidRDefault="00BD78D0" w:rsidP="003E5817">
      <w:pPr>
        <w:pStyle w:val="Paragraphedeliste"/>
        <w:numPr>
          <w:ilvl w:val="0"/>
          <w:numId w:val="11"/>
        </w:numPr>
        <w:tabs>
          <w:tab w:val="left" w:pos="6173"/>
        </w:tabs>
        <w:spacing w:after="0" w:line="360" w:lineRule="auto"/>
        <w:ind w:left="284" w:hanging="284"/>
        <w:jc w:val="both"/>
        <w:rPr>
          <w:rFonts w:asciiTheme="majorBidi" w:hAnsiTheme="majorBidi" w:cstheme="majorBidi"/>
          <w:sz w:val="24"/>
          <w:szCs w:val="24"/>
          <w:shd w:val="clear" w:color="auto" w:fill="FFFFFF"/>
        </w:rPr>
      </w:pPr>
      <w:r w:rsidRPr="00BD78D0">
        <w:rPr>
          <w:rFonts w:asciiTheme="majorBidi" w:hAnsiTheme="majorBidi" w:cstheme="majorBidi"/>
          <w:b/>
          <w:bCs/>
          <w:sz w:val="24"/>
          <w:szCs w:val="24"/>
          <w:shd w:val="clear" w:color="auto" w:fill="FFFFFF"/>
        </w:rPr>
        <w:t>Habibou, H.H., Idrissa, M., Ikhiri Khalid, P., et Benjamin, O.,</w:t>
      </w:r>
      <w:r w:rsidRPr="00BD78D0">
        <w:rPr>
          <w:rFonts w:asciiTheme="majorBidi" w:hAnsiTheme="majorBidi" w:cstheme="majorBidi"/>
          <w:sz w:val="24"/>
          <w:szCs w:val="24"/>
          <w:shd w:val="clear" w:color="auto" w:fill="FFFFFF"/>
        </w:rPr>
        <w:t xml:space="preserve"> (2019). « Activité Antioxydante des extraits méthanoliques de differents organes de Detarium microcarpum Guill, et Perr ». </w:t>
      </w:r>
      <w:r w:rsidRPr="00BD78D0">
        <w:rPr>
          <w:rFonts w:asciiTheme="majorBidi" w:hAnsiTheme="majorBidi" w:cstheme="majorBidi"/>
          <w:sz w:val="24"/>
          <w:szCs w:val="24"/>
          <w:shd w:val="clear" w:color="auto" w:fill="FFFFFF"/>
          <w:lang w:val="en-US"/>
        </w:rPr>
        <w:t>Eur Sci J, V.15(12), 1857-7881</w:t>
      </w:r>
    </w:p>
    <w:p w14:paraId="067A5AF5" w14:textId="77777777" w:rsidR="00BD78D0" w:rsidRPr="00BD78D0" w:rsidRDefault="00BD78D0" w:rsidP="003E5817">
      <w:pPr>
        <w:pStyle w:val="Paragraphedeliste"/>
        <w:numPr>
          <w:ilvl w:val="0"/>
          <w:numId w:val="11"/>
        </w:numPr>
        <w:tabs>
          <w:tab w:val="left" w:pos="6173"/>
        </w:tabs>
        <w:spacing w:after="0" w:line="360" w:lineRule="auto"/>
        <w:ind w:left="284" w:hanging="284"/>
        <w:jc w:val="both"/>
        <w:rPr>
          <w:rFonts w:asciiTheme="majorBidi" w:hAnsiTheme="majorBidi" w:cstheme="majorBidi"/>
          <w:sz w:val="24"/>
          <w:szCs w:val="24"/>
          <w:lang w:val="en-US"/>
        </w:rPr>
      </w:pPr>
      <w:r w:rsidRPr="00BD78D0">
        <w:rPr>
          <w:rFonts w:asciiTheme="majorBidi" w:hAnsiTheme="majorBidi" w:cstheme="majorBidi"/>
          <w:b/>
          <w:bCs/>
          <w:sz w:val="24"/>
          <w:szCs w:val="24"/>
          <w:shd w:val="clear" w:color="auto" w:fill="FFFFFF"/>
          <w:lang w:val="en-GB"/>
        </w:rPr>
        <w:t>Hamad H. Al Mamari</w:t>
      </w:r>
      <w:r w:rsidRPr="00BD78D0">
        <w:rPr>
          <w:rFonts w:asciiTheme="majorBidi" w:hAnsiTheme="majorBidi" w:cstheme="majorBidi"/>
          <w:sz w:val="24"/>
          <w:szCs w:val="24"/>
          <w:shd w:val="clear" w:color="auto" w:fill="FFFFFF"/>
          <w:lang w:val="en-GB"/>
        </w:rPr>
        <w:t>. (2021)</w:t>
      </w:r>
      <w:r w:rsidRPr="00BD78D0">
        <w:rPr>
          <w:rFonts w:asciiTheme="majorBidi" w:hAnsiTheme="majorBidi" w:cstheme="majorBidi"/>
          <w:sz w:val="24"/>
          <w:szCs w:val="24"/>
          <w:shd w:val="clear" w:color="auto" w:fill="FFFFFF"/>
          <w:lang w:val="en-US"/>
        </w:rPr>
        <w:t>.</w:t>
      </w:r>
      <w:r w:rsidRPr="00BD78D0">
        <w:rPr>
          <w:rFonts w:asciiTheme="majorBidi" w:hAnsiTheme="majorBidi" w:cstheme="majorBidi"/>
          <w:sz w:val="24"/>
          <w:szCs w:val="24"/>
          <w:shd w:val="clear" w:color="auto" w:fill="FFFFFF"/>
          <w:lang w:val="en-GB"/>
        </w:rPr>
        <w:t xml:space="preserve"> phenolic compounds: classification, chemistry and updated techniques of analysis and synthesis. </w:t>
      </w:r>
      <w:proofErr w:type="gramStart"/>
      <w:r w:rsidRPr="00BD78D0">
        <w:rPr>
          <w:rFonts w:asciiTheme="majorBidi" w:hAnsiTheme="majorBidi" w:cstheme="majorBidi"/>
          <w:sz w:val="24"/>
          <w:szCs w:val="24"/>
          <w:shd w:val="clear" w:color="auto" w:fill="FFFFFF"/>
        </w:rPr>
        <w:t>DOI:</w:t>
      </w:r>
      <w:proofErr w:type="gramEnd"/>
      <w:r w:rsidRPr="00BD78D0">
        <w:rPr>
          <w:rFonts w:asciiTheme="majorBidi" w:hAnsiTheme="majorBidi" w:cstheme="majorBidi"/>
          <w:sz w:val="24"/>
          <w:szCs w:val="24"/>
          <w:shd w:val="clear" w:color="auto" w:fill="FFFFFF"/>
        </w:rPr>
        <w:t xml:space="preserve"> 10.5772/intechopen.98958.</w:t>
      </w:r>
    </w:p>
    <w:p w14:paraId="1F000A6D" w14:textId="77777777" w:rsidR="00BD78D0" w:rsidRPr="00BD78D0" w:rsidRDefault="00BD78D0" w:rsidP="003E5817">
      <w:pPr>
        <w:pStyle w:val="Paragraphedeliste"/>
        <w:numPr>
          <w:ilvl w:val="0"/>
          <w:numId w:val="11"/>
        </w:numPr>
        <w:tabs>
          <w:tab w:val="left" w:pos="6173"/>
        </w:tabs>
        <w:spacing w:after="0" w:line="360" w:lineRule="auto"/>
        <w:ind w:left="284" w:hanging="284"/>
        <w:jc w:val="both"/>
        <w:rPr>
          <w:rFonts w:asciiTheme="majorBidi" w:hAnsiTheme="majorBidi" w:cstheme="majorBidi"/>
          <w:sz w:val="24"/>
          <w:szCs w:val="24"/>
          <w:shd w:val="clear" w:color="auto" w:fill="FFFFFF"/>
          <w:lang w:val="en-US"/>
        </w:rPr>
      </w:pPr>
      <w:r w:rsidRPr="00BD78D0">
        <w:rPr>
          <w:rFonts w:asciiTheme="majorBidi" w:hAnsiTheme="majorBidi" w:cstheme="majorBidi"/>
          <w:b/>
          <w:bCs/>
          <w:sz w:val="24"/>
          <w:szCs w:val="24"/>
        </w:rPr>
        <w:lastRenderedPageBreak/>
        <w:t>Haoula, R., et al</w:t>
      </w:r>
      <w:r w:rsidRPr="00BD78D0">
        <w:rPr>
          <w:rFonts w:asciiTheme="majorBidi" w:hAnsiTheme="majorBidi" w:cstheme="majorBidi"/>
          <w:sz w:val="24"/>
          <w:szCs w:val="24"/>
        </w:rPr>
        <w:t xml:space="preserve">. (2008). Les extraits aqueux et organiques de </w:t>
      </w:r>
      <w:r w:rsidRPr="00BD78D0">
        <w:rPr>
          <w:rFonts w:asciiTheme="majorBidi" w:hAnsiTheme="majorBidi" w:cstheme="majorBidi"/>
          <w:i/>
          <w:iCs/>
          <w:sz w:val="24"/>
          <w:szCs w:val="24"/>
        </w:rPr>
        <w:t>Trigonella foenum-graecum</w:t>
      </w:r>
      <w:r w:rsidRPr="00BD78D0">
        <w:rPr>
          <w:rFonts w:asciiTheme="majorBidi" w:hAnsiTheme="majorBidi" w:cstheme="majorBidi"/>
          <w:sz w:val="24"/>
          <w:szCs w:val="24"/>
        </w:rPr>
        <w:t xml:space="preserve"> L. inhibent la croissance des mycéliums des champignons. </w:t>
      </w:r>
      <w:r w:rsidRPr="00BD78D0">
        <w:rPr>
          <w:rFonts w:asciiTheme="majorBidi" w:hAnsiTheme="majorBidi" w:cstheme="majorBidi"/>
          <w:sz w:val="24"/>
          <w:szCs w:val="24"/>
          <w:lang w:val="en-US"/>
        </w:rPr>
        <w:t xml:space="preserve">Journal of Environmental Sciences, 20(12), 1453–1457. </w:t>
      </w:r>
      <w:hyperlink r:id="rId90" w:history="1">
        <w:r w:rsidRPr="00BD78D0">
          <w:rPr>
            <w:rStyle w:val="Lienhypertexte"/>
            <w:rFonts w:asciiTheme="majorBidi" w:hAnsiTheme="majorBidi" w:cstheme="majorBidi"/>
            <w:sz w:val="24"/>
            <w:szCs w:val="24"/>
            <w:lang w:val="en-US"/>
          </w:rPr>
          <w:t>https://doi.org/10.1016/S1001-0742(08)62548-6</w:t>
        </w:r>
      </w:hyperlink>
    </w:p>
    <w:p w14:paraId="5F9CAB85" w14:textId="77777777" w:rsidR="00BD78D0" w:rsidRPr="00BD78D0" w:rsidRDefault="00BD78D0" w:rsidP="003E5817">
      <w:pPr>
        <w:pStyle w:val="Paragraphedeliste"/>
        <w:numPr>
          <w:ilvl w:val="0"/>
          <w:numId w:val="11"/>
        </w:numPr>
        <w:tabs>
          <w:tab w:val="left" w:pos="6173"/>
        </w:tabs>
        <w:spacing w:after="0" w:line="360" w:lineRule="auto"/>
        <w:ind w:left="284" w:hanging="284"/>
        <w:jc w:val="both"/>
        <w:rPr>
          <w:rFonts w:asciiTheme="majorBidi" w:hAnsiTheme="majorBidi" w:cstheme="majorBidi"/>
          <w:sz w:val="24"/>
          <w:szCs w:val="24"/>
          <w:lang w:val="en-US"/>
        </w:rPr>
      </w:pPr>
      <w:r w:rsidRPr="00BD78D0">
        <w:rPr>
          <w:rFonts w:asciiTheme="majorBidi" w:hAnsiTheme="majorBidi" w:cstheme="majorBidi"/>
          <w:b/>
          <w:bCs/>
          <w:sz w:val="24"/>
          <w:szCs w:val="24"/>
          <w:shd w:val="clear" w:color="auto" w:fill="FFFFFF"/>
        </w:rPr>
        <w:t>Heuzé, V., Tran, G. et Hassoun, P.</w:t>
      </w:r>
      <w:r w:rsidRPr="00BD78D0">
        <w:rPr>
          <w:rFonts w:asciiTheme="majorBidi" w:hAnsiTheme="majorBidi" w:cstheme="majorBidi"/>
          <w:sz w:val="24"/>
          <w:szCs w:val="24"/>
          <w:shd w:val="clear" w:color="auto" w:fill="FFFFFF"/>
        </w:rPr>
        <w:t xml:space="preserve"> (2015). </w:t>
      </w:r>
      <w:r w:rsidRPr="00BD78D0">
        <w:rPr>
          <w:rFonts w:asciiTheme="majorBidi" w:hAnsiTheme="majorBidi" w:cstheme="majorBidi"/>
          <w:sz w:val="24"/>
          <w:szCs w:val="24"/>
          <w:shd w:val="clear" w:color="auto" w:fill="FFFFFF"/>
          <w:lang w:val="en-US"/>
        </w:rPr>
        <w:t xml:space="preserve">Fenugreek (Trigonella foenum-graecum). Feedipedia, a programme by INRAE, CIRAD, AFZ and FAO. Retrieved fromPetit, J. (2014). Trigonella foenum-graecum L. – Morphological description. In </w:t>
      </w:r>
      <w:r w:rsidRPr="00BD78D0">
        <w:rPr>
          <w:rFonts w:asciiTheme="majorBidi" w:hAnsiTheme="majorBidi" w:cstheme="majorBidi"/>
          <w:b/>
          <w:bCs/>
          <w:sz w:val="24"/>
          <w:szCs w:val="24"/>
          <w:shd w:val="clear" w:color="auto" w:fill="FFFFFF"/>
          <w:lang w:val="en-US"/>
        </w:rPr>
        <w:t xml:space="preserve">R. K. Singh et P. B. Sharma </w:t>
      </w:r>
      <w:r w:rsidRPr="00BD78D0">
        <w:rPr>
          <w:rFonts w:asciiTheme="majorBidi" w:hAnsiTheme="majorBidi" w:cstheme="majorBidi"/>
          <w:sz w:val="24"/>
          <w:szCs w:val="24"/>
          <w:shd w:val="clear" w:color="auto" w:fill="FFFFFF"/>
          <w:lang w:val="en-US"/>
        </w:rPr>
        <w:t>(Eds.), Genetic resources, chromosome engineering, and crop improvement: Legume crops and forages (Vol. 5, pp. 809–810). CRC Press.</w:t>
      </w:r>
    </w:p>
    <w:p w14:paraId="186D08CD" w14:textId="77777777" w:rsidR="00BD78D0" w:rsidRPr="00BD78D0" w:rsidRDefault="00BD78D0" w:rsidP="003E5817">
      <w:pPr>
        <w:pStyle w:val="Paragraphedeliste"/>
        <w:numPr>
          <w:ilvl w:val="0"/>
          <w:numId w:val="11"/>
        </w:numPr>
        <w:tabs>
          <w:tab w:val="left" w:pos="6173"/>
        </w:tabs>
        <w:spacing w:after="0" w:line="360" w:lineRule="auto"/>
        <w:ind w:left="284" w:hanging="284"/>
        <w:jc w:val="both"/>
        <w:rPr>
          <w:rFonts w:asciiTheme="majorBidi" w:hAnsiTheme="majorBidi" w:cstheme="majorBidi"/>
          <w:sz w:val="24"/>
          <w:szCs w:val="24"/>
          <w:shd w:val="clear" w:color="auto" w:fill="FFFFFF"/>
          <w:lang w:val="en-US"/>
        </w:rPr>
      </w:pPr>
      <w:r w:rsidRPr="00BD78D0">
        <w:rPr>
          <w:rFonts w:asciiTheme="majorBidi" w:hAnsiTheme="majorBidi" w:cstheme="majorBidi"/>
          <w:b/>
          <w:bCs/>
          <w:sz w:val="24"/>
          <w:szCs w:val="24"/>
          <w:lang w:val="en-US"/>
        </w:rPr>
        <w:t>Hossam Salim.</w:t>
      </w:r>
      <w:r w:rsidRPr="00BD78D0">
        <w:rPr>
          <w:rFonts w:asciiTheme="majorBidi" w:hAnsiTheme="majorBidi" w:cstheme="majorBidi"/>
          <w:sz w:val="24"/>
          <w:szCs w:val="24"/>
          <w:lang w:val="en-US"/>
        </w:rPr>
        <w:t xml:space="preserve"> (2021), Efficacy of fenugreek seeds Extract (Trigonella foenum-graecum) (penicillium Rhizoctonia solani) against sp and Aspergillus Ochraceus in </w:t>
      </w:r>
      <w:proofErr w:type="gramStart"/>
      <w:r w:rsidRPr="00BD78D0">
        <w:rPr>
          <w:rFonts w:asciiTheme="majorBidi" w:hAnsiTheme="majorBidi" w:cstheme="majorBidi"/>
          <w:sz w:val="24"/>
          <w:szCs w:val="24"/>
          <w:lang w:val="en-US"/>
        </w:rPr>
        <w:t>vitro ,</w:t>
      </w:r>
      <w:proofErr w:type="gramEnd"/>
      <w:r w:rsidRPr="00BD78D0">
        <w:rPr>
          <w:rFonts w:asciiTheme="majorBidi" w:hAnsiTheme="majorBidi" w:cstheme="majorBidi"/>
          <w:sz w:val="24"/>
          <w:szCs w:val="24"/>
          <w:lang w:val="en-US"/>
        </w:rPr>
        <w:t xml:space="preserve"> journal of Ecology , 48(15) : 165-168.</w:t>
      </w:r>
    </w:p>
    <w:p w14:paraId="29F76123" w14:textId="77777777" w:rsidR="00BD78D0" w:rsidRPr="00BD78D0" w:rsidRDefault="00BD78D0" w:rsidP="003E5817">
      <w:pPr>
        <w:pStyle w:val="Paragraphedeliste"/>
        <w:numPr>
          <w:ilvl w:val="0"/>
          <w:numId w:val="11"/>
        </w:numPr>
        <w:tabs>
          <w:tab w:val="left" w:pos="6173"/>
        </w:tabs>
        <w:spacing w:after="0" w:line="360" w:lineRule="auto"/>
        <w:ind w:left="284" w:hanging="284"/>
        <w:jc w:val="both"/>
        <w:rPr>
          <w:rFonts w:asciiTheme="majorBidi" w:hAnsiTheme="majorBidi" w:cstheme="majorBidi"/>
          <w:sz w:val="24"/>
          <w:szCs w:val="24"/>
          <w:lang w:bidi="ar-DZ"/>
        </w:rPr>
      </w:pPr>
      <w:r w:rsidRPr="00BD78D0">
        <w:rPr>
          <w:rFonts w:asciiTheme="majorBidi" w:hAnsiTheme="majorBidi" w:cstheme="majorBidi"/>
          <w:b/>
          <w:bCs/>
          <w:sz w:val="24"/>
          <w:szCs w:val="24"/>
          <w:shd w:val="clear" w:color="auto" w:fill="FFFFFF"/>
        </w:rPr>
        <w:t>Huang, D.</w:t>
      </w:r>
      <w:r w:rsidRPr="00BD78D0">
        <w:rPr>
          <w:rFonts w:asciiTheme="majorBidi" w:hAnsiTheme="majorBidi" w:cstheme="majorBidi"/>
          <w:b/>
          <w:bCs/>
          <w:sz w:val="24"/>
          <w:szCs w:val="24"/>
          <w:shd w:val="clear" w:color="auto" w:fill="FFFFFF"/>
        </w:rPr>
        <w:noBreakHyphen/>
        <w:t>J., Lin, C.</w:t>
      </w:r>
      <w:r w:rsidRPr="00BD78D0">
        <w:rPr>
          <w:rFonts w:asciiTheme="majorBidi" w:hAnsiTheme="majorBidi" w:cstheme="majorBidi"/>
          <w:b/>
          <w:bCs/>
          <w:sz w:val="24"/>
          <w:szCs w:val="24"/>
          <w:shd w:val="clear" w:color="auto" w:fill="FFFFFF"/>
        </w:rPr>
        <w:noBreakHyphen/>
        <w:t>D., Chen, H.</w:t>
      </w:r>
      <w:r w:rsidRPr="00BD78D0">
        <w:rPr>
          <w:rFonts w:asciiTheme="majorBidi" w:hAnsiTheme="majorBidi" w:cstheme="majorBidi"/>
          <w:b/>
          <w:bCs/>
          <w:sz w:val="24"/>
          <w:szCs w:val="24"/>
          <w:shd w:val="clear" w:color="auto" w:fill="FFFFFF"/>
        </w:rPr>
        <w:noBreakHyphen/>
        <w:t>J., et Lin, Y.</w:t>
      </w:r>
      <w:r w:rsidRPr="00BD78D0">
        <w:rPr>
          <w:rFonts w:asciiTheme="majorBidi" w:hAnsiTheme="majorBidi" w:cstheme="majorBidi"/>
          <w:b/>
          <w:bCs/>
          <w:sz w:val="24"/>
          <w:szCs w:val="24"/>
          <w:shd w:val="clear" w:color="auto" w:fill="FFFFFF"/>
        </w:rPr>
        <w:noBreakHyphen/>
        <w:t xml:space="preserve">H. </w:t>
      </w:r>
      <w:r w:rsidRPr="00BD78D0">
        <w:rPr>
          <w:rFonts w:asciiTheme="majorBidi" w:hAnsiTheme="majorBidi" w:cstheme="majorBidi"/>
          <w:sz w:val="24"/>
          <w:szCs w:val="24"/>
          <w:shd w:val="clear" w:color="auto" w:fill="FFFFFF"/>
        </w:rPr>
        <w:t xml:space="preserve">(2004). </w:t>
      </w:r>
      <w:r w:rsidRPr="00BD78D0">
        <w:rPr>
          <w:rFonts w:asciiTheme="majorBidi" w:hAnsiTheme="majorBidi" w:cstheme="majorBidi"/>
          <w:sz w:val="24"/>
          <w:szCs w:val="24"/>
          <w:shd w:val="clear" w:color="auto" w:fill="FFFFFF"/>
          <w:lang w:val="en-US"/>
        </w:rPr>
        <w:t>Antioxidant and antiproliferative activities of sweet potato (Ipomoea batatas [L.] Lam ‘Tainong 57’) constituents. Botanical Bulletin of Academia Sinica, 45(3), 179–186.</w:t>
      </w:r>
    </w:p>
    <w:p w14:paraId="12564C31" w14:textId="77777777" w:rsidR="00BD78D0" w:rsidRPr="00BD78D0" w:rsidRDefault="00BD78D0" w:rsidP="003E5817">
      <w:pPr>
        <w:pStyle w:val="Paragraphedeliste"/>
        <w:numPr>
          <w:ilvl w:val="0"/>
          <w:numId w:val="11"/>
        </w:numPr>
        <w:tabs>
          <w:tab w:val="left" w:pos="6173"/>
        </w:tabs>
        <w:spacing w:after="0" w:line="360" w:lineRule="auto"/>
        <w:ind w:left="284" w:hanging="284"/>
        <w:jc w:val="both"/>
        <w:rPr>
          <w:rFonts w:asciiTheme="majorBidi" w:hAnsiTheme="majorBidi" w:cstheme="majorBidi"/>
          <w:sz w:val="24"/>
          <w:szCs w:val="24"/>
          <w:shd w:val="clear" w:color="auto" w:fill="FFFFFF"/>
          <w:lang w:val="en-GB"/>
        </w:rPr>
      </w:pPr>
      <w:r w:rsidRPr="00BD78D0">
        <w:rPr>
          <w:rFonts w:asciiTheme="majorBidi" w:hAnsiTheme="majorBidi" w:cstheme="majorBidi"/>
          <w:b/>
          <w:bCs/>
          <w:sz w:val="24"/>
          <w:szCs w:val="24"/>
          <w:shd w:val="clear" w:color="auto" w:fill="FFFFFF"/>
        </w:rPr>
        <w:t>Jhajhria, A., et Kumar, K.</w:t>
      </w:r>
      <w:r w:rsidRPr="00BD78D0">
        <w:rPr>
          <w:rFonts w:asciiTheme="majorBidi" w:hAnsiTheme="majorBidi" w:cstheme="majorBidi"/>
          <w:sz w:val="24"/>
          <w:szCs w:val="24"/>
          <w:shd w:val="clear" w:color="auto" w:fill="FFFFFF"/>
        </w:rPr>
        <w:t xml:space="preserve"> (2016). </w:t>
      </w:r>
      <w:r w:rsidRPr="00BD78D0">
        <w:rPr>
          <w:rFonts w:asciiTheme="majorBidi" w:hAnsiTheme="majorBidi" w:cstheme="majorBidi"/>
          <w:sz w:val="24"/>
          <w:szCs w:val="24"/>
          <w:shd w:val="clear" w:color="auto" w:fill="FFFFFF"/>
          <w:lang w:val="en-GB"/>
        </w:rPr>
        <w:t xml:space="preserve">Phytochemical and pharmacological evaluation of Trigonella foenum-graecum (Fenugreek) seeds. International Journal of Pharmaceutical Sciences Review and Research, 41(1), 194–201. </w:t>
      </w:r>
      <w:hyperlink r:id="rId91" w:history="1">
        <w:r w:rsidRPr="00BD78D0">
          <w:rPr>
            <w:rStyle w:val="Lienhypertexte"/>
            <w:rFonts w:asciiTheme="majorBidi" w:hAnsiTheme="majorBidi" w:cstheme="majorBidi"/>
            <w:sz w:val="24"/>
            <w:szCs w:val="24"/>
            <w:shd w:val="clear" w:color="auto" w:fill="FFFFFF"/>
            <w:lang w:val="en-GB"/>
          </w:rPr>
          <w:t>www.globalresearchonline.net</w:t>
        </w:r>
      </w:hyperlink>
    </w:p>
    <w:p w14:paraId="13B5AA6D" w14:textId="77777777" w:rsidR="00BD78D0" w:rsidRPr="00BD78D0" w:rsidRDefault="00BD78D0" w:rsidP="003E5817">
      <w:pPr>
        <w:pStyle w:val="Paragraphedeliste"/>
        <w:numPr>
          <w:ilvl w:val="0"/>
          <w:numId w:val="11"/>
        </w:numPr>
        <w:tabs>
          <w:tab w:val="left" w:pos="6173"/>
        </w:tabs>
        <w:spacing w:after="0" w:line="360" w:lineRule="auto"/>
        <w:ind w:left="284" w:hanging="284"/>
        <w:jc w:val="both"/>
        <w:rPr>
          <w:rFonts w:asciiTheme="majorBidi" w:hAnsiTheme="majorBidi" w:cstheme="majorBidi"/>
          <w:sz w:val="24"/>
          <w:szCs w:val="24"/>
          <w:shd w:val="clear" w:color="auto" w:fill="FFFFFF"/>
          <w:lang w:val="en-US"/>
        </w:rPr>
      </w:pPr>
      <w:r w:rsidRPr="00BD78D0">
        <w:rPr>
          <w:rFonts w:asciiTheme="majorBidi" w:hAnsiTheme="majorBidi" w:cstheme="majorBidi"/>
          <w:b/>
          <w:bCs/>
          <w:sz w:val="24"/>
          <w:szCs w:val="24"/>
          <w:shd w:val="clear" w:color="auto" w:fill="FFFFFF"/>
          <w:lang w:val="en-GB"/>
        </w:rPr>
        <w:t>Jikah, A. N., et Christopher, G. O.</w:t>
      </w:r>
      <w:r w:rsidRPr="00BD78D0">
        <w:rPr>
          <w:rFonts w:asciiTheme="majorBidi" w:hAnsiTheme="majorBidi" w:cstheme="majorBidi"/>
          <w:sz w:val="24"/>
          <w:szCs w:val="24"/>
          <w:shd w:val="clear" w:color="auto" w:fill="FFFFFF"/>
          <w:lang w:val="en-GB"/>
        </w:rPr>
        <w:t xml:space="preserve"> (2024). The bioactive constituents and biological properties of Trigonella Foenum-Graecum (Fenugreek): A comprehensive review. International Journal of Science and Research Archive, 13(1), 2140–2149. </w:t>
      </w:r>
      <w:hyperlink r:id="rId92" w:history="1">
        <w:r w:rsidRPr="00BD78D0">
          <w:rPr>
            <w:rStyle w:val="Lienhypertexte"/>
            <w:rFonts w:asciiTheme="majorBidi" w:hAnsiTheme="majorBidi" w:cstheme="majorBidi"/>
            <w:sz w:val="24"/>
            <w:szCs w:val="24"/>
            <w:shd w:val="clear" w:color="auto" w:fill="FFFFFF"/>
            <w:lang w:val="en-GB"/>
          </w:rPr>
          <w:t>https://doi.org/10.30574/ijsra.2024.13.1.1679</w:t>
        </w:r>
      </w:hyperlink>
    </w:p>
    <w:p w14:paraId="3B57DB09" w14:textId="77777777" w:rsidR="00BD78D0" w:rsidRPr="00BD78D0" w:rsidRDefault="00BD78D0" w:rsidP="003E5817">
      <w:pPr>
        <w:pStyle w:val="Paragraphedeliste"/>
        <w:numPr>
          <w:ilvl w:val="0"/>
          <w:numId w:val="11"/>
        </w:numPr>
        <w:tabs>
          <w:tab w:val="left" w:pos="6173"/>
        </w:tabs>
        <w:spacing w:after="0" w:line="360" w:lineRule="auto"/>
        <w:ind w:left="284" w:hanging="284"/>
        <w:jc w:val="both"/>
        <w:rPr>
          <w:rFonts w:asciiTheme="majorBidi" w:hAnsiTheme="majorBidi" w:cstheme="majorBidi"/>
          <w:sz w:val="24"/>
          <w:szCs w:val="24"/>
          <w:shd w:val="clear" w:color="auto" w:fill="FFFFFF"/>
          <w:lang w:val="en-US"/>
        </w:rPr>
      </w:pPr>
      <w:r w:rsidRPr="00BD78D0">
        <w:rPr>
          <w:rFonts w:asciiTheme="majorBidi" w:hAnsiTheme="majorBidi" w:cstheme="majorBidi"/>
          <w:b/>
          <w:bCs/>
          <w:sz w:val="24"/>
          <w:szCs w:val="24"/>
          <w:shd w:val="clear" w:color="auto" w:fill="FFFFFF"/>
          <w:lang w:val="en-US"/>
        </w:rPr>
        <w:t>Jogaiah, S. et Abdelrahman, M.</w:t>
      </w:r>
      <w:r w:rsidRPr="00BD78D0">
        <w:rPr>
          <w:rFonts w:asciiTheme="majorBidi" w:hAnsiTheme="majorBidi" w:cstheme="majorBidi"/>
          <w:sz w:val="24"/>
          <w:szCs w:val="24"/>
          <w:shd w:val="clear" w:color="auto" w:fill="FFFFFF"/>
          <w:lang w:val="en-US"/>
        </w:rPr>
        <w:t xml:space="preserve"> (Eds.). (2019). Alkaloid role in plant defense response to growth and stress. In Bioactive molecules in plant defense: Signaling in growth and stress (pp. 145–158). Springer. </w:t>
      </w:r>
      <w:hyperlink r:id="rId93" w:history="1">
        <w:r w:rsidRPr="00BD78D0">
          <w:rPr>
            <w:rStyle w:val="Lienhypertexte"/>
            <w:rFonts w:asciiTheme="majorBidi" w:hAnsiTheme="majorBidi" w:cstheme="majorBidi"/>
            <w:sz w:val="24"/>
            <w:szCs w:val="24"/>
            <w:shd w:val="clear" w:color="auto" w:fill="FFFFFF"/>
            <w:lang w:val="en-US"/>
          </w:rPr>
          <w:t>https://doi.org/10.1007/978-3-030-27165-7</w:t>
        </w:r>
      </w:hyperlink>
    </w:p>
    <w:p w14:paraId="347AAE07" w14:textId="77777777" w:rsidR="00BD78D0" w:rsidRPr="00BD78D0" w:rsidRDefault="00BD78D0" w:rsidP="003E5817">
      <w:pPr>
        <w:pStyle w:val="Paragraphedeliste"/>
        <w:numPr>
          <w:ilvl w:val="0"/>
          <w:numId w:val="11"/>
        </w:numPr>
        <w:tabs>
          <w:tab w:val="left" w:pos="6173"/>
        </w:tabs>
        <w:spacing w:after="0" w:line="360" w:lineRule="auto"/>
        <w:ind w:left="284" w:hanging="284"/>
        <w:jc w:val="both"/>
        <w:rPr>
          <w:rFonts w:asciiTheme="majorBidi" w:hAnsiTheme="majorBidi" w:cstheme="majorBidi"/>
          <w:sz w:val="24"/>
          <w:szCs w:val="24"/>
          <w:shd w:val="clear" w:color="auto" w:fill="FFFFFF"/>
          <w:lang w:val="en-GB"/>
        </w:rPr>
      </w:pPr>
      <w:r w:rsidRPr="00BD78D0">
        <w:rPr>
          <w:rFonts w:asciiTheme="majorBidi" w:hAnsiTheme="majorBidi" w:cstheme="majorBidi"/>
          <w:b/>
          <w:bCs/>
          <w:sz w:val="24"/>
          <w:szCs w:val="24"/>
          <w:shd w:val="clear" w:color="auto" w:fill="FFFFFF"/>
          <w:lang w:val="en-US"/>
        </w:rPr>
        <w:t>Julkunen</w:t>
      </w:r>
      <w:r w:rsidRPr="00BD78D0">
        <w:rPr>
          <w:rFonts w:asciiTheme="majorBidi" w:hAnsiTheme="majorBidi" w:cstheme="majorBidi"/>
          <w:b/>
          <w:bCs/>
          <w:sz w:val="24"/>
          <w:szCs w:val="24"/>
          <w:shd w:val="clear" w:color="auto" w:fill="FFFFFF"/>
          <w:lang w:val="en-US"/>
        </w:rPr>
        <w:noBreakHyphen/>
        <w:t>Tiitto, R. (1985).</w:t>
      </w:r>
      <w:r w:rsidRPr="00BD78D0">
        <w:rPr>
          <w:rFonts w:asciiTheme="majorBidi" w:hAnsiTheme="majorBidi" w:cstheme="majorBidi"/>
          <w:sz w:val="24"/>
          <w:szCs w:val="24"/>
          <w:shd w:val="clear" w:color="auto" w:fill="FFFFFF"/>
          <w:lang w:val="en-US"/>
        </w:rPr>
        <w:t> Phenolic constituents in the leaves of northern willows: methods for the analysis of certain phenolics. Journal of Agricultural and Food Chemistry, 33(2), 213–217. Doi :10.1021/jf00062a013</w:t>
      </w:r>
    </w:p>
    <w:p w14:paraId="61732080" w14:textId="77777777" w:rsidR="00BD78D0" w:rsidRPr="00320AF4" w:rsidRDefault="00BD78D0" w:rsidP="003E5817">
      <w:pPr>
        <w:pStyle w:val="Paragraphedeliste"/>
        <w:numPr>
          <w:ilvl w:val="0"/>
          <w:numId w:val="11"/>
        </w:numPr>
        <w:tabs>
          <w:tab w:val="left" w:pos="6173"/>
        </w:tabs>
        <w:spacing w:after="0" w:line="360" w:lineRule="auto"/>
        <w:ind w:left="284" w:hanging="284"/>
        <w:jc w:val="both"/>
        <w:rPr>
          <w:rFonts w:asciiTheme="majorBidi" w:hAnsiTheme="majorBidi" w:cstheme="majorBidi"/>
          <w:sz w:val="24"/>
          <w:szCs w:val="24"/>
          <w:shd w:val="clear" w:color="auto" w:fill="FFFFFF"/>
          <w:lang w:val="en-US"/>
        </w:rPr>
      </w:pPr>
      <w:r w:rsidRPr="00BD78D0">
        <w:rPr>
          <w:rFonts w:asciiTheme="majorBidi" w:hAnsiTheme="majorBidi" w:cstheme="majorBidi"/>
          <w:b/>
          <w:bCs/>
          <w:sz w:val="24"/>
          <w:szCs w:val="24"/>
          <w:shd w:val="clear" w:color="auto" w:fill="FFFFFF"/>
        </w:rPr>
        <w:t>Khan, A. I., Gupta, S., et Gautam, G</w:t>
      </w:r>
      <w:r w:rsidRPr="00BD78D0">
        <w:rPr>
          <w:rFonts w:asciiTheme="majorBidi" w:hAnsiTheme="majorBidi" w:cstheme="majorBidi"/>
          <w:sz w:val="24"/>
          <w:szCs w:val="24"/>
          <w:shd w:val="clear" w:color="auto" w:fill="FFFFFF"/>
        </w:rPr>
        <w:t xml:space="preserve">. (2019). </w:t>
      </w:r>
      <w:r w:rsidRPr="00BD78D0">
        <w:rPr>
          <w:rFonts w:asciiTheme="majorBidi" w:hAnsiTheme="majorBidi" w:cstheme="majorBidi"/>
          <w:sz w:val="24"/>
          <w:szCs w:val="24"/>
          <w:shd w:val="clear" w:color="auto" w:fill="FFFFFF"/>
          <w:lang w:val="en-GB"/>
        </w:rPr>
        <w:t xml:space="preserve">Physicochemical and Phytochemical Screening of Fenugreek (Trigonella foenum-graecum) Indian Medicinal Plant. Journal of Emerging Technologies and Innovative Research (JETIR), 6(6), 292–297. </w:t>
      </w:r>
      <w:hyperlink r:id="rId94" w:history="1">
        <w:r w:rsidRPr="00BD78D0">
          <w:rPr>
            <w:rStyle w:val="Lienhypertexte"/>
            <w:rFonts w:asciiTheme="majorBidi" w:hAnsiTheme="majorBidi" w:cstheme="majorBidi"/>
            <w:sz w:val="24"/>
            <w:szCs w:val="24"/>
            <w:shd w:val="clear" w:color="auto" w:fill="FFFFFF"/>
            <w:lang w:val="en-GB"/>
          </w:rPr>
          <w:t>https://www.jetir.org/view?paper=JETIR1908B40</w:t>
        </w:r>
      </w:hyperlink>
    </w:p>
    <w:p w14:paraId="18B2C62A" w14:textId="77777777" w:rsidR="00BD78D0" w:rsidRPr="00BD78D0" w:rsidRDefault="00BD78D0" w:rsidP="003E5817">
      <w:pPr>
        <w:pStyle w:val="Paragraphedeliste"/>
        <w:numPr>
          <w:ilvl w:val="0"/>
          <w:numId w:val="11"/>
        </w:numPr>
        <w:tabs>
          <w:tab w:val="left" w:pos="6173"/>
        </w:tabs>
        <w:spacing w:after="0" w:line="360" w:lineRule="auto"/>
        <w:ind w:left="284" w:hanging="284"/>
        <w:jc w:val="both"/>
        <w:rPr>
          <w:rFonts w:asciiTheme="majorBidi" w:hAnsiTheme="majorBidi" w:cstheme="majorBidi"/>
          <w:sz w:val="24"/>
          <w:szCs w:val="24"/>
          <w:shd w:val="clear" w:color="auto" w:fill="FFFFFF"/>
          <w:lang w:val="en-US"/>
        </w:rPr>
      </w:pPr>
      <w:r w:rsidRPr="00BD78D0">
        <w:rPr>
          <w:rFonts w:asciiTheme="majorBidi" w:hAnsiTheme="majorBidi" w:cstheme="majorBidi"/>
          <w:b/>
          <w:bCs/>
          <w:sz w:val="24"/>
          <w:szCs w:val="24"/>
          <w:shd w:val="clear" w:color="auto" w:fill="FFFFFF"/>
          <w:lang w:val="en-GB"/>
        </w:rPr>
        <w:lastRenderedPageBreak/>
        <w:t>Khorshidian, N., Yousefi Asli, M., Arab, M., Mortazavian, A. M., et Adeli Mirzaie, A</w:t>
      </w:r>
      <w:r w:rsidRPr="00BD78D0">
        <w:rPr>
          <w:rFonts w:asciiTheme="majorBidi" w:hAnsiTheme="majorBidi" w:cstheme="majorBidi"/>
          <w:sz w:val="24"/>
          <w:szCs w:val="24"/>
          <w:shd w:val="clear" w:color="auto" w:fill="FFFFFF"/>
          <w:lang w:val="en-GB"/>
        </w:rPr>
        <w:t xml:space="preserve">. (2016). Fenugreek: Potential Applications as a Functional Food and Nutraceutical. Nutrition and Food Sciences Research, 3(1), 5–16. </w:t>
      </w:r>
      <w:hyperlink r:id="rId95" w:history="1">
        <w:r w:rsidRPr="00BD78D0">
          <w:rPr>
            <w:rStyle w:val="Lienhypertexte"/>
            <w:rFonts w:asciiTheme="majorBidi" w:hAnsiTheme="majorBidi" w:cstheme="majorBidi"/>
            <w:sz w:val="24"/>
            <w:szCs w:val="24"/>
            <w:shd w:val="clear" w:color="auto" w:fill="FFFFFF"/>
          </w:rPr>
          <w:t>https://doi.org/10.18869/acadpub.nfsr.3.1.5</w:t>
        </w:r>
      </w:hyperlink>
    </w:p>
    <w:p w14:paraId="1D68EFCF" w14:textId="77777777" w:rsidR="00BD78D0" w:rsidRPr="00BD78D0" w:rsidRDefault="00BD78D0" w:rsidP="003E5817">
      <w:pPr>
        <w:pStyle w:val="Paragraphedeliste"/>
        <w:numPr>
          <w:ilvl w:val="0"/>
          <w:numId w:val="11"/>
        </w:numPr>
        <w:tabs>
          <w:tab w:val="left" w:pos="6173"/>
        </w:tabs>
        <w:spacing w:after="0" w:line="360" w:lineRule="auto"/>
        <w:ind w:left="284" w:hanging="284"/>
        <w:jc w:val="both"/>
        <w:rPr>
          <w:rFonts w:asciiTheme="majorBidi" w:hAnsiTheme="majorBidi" w:cstheme="majorBidi"/>
          <w:sz w:val="24"/>
          <w:szCs w:val="24"/>
          <w:shd w:val="clear" w:color="auto" w:fill="FFFFFF"/>
          <w:lang w:val="en-GB"/>
        </w:rPr>
      </w:pPr>
      <w:r w:rsidRPr="00BD78D0">
        <w:rPr>
          <w:rFonts w:asciiTheme="majorBidi" w:hAnsiTheme="majorBidi" w:cstheme="majorBidi"/>
          <w:b/>
          <w:bCs/>
          <w:sz w:val="24"/>
          <w:szCs w:val="24"/>
          <w:shd w:val="clear" w:color="auto" w:fill="FFFFFF"/>
        </w:rPr>
        <w:t xml:space="preserve">Khoudali, K., Olmi, A., Bari, A. et al. </w:t>
      </w:r>
      <w:r w:rsidRPr="00BD78D0">
        <w:rPr>
          <w:rFonts w:asciiTheme="majorBidi" w:hAnsiTheme="majorBidi" w:cstheme="majorBidi"/>
          <w:sz w:val="24"/>
          <w:szCs w:val="24"/>
          <w:shd w:val="clear" w:color="auto" w:fill="FFFFFF"/>
          <w:lang w:val="en-US"/>
        </w:rPr>
        <w:t>(2014). Compositional analysis and in vivo anti</w:t>
      </w:r>
      <w:r w:rsidRPr="00BD78D0">
        <w:rPr>
          <w:rFonts w:asciiTheme="majorBidi" w:hAnsiTheme="majorBidi" w:cstheme="majorBidi"/>
          <w:sz w:val="24"/>
          <w:szCs w:val="24"/>
          <w:shd w:val="clear" w:color="auto" w:fill="FFFFFF"/>
          <w:lang w:val="en-US"/>
        </w:rPr>
        <w:noBreakHyphen/>
        <w:t>diabetic activity of wild Algerian Marrubium vulgare L. infusion. Journal of Ethnopharmacology, 154, 833</w:t>
      </w:r>
      <w:r w:rsidRPr="00BD78D0">
        <w:rPr>
          <w:rFonts w:asciiTheme="majorBidi" w:hAnsiTheme="majorBidi" w:cstheme="majorBidi"/>
          <w:sz w:val="24"/>
          <w:szCs w:val="24"/>
          <w:shd w:val="clear" w:color="auto" w:fill="FFFFFF"/>
          <w:lang w:val="en-US"/>
        </w:rPr>
        <w:noBreakHyphen/>
        <w:t>840.</w:t>
      </w:r>
    </w:p>
    <w:p w14:paraId="5DC494AA" w14:textId="77777777" w:rsidR="00BD78D0" w:rsidRPr="00BD78D0" w:rsidRDefault="00BD78D0" w:rsidP="003E5817">
      <w:pPr>
        <w:pStyle w:val="Paragraphedeliste"/>
        <w:numPr>
          <w:ilvl w:val="0"/>
          <w:numId w:val="11"/>
        </w:numPr>
        <w:tabs>
          <w:tab w:val="left" w:pos="6173"/>
        </w:tabs>
        <w:spacing w:after="0" w:line="360" w:lineRule="auto"/>
        <w:ind w:left="142" w:hanging="284"/>
        <w:jc w:val="both"/>
        <w:rPr>
          <w:rFonts w:asciiTheme="majorBidi" w:hAnsiTheme="majorBidi" w:cstheme="majorBidi"/>
          <w:sz w:val="24"/>
          <w:szCs w:val="24"/>
          <w:shd w:val="clear" w:color="auto" w:fill="FFFFFF"/>
          <w:lang w:val="en-GB" w:bidi="ar-DZ"/>
        </w:rPr>
      </w:pPr>
      <w:r w:rsidRPr="00BD78D0">
        <w:rPr>
          <w:rFonts w:asciiTheme="majorBidi" w:hAnsiTheme="majorBidi" w:cstheme="majorBidi"/>
          <w:b/>
          <w:bCs/>
          <w:sz w:val="24"/>
          <w:szCs w:val="24"/>
          <w:lang w:val="en-US" w:bidi="ar-DZ"/>
        </w:rPr>
        <w:t>Kilambi P, et Shah,</w:t>
      </w:r>
      <w:r w:rsidRPr="00BD78D0">
        <w:rPr>
          <w:rFonts w:asciiTheme="majorBidi" w:hAnsiTheme="majorBidi" w:cstheme="majorBidi"/>
          <w:sz w:val="24"/>
          <w:szCs w:val="24"/>
          <w:lang w:val="en-US" w:bidi="ar-DZ"/>
        </w:rPr>
        <w:t xml:space="preserve"> </w:t>
      </w:r>
      <w:r w:rsidRPr="00BD78D0">
        <w:rPr>
          <w:rFonts w:asciiTheme="majorBidi" w:hAnsiTheme="majorBidi" w:cstheme="majorBidi"/>
          <w:b/>
          <w:bCs/>
          <w:sz w:val="24"/>
          <w:szCs w:val="24"/>
          <w:lang w:val="en-US" w:bidi="ar-DZ"/>
        </w:rPr>
        <w:t xml:space="preserve">P. A, </w:t>
      </w:r>
      <w:r w:rsidRPr="00BD78D0">
        <w:rPr>
          <w:rFonts w:asciiTheme="majorBidi" w:hAnsiTheme="majorBidi" w:cstheme="majorBidi"/>
          <w:sz w:val="24"/>
          <w:szCs w:val="24"/>
          <w:lang w:val="en-US" w:bidi="ar-DZ"/>
        </w:rPr>
        <w:t>2021, &lt;&lt;</w:t>
      </w:r>
      <w:r w:rsidRPr="00BD78D0">
        <w:rPr>
          <w:lang w:val="en-US"/>
        </w:rPr>
        <w:t xml:space="preserve"> </w:t>
      </w:r>
      <w:r w:rsidRPr="00BD78D0">
        <w:rPr>
          <w:rFonts w:asciiTheme="majorBidi" w:hAnsiTheme="majorBidi" w:cstheme="majorBidi"/>
          <w:sz w:val="24"/>
          <w:szCs w:val="24"/>
          <w:lang w:val="en-US"/>
        </w:rPr>
        <w:t>Fenugreek: A Wonder Spice with Versatile Pharmacological Activities and Clinical Applications</w:t>
      </w:r>
      <w:r w:rsidRPr="00BD78D0">
        <w:rPr>
          <w:rFonts w:asciiTheme="majorBidi" w:hAnsiTheme="majorBidi" w:cstheme="majorBidi"/>
          <w:sz w:val="24"/>
          <w:szCs w:val="24"/>
          <w:lang w:val="en-US" w:bidi="ar-DZ"/>
        </w:rPr>
        <w:t>&gt;&gt;.In</w:t>
      </w:r>
      <w:r w:rsidRPr="00BD78D0">
        <w:rPr>
          <w:rFonts w:asciiTheme="majorBidi" w:hAnsiTheme="majorBidi" w:cstheme="majorBidi"/>
          <w:b/>
          <w:bCs/>
          <w:sz w:val="24"/>
          <w:szCs w:val="24"/>
          <w:lang w:val="en-US" w:bidi="ar-DZ"/>
        </w:rPr>
        <w:t xml:space="preserve">: Naeem., M, Tariq Aftab., Masroor M, &amp; A, Khan </w:t>
      </w:r>
      <w:r w:rsidRPr="00BD78D0">
        <w:rPr>
          <w:rFonts w:asciiTheme="majorBidi" w:hAnsiTheme="majorBidi" w:cstheme="majorBidi"/>
          <w:sz w:val="24"/>
          <w:szCs w:val="24"/>
          <w:lang w:val="en-US" w:bidi="ar-DZ"/>
        </w:rPr>
        <w:t>(Eds). Fenugreek: Biology and Applications (pp 395- 445). Springer.</w:t>
      </w:r>
      <w:r w:rsidRPr="00BD78D0">
        <w:rPr>
          <w:lang w:val="en-US"/>
        </w:rPr>
        <w:t xml:space="preserve"> </w:t>
      </w:r>
      <w:hyperlink r:id="rId96" w:history="1">
        <w:r w:rsidRPr="00BD78D0">
          <w:rPr>
            <w:rStyle w:val="Lienhypertexte"/>
            <w:rFonts w:asciiTheme="majorBidi" w:hAnsiTheme="majorBidi" w:cstheme="majorBidi"/>
            <w:sz w:val="24"/>
            <w:szCs w:val="24"/>
            <w:lang w:val="en-US"/>
          </w:rPr>
          <w:t>https://doi.org/10.1007/978-981-16-1197-1_18</w:t>
        </w:r>
      </w:hyperlink>
    </w:p>
    <w:p w14:paraId="59882E00" w14:textId="77777777" w:rsidR="00BD78D0" w:rsidRPr="00BD78D0" w:rsidRDefault="00BD78D0" w:rsidP="003E5817">
      <w:pPr>
        <w:pStyle w:val="Paragraphedeliste"/>
        <w:numPr>
          <w:ilvl w:val="0"/>
          <w:numId w:val="11"/>
        </w:numPr>
        <w:tabs>
          <w:tab w:val="left" w:pos="6173"/>
        </w:tabs>
        <w:spacing w:after="0" w:line="360" w:lineRule="auto"/>
        <w:ind w:left="284" w:hanging="284"/>
        <w:jc w:val="both"/>
        <w:rPr>
          <w:rFonts w:asciiTheme="majorBidi" w:hAnsiTheme="majorBidi" w:cstheme="majorBidi"/>
          <w:sz w:val="24"/>
          <w:szCs w:val="24"/>
          <w:shd w:val="clear" w:color="auto" w:fill="FFFFFF"/>
          <w:lang w:val="en-GB"/>
        </w:rPr>
      </w:pPr>
      <w:r w:rsidRPr="00BD78D0">
        <w:rPr>
          <w:rFonts w:asciiTheme="majorBidi" w:hAnsiTheme="majorBidi" w:cstheme="majorBidi"/>
          <w:b/>
          <w:bCs/>
          <w:sz w:val="24"/>
          <w:szCs w:val="24"/>
          <w:shd w:val="clear" w:color="auto" w:fill="FFFFFF"/>
        </w:rPr>
        <w:t>Kumar, N., Kumar, M., Verma, M.K., Rama Narayanan, S., Ranjan, A. et Ranjan, R</w:t>
      </w:r>
      <w:r w:rsidRPr="00BD78D0">
        <w:rPr>
          <w:rFonts w:asciiTheme="majorBidi" w:hAnsiTheme="majorBidi" w:cstheme="majorBidi"/>
          <w:sz w:val="24"/>
          <w:szCs w:val="24"/>
          <w:shd w:val="clear" w:color="auto" w:fill="FFFFFF"/>
        </w:rPr>
        <w:t xml:space="preserve">. (2021). </w:t>
      </w:r>
      <w:r w:rsidRPr="00BD78D0">
        <w:rPr>
          <w:rFonts w:asciiTheme="majorBidi" w:hAnsiTheme="majorBidi" w:cstheme="majorBidi"/>
          <w:sz w:val="24"/>
          <w:szCs w:val="24"/>
          <w:shd w:val="clear" w:color="auto" w:fill="FFFFFF"/>
          <w:lang w:val="en-GB"/>
        </w:rPr>
        <w:t>«Bioactive effects and safety profiles of fenugreek (Trigonella foenum-graecum L.) for pharmaceutical and medicinal applications», The Pharma Innovation Journal, V.10(SP-12), 912–919.</w:t>
      </w:r>
      <w:hyperlink r:id="rId97" w:history="1">
        <w:r w:rsidRPr="00BD78D0">
          <w:rPr>
            <w:rStyle w:val="Lienhypertexte"/>
            <w:rFonts w:asciiTheme="majorBidi" w:hAnsiTheme="majorBidi" w:cstheme="majorBidi"/>
            <w:sz w:val="24"/>
            <w:szCs w:val="24"/>
            <w:shd w:val="clear" w:color="auto" w:fill="FFFFFF"/>
            <w:lang w:val="en-GB"/>
          </w:rPr>
          <w:t>https://www.researchgate.net/publication/357241330</w:t>
        </w:r>
      </w:hyperlink>
    </w:p>
    <w:p w14:paraId="58599396" w14:textId="77777777" w:rsidR="00BD78D0" w:rsidRPr="00320AF4" w:rsidRDefault="00BD78D0" w:rsidP="003E5817">
      <w:pPr>
        <w:pStyle w:val="Paragraphedeliste"/>
        <w:numPr>
          <w:ilvl w:val="0"/>
          <w:numId w:val="11"/>
        </w:numPr>
        <w:tabs>
          <w:tab w:val="left" w:pos="6173"/>
        </w:tabs>
        <w:spacing w:after="0" w:line="360" w:lineRule="auto"/>
        <w:ind w:left="284" w:hanging="284"/>
        <w:jc w:val="both"/>
        <w:rPr>
          <w:rFonts w:asciiTheme="majorBidi" w:hAnsiTheme="majorBidi" w:cstheme="majorBidi"/>
          <w:sz w:val="24"/>
          <w:szCs w:val="24"/>
          <w:lang w:val="en-US"/>
        </w:rPr>
      </w:pPr>
      <w:r w:rsidRPr="00BD78D0">
        <w:rPr>
          <w:rFonts w:asciiTheme="majorBidi" w:hAnsiTheme="majorBidi" w:cstheme="majorBidi"/>
          <w:b/>
          <w:bCs/>
          <w:sz w:val="24"/>
          <w:szCs w:val="24"/>
          <w:shd w:val="clear" w:color="auto" w:fill="FFFFFF"/>
          <w:lang w:val="en-GB"/>
        </w:rPr>
        <w:t>Kumar, R. (2023)</w:t>
      </w:r>
      <w:r w:rsidRPr="00BD78D0">
        <w:rPr>
          <w:rFonts w:asciiTheme="majorBidi" w:hAnsiTheme="majorBidi" w:cstheme="majorBidi"/>
          <w:sz w:val="24"/>
          <w:szCs w:val="24"/>
          <w:shd w:val="clear" w:color="auto" w:fill="FFFFFF"/>
          <w:lang w:val="en-GB"/>
        </w:rPr>
        <w:t xml:space="preserve">. Investigation of In-Vitro Method of Antiulcer Activity. Journal for Research in Applied Sciences and Biotechnology, 2(1), 264–267. </w:t>
      </w:r>
      <w:hyperlink r:id="rId98" w:history="1">
        <w:r w:rsidRPr="00BD78D0">
          <w:rPr>
            <w:rStyle w:val="Lienhypertexte"/>
            <w:rFonts w:asciiTheme="majorBidi" w:hAnsiTheme="majorBidi" w:cstheme="majorBidi"/>
            <w:sz w:val="24"/>
            <w:szCs w:val="24"/>
            <w:shd w:val="clear" w:color="auto" w:fill="FFFFFF"/>
            <w:lang w:val="en-GB"/>
          </w:rPr>
          <w:t>https://doi.org/10.55544/jrasb.2.1.37</w:t>
        </w:r>
      </w:hyperlink>
    </w:p>
    <w:p w14:paraId="7F7FB64F" w14:textId="77777777" w:rsidR="00BD78D0" w:rsidRPr="00BD78D0" w:rsidRDefault="00BD78D0" w:rsidP="003E5817">
      <w:pPr>
        <w:pStyle w:val="Paragraphedeliste"/>
        <w:numPr>
          <w:ilvl w:val="0"/>
          <w:numId w:val="11"/>
        </w:numPr>
        <w:tabs>
          <w:tab w:val="left" w:pos="6173"/>
        </w:tabs>
        <w:spacing w:after="0" w:line="360" w:lineRule="auto"/>
        <w:ind w:left="284" w:hanging="284"/>
        <w:jc w:val="both"/>
        <w:rPr>
          <w:rFonts w:asciiTheme="majorBidi" w:hAnsiTheme="majorBidi" w:cstheme="majorBidi"/>
          <w:sz w:val="24"/>
          <w:szCs w:val="24"/>
          <w:shd w:val="clear" w:color="auto" w:fill="FFFFFF"/>
        </w:rPr>
      </w:pPr>
      <w:r w:rsidRPr="00BD78D0">
        <w:rPr>
          <w:rFonts w:asciiTheme="majorBidi" w:hAnsiTheme="majorBidi" w:cstheme="majorBidi"/>
          <w:b/>
          <w:bCs/>
          <w:sz w:val="24"/>
          <w:szCs w:val="24"/>
        </w:rPr>
        <w:t>Kumari, O. S., Rao, N. B., et Gajula, R. G</w:t>
      </w:r>
      <w:r w:rsidRPr="00BD78D0">
        <w:rPr>
          <w:rFonts w:asciiTheme="majorBidi" w:hAnsiTheme="majorBidi" w:cstheme="majorBidi"/>
          <w:sz w:val="24"/>
          <w:szCs w:val="24"/>
        </w:rPr>
        <w:t xml:space="preserve">. (2016). </w:t>
      </w:r>
      <w:r w:rsidRPr="00BD78D0">
        <w:rPr>
          <w:rFonts w:asciiTheme="majorBidi" w:hAnsiTheme="majorBidi" w:cstheme="majorBidi"/>
          <w:sz w:val="24"/>
          <w:szCs w:val="24"/>
          <w:lang w:val="en-US"/>
        </w:rPr>
        <w:t xml:space="preserve">Phytochemical analysis and anti-microbial activity of Trigonella foenum-graecum (Methi seeds). </w:t>
      </w:r>
      <w:r w:rsidRPr="00BD78D0">
        <w:rPr>
          <w:rFonts w:asciiTheme="majorBidi" w:hAnsiTheme="majorBidi" w:cstheme="majorBidi"/>
          <w:sz w:val="24"/>
          <w:szCs w:val="24"/>
        </w:rPr>
        <w:t xml:space="preserve">Journal of </w:t>
      </w:r>
      <w:proofErr w:type="spellStart"/>
      <w:r w:rsidRPr="00BD78D0">
        <w:rPr>
          <w:rFonts w:asciiTheme="majorBidi" w:hAnsiTheme="majorBidi" w:cstheme="majorBidi"/>
          <w:sz w:val="24"/>
          <w:szCs w:val="24"/>
        </w:rPr>
        <w:t>Medicinal</w:t>
      </w:r>
      <w:proofErr w:type="spellEnd"/>
      <w:r w:rsidRPr="00BD78D0">
        <w:rPr>
          <w:rFonts w:asciiTheme="majorBidi" w:hAnsiTheme="majorBidi" w:cstheme="majorBidi"/>
          <w:sz w:val="24"/>
          <w:szCs w:val="24"/>
        </w:rPr>
        <w:t xml:space="preserve"> Plants Studies, 4(4), 278–281.</w:t>
      </w:r>
    </w:p>
    <w:p w14:paraId="6181E637" w14:textId="77777777" w:rsidR="00BD78D0" w:rsidRPr="00BD78D0" w:rsidRDefault="00BD78D0" w:rsidP="003E5817">
      <w:pPr>
        <w:pStyle w:val="Paragraphedeliste"/>
        <w:numPr>
          <w:ilvl w:val="0"/>
          <w:numId w:val="11"/>
        </w:numPr>
        <w:tabs>
          <w:tab w:val="left" w:pos="6173"/>
        </w:tabs>
        <w:spacing w:after="0" w:line="360" w:lineRule="auto"/>
        <w:ind w:left="284" w:hanging="284"/>
        <w:jc w:val="both"/>
        <w:rPr>
          <w:rFonts w:asciiTheme="majorBidi" w:hAnsiTheme="majorBidi" w:cstheme="majorBidi"/>
          <w:sz w:val="24"/>
          <w:szCs w:val="24"/>
          <w:lang w:val="en-US"/>
        </w:rPr>
      </w:pPr>
      <w:r w:rsidRPr="00BD78D0">
        <w:rPr>
          <w:rFonts w:asciiTheme="majorBidi" w:hAnsiTheme="majorBidi" w:cstheme="majorBidi"/>
          <w:b/>
          <w:bCs/>
          <w:sz w:val="24"/>
          <w:szCs w:val="24"/>
          <w:shd w:val="clear" w:color="auto" w:fill="FFFFFF"/>
        </w:rPr>
        <w:t>Lamaison, J.</w:t>
      </w:r>
      <w:r w:rsidRPr="00BD78D0">
        <w:rPr>
          <w:rFonts w:asciiTheme="majorBidi" w:hAnsiTheme="majorBidi" w:cstheme="majorBidi"/>
          <w:b/>
          <w:bCs/>
          <w:sz w:val="24"/>
          <w:szCs w:val="24"/>
          <w:shd w:val="clear" w:color="auto" w:fill="FFFFFF"/>
        </w:rPr>
        <w:noBreakHyphen/>
        <w:t>L. C., et Carnat, A. (1990)</w:t>
      </w:r>
      <w:r w:rsidRPr="00BD78D0">
        <w:rPr>
          <w:rFonts w:asciiTheme="majorBidi" w:hAnsiTheme="majorBidi" w:cstheme="majorBidi"/>
          <w:sz w:val="24"/>
          <w:szCs w:val="24"/>
          <w:shd w:val="clear" w:color="auto" w:fill="FFFFFF"/>
        </w:rPr>
        <w:t>. Teneurs en principaux flavonoïdes des fleurs et feuilles de Crataegus monogyna Jacq. Et Crataegus laevigata (Poiret) DC. Pharmaceutica Acta Helvetiae, 65, 315–320.</w:t>
      </w:r>
    </w:p>
    <w:p w14:paraId="4F69AD03" w14:textId="77777777" w:rsidR="00BD78D0" w:rsidRPr="00BD78D0" w:rsidRDefault="00BD78D0" w:rsidP="003E5817">
      <w:pPr>
        <w:pStyle w:val="Paragraphedeliste"/>
        <w:numPr>
          <w:ilvl w:val="0"/>
          <w:numId w:val="11"/>
        </w:numPr>
        <w:tabs>
          <w:tab w:val="left" w:pos="6173"/>
        </w:tabs>
        <w:spacing w:after="0" w:line="360" w:lineRule="auto"/>
        <w:ind w:left="284" w:hanging="284"/>
        <w:jc w:val="both"/>
        <w:rPr>
          <w:rFonts w:asciiTheme="majorBidi" w:hAnsiTheme="majorBidi" w:cstheme="majorBidi"/>
          <w:sz w:val="24"/>
          <w:szCs w:val="24"/>
        </w:rPr>
      </w:pPr>
      <w:r w:rsidRPr="00BD78D0">
        <w:rPr>
          <w:rFonts w:asciiTheme="majorBidi" w:hAnsiTheme="majorBidi" w:cstheme="majorBidi"/>
          <w:b/>
          <w:bCs/>
          <w:sz w:val="24"/>
          <w:szCs w:val="24"/>
          <w:lang w:val="en-US"/>
        </w:rPr>
        <w:t>Leelaprakash, G., et Mohan Dass, S</w:t>
      </w:r>
      <w:r w:rsidRPr="00BD78D0">
        <w:rPr>
          <w:rFonts w:asciiTheme="majorBidi" w:hAnsiTheme="majorBidi" w:cstheme="majorBidi"/>
          <w:sz w:val="24"/>
          <w:szCs w:val="24"/>
          <w:lang w:val="en-US"/>
        </w:rPr>
        <w:t>. (2011). In vitro anti-inflammatory activity of methanol extract of Enicostemma axillare. International Journal of Drug Development and Research, 3(3), 189–196.</w:t>
      </w:r>
    </w:p>
    <w:p w14:paraId="241F2E8C" w14:textId="0DB4765B" w:rsidR="00BD78D0" w:rsidRPr="00BD78D0" w:rsidRDefault="00BD78D0" w:rsidP="003E5817">
      <w:pPr>
        <w:pStyle w:val="Paragraphedeliste"/>
        <w:numPr>
          <w:ilvl w:val="0"/>
          <w:numId w:val="11"/>
        </w:numPr>
        <w:tabs>
          <w:tab w:val="left" w:pos="6173"/>
        </w:tabs>
        <w:spacing w:after="0" w:line="360" w:lineRule="auto"/>
        <w:ind w:left="284" w:hanging="284"/>
        <w:jc w:val="both"/>
        <w:rPr>
          <w:rFonts w:asciiTheme="majorBidi" w:hAnsiTheme="majorBidi" w:cstheme="majorBidi"/>
          <w:sz w:val="24"/>
          <w:szCs w:val="24"/>
          <w:shd w:val="clear" w:color="auto" w:fill="FFFFFF"/>
          <w:lang w:val="en-GB"/>
        </w:rPr>
      </w:pPr>
      <w:r w:rsidRPr="00BD78D0">
        <w:rPr>
          <w:rFonts w:asciiTheme="majorBidi" w:hAnsiTheme="majorBidi" w:cstheme="majorBidi"/>
          <w:b/>
          <w:bCs/>
          <w:sz w:val="24"/>
          <w:szCs w:val="24"/>
          <w:lang w:val="en-US"/>
        </w:rPr>
        <w:t xml:space="preserve">Lohvina, H., Sándor, M., </w:t>
      </w:r>
      <w:r w:rsidR="00A964A9" w:rsidRPr="00BD78D0">
        <w:rPr>
          <w:rFonts w:asciiTheme="majorBidi" w:hAnsiTheme="majorBidi" w:cstheme="majorBidi"/>
          <w:b/>
          <w:bCs/>
          <w:sz w:val="24"/>
          <w:szCs w:val="24"/>
          <w:lang w:val="en-US"/>
        </w:rPr>
        <w:t>et Wink</w:t>
      </w:r>
      <w:r w:rsidRPr="00BD78D0">
        <w:rPr>
          <w:rFonts w:asciiTheme="majorBidi" w:hAnsiTheme="majorBidi" w:cstheme="majorBidi"/>
          <w:b/>
          <w:bCs/>
          <w:sz w:val="24"/>
          <w:szCs w:val="24"/>
          <w:lang w:val="en-US"/>
        </w:rPr>
        <w:t>, M</w:t>
      </w:r>
      <w:r w:rsidRPr="00BD78D0">
        <w:rPr>
          <w:rFonts w:asciiTheme="majorBidi" w:hAnsiTheme="majorBidi" w:cstheme="majorBidi"/>
          <w:sz w:val="24"/>
          <w:szCs w:val="24"/>
          <w:lang w:val="en-US"/>
        </w:rPr>
        <w:t xml:space="preserve">. (2022). Effect of ethanol solvents on total phenolic content and antioxidant properties of seed extracts of fenugreek (Trigonella foenum-graecum L.) varieties and determination of phenolic composition by HPLC-ESI-MS. </w:t>
      </w:r>
      <w:r w:rsidRPr="00BD78D0">
        <w:rPr>
          <w:rFonts w:asciiTheme="majorBidi" w:hAnsiTheme="majorBidi" w:cstheme="majorBidi"/>
          <w:sz w:val="24"/>
          <w:szCs w:val="24"/>
        </w:rPr>
        <w:t xml:space="preserve">Diversity, 14(1), 7. </w:t>
      </w:r>
      <w:hyperlink r:id="rId99" w:history="1">
        <w:r w:rsidRPr="00BD78D0">
          <w:rPr>
            <w:rStyle w:val="Lienhypertexte"/>
            <w:rFonts w:asciiTheme="majorBidi" w:hAnsiTheme="majorBidi" w:cstheme="majorBidi"/>
            <w:sz w:val="24"/>
            <w:szCs w:val="24"/>
          </w:rPr>
          <w:t>https://doi.org/10.3390/d14010007</w:t>
        </w:r>
      </w:hyperlink>
    </w:p>
    <w:p w14:paraId="5B497E42" w14:textId="77777777" w:rsidR="00BD78D0" w:rsidRPr="00BD78D0" w:rsidRDefault="00BD78D0" w:rsidP="003E5817">
      <w:pPr>
        <w:pStyle w:val="Paragraphedeliste"/>
        <w:numPr>
          <w:ilvl w:val="0"/>
          <w:numId w:val="11"/>
        </w:numPr>
        <w:tabs>
          <w:tab w:val="left" w:pos="6173"/>
        </w:tabs>
        <w:spacing w:after="0" w:line="360" w:lineRule="auto"/>
        <w:ind w:left="284" w:hanging="284"/>
        <w:jc w:val="both"/>
        <w:rPr>
          <w:rFonts w:asciiTheme="majorBidi" w:hAnsiTheme="majorBidi" w:cstheme="majorBidi"/>
          <w:sz w:val="24"/>
          <w:szCs w:val="24"/>
          <w:shd w:val="clear" w:color="auto" w:fill="FFFFFF"/>
          <w:lang w:val="en-GB"/>
        </w:rPr>
      </w:pPr>
      <w:r w:rsidRPr="00BD78D0">
        <w:rPr>
          <w:rFonts w:asciiTheme="majorBidi" w:hAnsiTheme="majorBidi" w:cstheme="majorBidi"/>
          <w:b/>
          <w:bCs/>
          <w:sz w:val="24"/>
          <w:szCs w:val="24"/>
          <w:shd w:val="clear" w:color="auto" w:fill="FFFFFF"/>
        </w:rPr>
        <w:t>Macheix. J.-J. A. fleuriet, c. Jay-Allemand</w:t>
      </w:r>
      <w:r w:rsidRPr="00BD78D0">
        <w:rPr>
          <w:rFonts w:asciiTheme="majorBidi" w:hAnsiTheme="majorBidi" w:cstheme="majorBidi"/>
          <w:sz w:val="24"/>
          <w:szCs w:val="24"/>
          <w:shd w:val="clear" w:color="auto" w:fill="FFFFFF"/>
        </w:rPr>
        <w:t xml:space="preserve">. (2005). Les composés phénoliques des végétaux. Un exemple de métabolites secondaires d'importance économique presses </w:t>
      </w:r>
      <w:r w:rsidRPr="00BD78D0">
        <w:rPr>
          <w:rFonts w:asciiTheme="majorBidi" w:hAnsiTheme="majorBidi" w:cstheme="majorBidi"/>
          <w:sz w:val="24"/>
          <w:szCs w:val="24"/>
          <w:shd w:val="clear" w:color="auto" w:fill="FFFFFF"/>
        </w:rPr>
        <w:lastRenderedPageBreak/>
        <w:t>polytech -niques et universitaires romandes. Collection biologique. Lausanne .216p. ISBN : 2-88074-625-6.</w:t>
      </w:r>
    </w:p>
    <w:p w14:paraId="2D7D9C2B" w14:textId="77777777" w:rsidR="00BD78D0" w:rsidRPr="00BD78D0" w:rsidRDefault="00BD78D0" w:rsidP="003E5817">
      <w:pPr>
        <w:pStyle w:val="Paragraphedeliste"/>
        <w:numPr>
          <w:ilvl w:val="0"/>
          <w:numId w:val="11"/>
        </w:numPr>
        <w:tabs>
          <w:tab w:val="left" w:pos="6173"/>
        </w:tabs>
        <w:spacing w:after="0" w:line="360" w:lineRule="auto"/>
        <w:ind w:left="284" w:hanging="284"/>
        <w:jc w:val="both"/>
        <w:rPr>
          <w:rFonts w:asciiTheme="majorBidi" w:hAnsiTheme="majorBidi" w:cstheme="majorBidi"/>
          <w:sz w:val="24"/>
          <w:szCs w:val="24"/>
          <w:shd w:val="clear" w:color="auto" w:fill="FFFFFF"/>
          <w:lang w:val="en-US"/>
        </w:rPr>
      </w:pPr>
      <w:r w:rsidRPr="00BD78D0">
        <w:rPr>
          <w:rFonts w:asciiTheme="majorBidi" w:hAnsiTheme="majorBidi" w:cstheme="majorBidi"/>
          <w:b/>
          <w:bCs/>
          <w:sz w:val="24"/>
          <w:szCs w:val="24"/>
          <w:shd w:val="clear" w:color="auto" w:fill="FFFFFF"/>
        </w:rPr>
        <w:t>Mahmood, M. N., et Yahya, I. K</w:t>
      </w:r>
      <w:r w:rsidRPr="00BD78D0">
        <w:rPr>
          <w:rFonts w:asciiTheme="majorBidi" w:hAnsiTheme="majorBidi" w:cstheme="majorBidi"/>
          <w:sz w:val="24"/>
          <w:szCs w:val="24"/>
          <w:shd w:val="clear" w:color="auto" w:fill="FFFFFF"/>
        </w:rPr>
        <w:t xml:space="preserve">. (2017). </w:t>
      </w:r>
      <w:r w:rsidRPr="00BD78D0">
        <w:rPr>
          <w:rFonts w:asciiTheme="majorBidi" w:hAnsiTheme="majorBidi" w:cstheme="majorBidi"/>
          <w:sz w:val="24"/>
          <w:szCs w:val="24"/>
          <w:shd w:val="clear" w:color="auto" w:fill="FFFFFF"/>
          <w:lang w:val="en-GB"/>
        </w:rPr>
        <w:t xml:space="preserve">Nutrient and phytochemical of fenugreek (Trigonella foenum-graecum) seeds. International Journal of Sciences: Basic and Applied Research (IJSBAR), 36(3), 203–213. Retrieved from </w:t>
      </w:r>
      <w:hyperlink r:id="rId100" w:history="1">
        <w:r w:rsidRPr="00BD78D0">
          <w:rPr>
            <w:rStyle w:val="Lienhypertexte"/>
            <w:rFonts w:asciiTheme="majorBidi" w:hAnsiTheme="majorBidi" w:cstheme="majorBidi"/>
            <w:sz w:val="24"/>
            <w:szCs w:val="24"/>
            <w:shd w:val="clear" w:color="auto" w:fill="FFFFFF"/>
            <w:lang w:val="en-GB"/>
          </w:rPr>
          <w:t>http://gssrr.org/index.php?journal=JournalOfBasicAndApplied</w:t>
        </w:r>
      </w:hyperlink>
    </w:p>
    <w:p w14:paraId="46DCF091" w14:textId="77777777" w:rsidR="00BD78D0" w:rsidRPr="00BD78D0" w:rsidRDefault="00BD78D0" w:rsidP="003E5817">
      <w:pPr>
        <w:pStyle w:val="Paragraphedeliste"/>
        <w:numPr>
          <w:ilvl w:val="0"/>
          <w:numId w:val="11"/>
        </w:numPr>
        <w:tabs>
          <w:tab w:val="left" w:pos="6173"/>
        </w:tabs>
        <w:spacing w:after="0" w:line="360" w:lineRule="auto"/>
        <w:ind w:left="284" w:hanging="284"/>
        <w:jc w:val="both"/>
        <w:rPr>
          <w:rFonts w:asciiTheme="majorBidi" w:hAnsiTheme="majorBidi" w:cstheme="majorBidi"/>
          <w:sz w:val="24"/>
          <w:szCs w:val="24"/>
          <w:shd w:val="clear" w:color="auto" w:fill="FFFFFF"/>
          <w:lang w:val="en-GB"/>
        </w:rPr>
      </w:pPr>
      <w:r w:rsidRPr="00BD78D0">
        <w:rPr>
          <w:rFonts w:asciiTheme="majorBidi" w:hAnsiTheme="majorBidi" w:cstheme="majorBidi"/>
          <w:b/>
          <w:bCs/>
          <w:sz w:val="24"/>
          <w:szCs w:val="24"/>
          <w:shd w:val="clear" w:color="auto" w:fill="FFFFFF"/>
          <w:lang w:val="en-US"/>
        </w:rPr>
        <w:t>Mahmood, S</w:t>
      </w:r>
      <w:r w:rsidRPr="00BD78D0">
        <w:rPr>
          <w:rFonts w:asciiTheme="majorBidi" w:hAnsiTheme="majorBidi" w:cstheme="majorBidi"/>
          <w:sz w:val="24"/>
          <w:szCs w:val="24"/>
          <w:shd w:val="clear" w:color="auto" w:fill="FFFFFF"/>
          <w:lang w:val="en-US"/>
        </w:rPr>
        <w:t xml:space="preserve">. (2021). Historical background, origin, distribution, and economic importance of fenugreek. In A Comprehensive Review on Trigonella foenum-graecum L. (pp. 1–15). ResearchGate. Retrieved June 13, 2025, from </w:t>
      </w:r>
      <w:hyperlink r:id="rId101" w:history="1">
        <w:r w:rsidRPr="00BD78D0">
          <w:rPr>
            <w:rStyle w:val="Lienhypertexte"/>
            <w:rFonts w:asciiTheme="majorBidi" w:hAnsiTheme="majorBidi" w:cstheme="majorBidi"/>
            <w:sz w:val="24"/>
            <w:szCs w:val="24"/>
            <w:shd w:val="clear" w:color="auto" w:fill="FFFFFF"/>
            <w:lang w:val="en-US"/>
          </w:rPr>
          <w:t>https://www.researchgate.net/publication/355091101_Historical_Background_Origin_Distribution_and_Economic_Importance_of_Fenugreek</w:t>
        </w:r>
      </w:hyperlink>
    </w:p>
    <w:p w14:paraId="2505C770" w14:textId="77777777" w:rsidR="00BD78D0" w:rsidRPr="00BD78D0" w:rsidRDefault="00BD78D0" w:rsidP="003E5817">
      <w:pPr>
        <w:pStyle w:val="Paragraphedeliste"/>
        <w:numPr>
          <w:ilvl w:val="0"/>
          <w:numId w:val="11"/>
        </w:numPr>
        <w:tabs>
          <w:tab w:val="left" w:pos="6173"/>
        </w:tabs>
        <w:spacing w:after="0" w:line="360" w:lineRule="auto"/>
        <w:ind w:left="284" w:hanging="284"/>
        <w:jc w:val="both"/>
        <w:rPr>
          <w:rFonts w:asciiTheme="majorBidi" w:hAnsiTheme="majorBidi" w:cstheme="majorBidi"/>
          <w:sz w:val="24"/>
          <w:szCs w:val="24"/>
          <w:lang w:val="en-US"/>
        </w:rPr>
      </w:pPr>
      <w:r w:rsidRPr="00BD78D0">
        <w:rPr>
          <w:rFonts w:asciiTheme="majorBidi" w:hAnsiTheme="majorBidi" w:cstheme="majorBidi"/>
          <w:b/>
          <w:bCs/>
          <w:sz w:val="24"/>
          <w:szCs w:val="24"/>
          <w:shd w:val="clear" w:color="auto" w:fill="FFFFFF"/>
          <w:lang w:val="en-GB"/>
        </w:rPr>
        <w:t>Malhotra, S.K</w:t>
      </w:r>
      <w:r w:rsidRPr="00BD78D0">
        <w:rPr>
          <w:rFonts w:asciiTheme="majorBidi" w:hAnsiTheme="majorBidi" w:cstheme="majorBidi"/>
          <w:sz w:val="24"/>
          <w:szCs w:val="24"/>
          <w:shd w:val="clear" w:color="auto" w:fill="FFFFFF"/>
          <w:lang w:val="en-GB"/>
        </w:rPr>
        <w:t>. (2011). « Fenugreek (</w:t>
      </w:r>
      <w:r w:rsidRPr="00BD78D0">
        <w:rPr>
          <w:rFonts w:asciiTheme="majorBidi" w:hAnsiTheme="majorBidi" w:cstheme="majorBidi"/>
          <w:i/>
          <w:iCs/>
          <w:sz w:val="24"/>
          <w:szCs w:val="24"/>
          <w:shd w:val="clear" w:color="auto" w:fill="FFFFFF"/>
          <w:lang w:val="en-GB"/>
        </w:rPr>
        <w:t>Trigonella foenum-graecum</w:t>
      </w:r>
      <w:r w:rsidRPr="00BD78D0">
        <w:rPr>
          <w:rFonts w:asciiTheme="majorBidi" w:hAnsiTheme="majorBidi" w:cstheme="majorBidi"/>
          <w:sz w:val="24"/>
          <w:szCs w:val="24"/>
          <w:shd w:val="clear" w:color="auto" w:fill="FFFFFF"/>
          <w:lang w:val="en-GB"/>
        </w:rPr>
        <w:t xml:space="preserve"> L.) », in Genetic Resources, Chromosome Engineering, and Crop Improvement, Chapter 24, (2011), 801–835.</w:t>
      </w:r>
    </w:p>
    <w:p w14:paraId="69C0E894" w14:textId="77777777" w:rsidR="00BD78D0" w:rsidRPr="00BD78D0" w:rsidRDefault="00BD78D0" w:rsidP="003E5817">
      <w:pPr>
        <w:pStyle w:val="Paragraphedeliste"/>
        <w:numPr>
          <w:ilvl w:val="0"/>
          <w:numId w:val="11"/>
        </w:numPr>
        <w:tabs>
          <w:tab w:val="left" w:pos="6173"/>
        </w:tabs>
        <w:spacing w:after="0" w:line="360" w:lineRule="auto"/>
        <w:ind w:left="284" w:hanging="284"/>
        <w:jc w:val="both"/>
        <w:rPr>
          <w:rFonts w:asciiTheme="majorBidi" w:hAnsiTheme="majorBidi" w:cstheme="majorBidi"/>
          <w:sz w:val="24"/>
          <w:szCs w:val="24"/>
          <w:shd w:val="clear" w:color="auto" w:fill="FFFFFF"/>
          <w:lang w:val="en-GB"/>
        </w:rPr>
      </w:pPr>
      <w:r w:rsidRPr="00BD78D0">
        <w:rPr>
          <w:rFonts w:asciiTheme="majorBidi" w:hAnsiTheme="majorBidi" w:cstheme="majorBidi"/>
          <w:b/>
          <w:bCs/>
          <w:sz w:val="24"/>
          <w:szCs w:val="24"/>
          <w:lang w:bidi="ar-DZ"/>
        </w:rPr>
        <w:t>Mamatha N, C, et K, R, Panyam.</w:t>
      </w:r>
      <w:r w:rsidRPr="00BD78D0">
        <w:rPr>
          <w:rFonts w:asciiTheme="majorBidi" w:hAnsiTheme="majorBidi" w:cstheme="majorBidi"/>
          <w:sz w:val="24"/>
          <w:szCs w:val="24"/>
          <w:lang w:bidi="ar-DZ"/>
        </w:rPr>
        <w:t xml:space="preserve"> </w:t>
      </w:r>
      <w:r w:rsidRPr="00BD78D0">
        <w:rPr>
          <w:rFonts w:asciiTheme="majorBidi" w:hAnsiTheme="majorBidi" w:cstheme="majorBidi"/>
          <w:sz w:val="24"/>
          <w:szCs w:val="24"/>
          <w:lang w:val="en-US" w:bidi="ar-DZ"/>
        </w:rPr>
        <w:t>(2021). &lt;&lt;</w:t>
      </w:r>
      <w:r w:rsidRPr="00BD78D0">
        <w:rPr>
          <w:lang w:val="en-US"/>
        </w:rPr>
        <w:t xml:space="preserve"> </w:t>
      </w:r>
      <w:r w:rsidRPr="00BD78D0">
        <w:rPr>
          <w:rFonts w:asciiTheme="majorBidi" w:hAnsiTheme="majorBidi" w:cstheme="majorBidi"/>
          <w:sz w:val="24"/>
          <w:szCs w:val="24"/>
          <w:lang w:val="en-US" w:bidi="ar-DZ"/>
        </w:rPr>
        <w:t xml:space="preserve">Agronomic Practices in Fenugreek &gt;&gt; In: M, Naeem Tariq Aftab., M, Masroor </w:t>
      </w:r>
      <w:proofErr w:type="gramStart"/>
      <w:r w:rsidRPr="00BD78D0">
        <w:rPr>
          <w:rFonts w:asciiTheme="majorBidi" w:hAnsiTheme="majorBidi" w:cstheme="majorBidi"/>
          <w:sz w:val="24"/>
          <w:szCs w:val="24"/>
          <w:lang w:val="en-US" w:bidi="ar-DZ"/>
        </w:rPr>
        <w:t>et  A.</w:t>
      </w:r>
      <w:proofErr w:type="gramEnd"/>
      <w:r w:rsidRPr="00BD78D0">
        <w:rPr>
          <w:rFonts w:asciiTheme="majorBidi" w:hAnsiTheme="majorBidi" w:cstheme="majorBidi"/>
          <w:sz w:val="24"/>
          <w:szCs w:val="24"/>
          <w:lang w:val="en-US" w:bidi="ar-DZ"/>
        </w:rPr>
        <w:t xml:space="preserve"> Khan (Eds). Fenugreek: Biology and Applications(pp83-97). Springer. </w:t>
      </w:r>
      <w:hyperlink r:id="rId102" w:history="1">
        <w:r w:rsidRPr="00BD78D0">
          <w:rPr>
            <w:rStyle w:val="Lienhypertexte"/>
            <w:rFonts w:asciiTheme="majorBidi" w:hAnsiTheme="majorBidi" w:cstheme="majorBidi"/>
            <w:sz w:val="24"/>
            <w:szCs w:val="24"/>
            <w:lang w:val="en-US" w:bidi="ar-DZ"/>
          </w:rPr>
          <w:t>https://doi.org/10.1007/978-981-16-1197-1_5</w:t>
        </w:r>
      </w:hyperlink>
    </w:p>
    <w:p w14:paraId="28A76E41" w14:textId="77777777" w:rsidR="00BD78D0" w:rsidRPr="00320AF4" w:rsidRDefault="00BD78D0" w:rsidP="003E5817">
      <w:pPr>
        <w:pStyle w:val="Paragraphedeliste"/>
        <w:numPr>
          <w:ilvl w:val="0"/>
          <w:numId w:val="11"/>
        </w:numPr>
        <w:tabs>
          <w:tab w:val="left" w:pos="6173"/>
        </w:tabs>
        <w:spacing w:after="0" w:line="360" w:lineRule="auto"/>
        <w:ind w:left="284" w:hanging="284"/>
        <w:jc w:val="both"/>
        <w:rPr>
          <w:rFonts w:asciiTheme="majorBidi" w:hAnsiTheme="majorBidi" w:cstheme="majorBidi"/>
          <w:sz w:val="24"/>
          <w:szCs w:val="24"/>
          <w:lang w:val="en-US"/>
        </w:rPr>
      </w:pPr>
      <w:r w:rsidRPr="00BD78D0">
        <w:rPr>
          <w:rFonts w:asciiTheme="majorBidi" w:hAnsiTheme="majorBidi" w:cstheme="majorBidi"/>
          <w:b/>
          <w:bCs/>
          <w:sz w:val="24"/>
          <w:szCs w:val="24"/>
          <w:lang w:val="en-US"/>
        </w:rPr>
        <w:t>Maxwell, S. Y., et Gadallah, M. A. E.-A</w:t>
      </w:r>
      <w:r w:rsidRPr="00BD78D0">
        <w:rPr>
          <w:rFonts w:asciiTheme="majorBidi" w:hAnsiTheme="majorBidi" w:cstheme="majorBidi"/>
          <w:sz w:val="24"/>
          <w:szCs w:val="24"/>
          <w:lang w:val="en-US"/>
        </w:rPr>
        <w:t xml:space="preserve">. (2023). Comparison between the anti-Candida activity of fenugreek and ginger rhizome extracts and their synergism with fluconazole and nystatin. Egyptian Journal of Medical Microbiology, 32(2), 59–64. </w:t>
      </w:r>
      <w:hyperlink r:id="rId103" w:history="1">
        <w:r w:rsidRPr="00BD78D0">
          <w:rPr>
            <w:rStyle w:val="Lienhypertexte"/>
            <w:rFonts w:asciiTheme="majorBidi" w:hAnsiTheme="majorBidi" w:cstheme="majorBidi"/>
            <w:sz w:val="24"/>
            <w:szCs w:val="24"/>
            <w:lang w:val="en-US"/>
          </w:rPr>
          <w:t>https://ejmm.journals.ekb.eg/article_304790.html</w:t>
        </w:r>
      </w:hyperlink>
    </w:p>
    <w:p w14:paraId="3A3D6A16" w14:textId="77777777" w:rsidR="00BD78D0" w:rsidRPr="00320AF4" w:rsidRDefault="00BD78D0" w:rsidP="003E5817">
      <w:pPr>
        <w:pStyle w:val="Paragraphedeliste"/>
        <w:numPr>
          <w:ilvl w:val="0"/>
          <w:numId w:val="11"/>
        </w:numPr>
        <w:tabs>
          <w:tab w:val="left" w:pos="6173"/>
        </w:tabs>
        <w:spacing w:after="0" w:line="360" w:lineRule="auto"/>
        <w:ind w:left="284" w:hanging="284"/>
        <w:jc w:val="both"/>
        <w:rPr>
          <w:rFonts w:asciiTheme="majorBidi" w:hAnsiTheme="majorBidi" w:cstheme="majorBidi"/>
          <w:sz w:val="24"/>
          <w:szCs w:val="24"/>
          <w:shd w:val="clear" w:color="auto" w:fill="FFFFFF"/>
        </w:rPr>
      </w:pPr>
      <w:r w:rsidRPr="00BD78D0">
        <w:rPr>
          <w:rFonts w:asciiTheme="majorBidi" w:hAnsiTheme="majorBidi" w:cstheme="majorBidi"/>
          <w:b/>
          <w:bCs/>
          <w:sz w:val="24"/>
          <w:szCs w:val="24"/>
        </w:rPr>
        <w:t>Meddour, B.</w:t>
      </w:r>
      <w:r w:rsidRPr="00BD78D0">
        <w:rPr>
          <w:rFonts w:asciiTheme="majorBidi" w:hAnsiTheme="majorBidi" w:cstheme="majorBidi"/>
          <w:sz w:val="24"/>
          <w:szCs w:val="24"/>
        </w:rPr>
        <w:t xml:space="preserve"> (2022). Caractérisation pharmacologique des extraits aqueux, méthanolique et éthanoliques du fenugrec (</w:t>
      </w:r>
      <w:r w:rsidRPr="00BD78D0">
        <w:rPr>
          <w:rFonts w:asciiTheme="majorBidi" w:hAnsiTheme="majorBidi" w:cstheme="majorBidi"/>
          <w:i/>
          <w:iCs/>
          <w:sz w:val="24"/>
          <w:szCs w:val="24"/>
        </w:rPr>
        <w:t>Trigonella foenum-graecum</w:t>
      </w:r>
      <w:r w:rsidRPr="00BD78D0">
        <w:rPr>
          <w:rFonts w:asciiTheme="majorBidi" w:hAnsiTheme="majorBidi" w:cstheme="majorBidi"/>
          <w:sz w:val="24"/>
          <w:szCs w:val="24"/>
        </w:rPr>
        <w:t xml:space="preserve">). </w:t>
      </w:r>
    </w:p>
    <w:p w14:paraId="611BA9DA" w14:textId="77777777" w:rsidR="00BD78D0" w:rsidRPr="00320AF4" w:rsidRDefault="00BD78D0" w:rsidP="003E5817">
      <w:pPr>
        <w:pStyle w:val="Paragraphedeliste"/>
        <w:numPr>
          <w:ilvl w:val="0"/>
          <w:numId w:val="11"/>
        </w:numPr>
        <w:tabs>
          <w:tab w:val="left" w:pos="6173"/>
        </w:tabs>
        <w:spacing w:after="0" w:line="360" w:lineRule="auto"/>
        <w:ind w:left="284" w:hanging="284"/>
        <w:jc w:val="both"/>
        <w:rPr>
          <w:rFonts w:asciiTheme="majorBidi" w:hAnsiTheme="majorBidi" w:cstheme="majorBidi"/>
          <w:sz w:val="24"/>
          <w:szCs w:val="24"/>
          <w:shd w:val="clear" w:color="auto" w:fill="FFFFFF"/>
          <w:lang w:val="en-US"/>
        </w:rPr>
      </w:pPr>
      <w:r w:rsidRPr="00BD78D0">
        <w:rPr>
          <w:rFonts w:asciiTheme="majorBidi" w:hAnsiTheme="majorBidi" w:cstheme="majorBidi"/>
          <w:b/>
          <w:bCs/>
          <w:sz w:val="24"/>
          <w:szCs w:val="24"/>
          <w:shd w:val="clear" w:color="auto" w:fill="FFFFFF"/>
        </w:rPr>
        <w:t>Melki, F., Jeder, S., Louati, F., Nouairi, I., Mhadhbi, H., et Zribi, K</w:t>
      </w:r>
      <w:r w:rsidRPr="00BD78D0">
        <w:rPr>
          <w:rFonts w:asciiTheme="majorBidi" w:hAnsiTheme="majorBidi" w:cstheme="majorBidi"/>
          <w:sz w:val="24"/>
          <w:szCs w:val="24"/>
          <w:shd w:val="clear" w:color="auto" w:fill="FFFFFF"/>
        </w:rPr>
        <w:t>. (2021). Caractérisation phénotypique d’une collection d’isolats de Rhizobium sp. Nodulant le fenugrec (</w:t>
      </w:r>
      <w:r w:rsidRPr="00BD78D0">
        <w:rPr>
          <w:rFonts w:asciiTheme="majorBidi" w:hAnsiTheme="majorBidi" w:cstheme="majorBidi"/>
          <w:i/>
          <w:iCs/>
          <w:sz w:val="24"/>
          <w:szCs w:val="24"/>
          <w:shd w:val="clear" w:color="auto" w:fill="FFFFFF"/>
        </w:rPr>
        <w:t>Trigonella foenum-graecum</w:t>
      </w:r>
      <w:r w:rsidRPr="00BD78D0">
        <w:rPr>
          <w:rFonts w:asciiTheme="majorBidi" w:hAnsiTheme="majorBidi" w:cstheme="majorBidi"/>
          <w:sz w:val="24"/>
          <w:szCs w:val="24"/>
          <w:shd w:val="clear" w:color="auto" w:fill="FFFFFF"/>
        </w:rPr>
        <w:t xml:space="preserve"> L.). </w:t>
      </w:r>
      <w:r w:rsidRPr="00BD78D0">
        <w:rPr>
          <w:rFonts w:asciiTheme="majorBidi" w:hAnsiTheme="majorBidi" w:cstheme="majorBidi"/>
          <w:sz w:val="24"/>
          <w:szCs w:val="24"/>
          <w:shd w:val="clear" w:color="auto" w:fill="FFFFFF"/>
          <w:lang w:val="en-GB"/>
        </w:rPr>
        <w:t xml:space="preserve">Journal of New Sciences, Agriculture and Biotechnology, 82(1), 4758–4766. Retrieved from </w:t>
      </w:r>
      <w:hyperlink r:id="rId104" w:history="1">
        <w:r w:rsidRPr="00BD78D0">
          <w:rPr>
            <w:rStyle w:val="Lienhypertexte"/>
            <w:rFonts w:asciiTheme="majorBidi" w:hAnsiTheme="majorBidi" w:cstheme="majorBidi"/>
            <w:sz w:val="24"/>
            <w:szCs w:val="24"/>
            <w:shd w:val="clear" w:color="auto" w:fill="FFFFFF"/>
            <w:lang w:val="en-GB"/>
          </w:rPr>
          <w:t>https://www.researchgate.net/publication/358285835</w:t>
        </w:r>
      </w:hyperlink>
    </w:p>
    <w:p w14:paraId="7D50048E" w14:textId="77777777" w:rsidR="00BD78D0" w:rsidRPr="00BD78D0" w:rsidRDefault="00BD78D0" w:rsidP="003E5817">
      <w:pPr>
        <w:pStyle w:val="Paragraphedeliste"/>
        <w:numPr>
          <w:ilvl w:val="0"/>
          <w:numId w:val="11"/>
        </w:numPr>
        <w:tabs>
          <w:tab w:val="left" w:pos="6173"/>
        </w:tabs>
        <w:spacing w:after="0" w:line="360" w:lineRule="auto"/>
        <w:ind w:left="284" w:hanging="284"/>
        <w:jc w:val="both"/>
        <w:rPr>
          <w:rFonts w:asciiTheme="majorBidi" w:hAnsiTheme="majorBidi" w:cstheme="majorBidi"/>
          <w:sz w:val="24"/>
          <w:szCs w:val="24"/>
          <w:shd w:val="clear" w:color="auto" w:fill="FFFFFF"/>
          <w:lang w:val="en-US"/>
        </w:rPr>
      </w:pPr>
      <w:r w:rsidRPr="00BD78D0">
        <w:rPr>
          <w:rFonts w:asciiTheme="majorBidi" w:hAnsiTheme="majorBidi" w:cstheme="majorBidi"/>
          <w:b/>
          <w:bCs/>
          <w:sz w:val="24"/>
          <w:szCs w:val="24"/>
          <w:shd w:val="clear" w:color="auto" w:fill="FFFFFF"/>
          <w:lang w:val="en-GB"/>
        </w:rPr>
        <w:t>Mithum Rudrapal</w:t>
      </w:r>
      <w:r w:rsidRPr="00BD78D0">
        <w:rPr>
          <w:rFonts w:asciiTheme="majorBidi" w:hAnsiTheme="majorBidi" w:cstheme="majorBidi"/>
          <w:sz w:val="24"/>
          <w:szCs w:val="24"/>
          <w:shd w:val="clear" w:color="auto" w:fill="FFFFFF"/>
          <w:lang w:val="en-GB"/>
        </w:rPr>
        <w:t xml:space="preserve">. (2024). Dietry polyphénols: Reviewon chemistry sources, bioavailability metabolism, Antioxydant effets, and their role in disease management .13(4). </w:t>
      </w:r>
      <w:r w:rsidRPr="00BD78D0">
        <w:rPr>
          <w:rFonts w:asciiTheme="majorBidi" w:hAnsiTheme="majorBidi" w:cstheme="majorBidi"/>
          <w:sz w:val="24"/>
          <w:szCs w:val="24"/>
          <w:shd w:val="clear" w:color="auto" w:fill="FFFFFF"/>
        </w:rPr>
        <w:t>429.HTTPS://DOI.org /10.3390/antiox 13040429.</w:t>
      </w:r>
    </w:p>
    <w:p w14:paraId="01CBBF2A" w14:textId="77777777" w:rsidR="00BD78D0" w:rsidRPr="00BD78D0" w:rsidRDefault="00BD78D0" w:rsidP="003E5817">
      <w:pPr>
        <w:pStyle w:val="Paragraphedeliste"/>
        <w:numPr>
          <w:ilvl w:val="0"/>
          <w:numId w:val="11"/>
        </w:numPr>
        <w:tabs>
          <w:tab w:val="left" w:pos="6173"/>
        </w:tabs>
        <w:spacing w:after="0" w:line="360" w:lineRule="auto"/>
        <w:ind w:left="284" w:hanging="284"/>
        <w:jc w:val="both"/>
        <w:rPr>
          <w:rFonts w:asciiTheme="majorBidi" w:hAnsiTheme="majorBidi" w:cstheme="majorBidi"/>
          <w:sz w:val="24"/>
          <w:szCs w:val="24"/>
          <w:lang w:val="en-US" w:bidi="ar-DZ"/>
        </w:rPr>
      </w:pPr>
      <w:r w:rsidRPr="00BD78D0">
        <w:rPr>
          <w:rFonts w:asciiTheme="majorBidi" w:hAnsiTheme="majorBidi" w:cstheme="majorBidi"/>
          <w:b/>
          <w:bCs/>
          <w:sz w:val="24"/>
          <w:szCs w:val="24"/>
          <w:shd w:val="clear" w:color="auto" w:fill="FFFFFF"/>
        </w:rPr>
        <w:lastRenderedPageBreak/>
        <w:t>Moradi Kor, N., Didarshetaban, M.B., et Saeid Pour, H.R.</w:t>
      </w:r>
      <w:r w:rsidRPr="00BD78D0">
        <w:rPr>
          <w:rFonts w:asciiTheme="majorBidi" w:hAnsiTheme="majorBidi" w:cstheme="majorBidi"/>
          <w:sz w:val="24"/>
          <w:szCs w:val="24"/>
          <w:shd w:val="clear" w:color="auto" w:fill="FFFFFF"/>
        </w:rPr>
        <w:t xml:space="preserve"> (2013). </w:t>
      </w:r>
      <w:r w:rsidRPr="00BD78D0">
        <w:rPr>
          <w:rFonts w:asciiTheme="majorBidi" w:hAnsiTheme="majorBidi" w:cstheme="majorBidi"/>
          <w:sz w:val="24"/>
          <w:szCs w:val="24"/>
          <w:shd w:val="clear" w:color="auto" w:fill="FFFFFF"/>
          <w:lang w:val="en-GB"/>
        </w:rPr>
        <w:t>Fenugreek (Trigonella foenum-graecum L.) As a Valuable Medicinal Plant. International Journal of Advanced Biological and Biomedical Research, 1(8), 922–931.</w:t>
      </w:r>
    </w:p>
    <w:p w14:paraId="0071603D" w14:textId="77777777" w:rsidR="00BD78D0" w:rsidRPr="00320AF4" w:rsidRDefault="00BD78D0" w:rsidP="003E5817">
      <w:pPr>
        <w:pStyle w:val="Paragraphedeliste"/>
        <w:numPr>
          <w:ilvl w:val="0"/>
          <w:numId w:val="11"/>
        </w:numPr>
        <w:tabs>
          <w:tab w:val="left" w:pos="6173"/>
        </w:tabs>
        <w:spacing w:after="0" w:line="360" w:lineRule="auto"/>
        <w:ind w:left="284" w:hanging="284"/>
        <w:jc w:val="both"/>
        <w:rPr>
          <w:rFonts w:asciiTheme="majorBidi" w:hAnsiTheme="majorBidi" w:cstheme="majorBidi"/>
          <w:sz w:val="24"/>
          <w:szCs w:val="24"/>
          <w:shd w:val="clear" w:color="auto" w:fill="FFFFFF"/>
          <w:lang w:val="en-US"/>
        </w:rPr>
      </w:pPr>
      <w:r w:rsidRPr="00BD78D0">
        <w:rPr>
          <w:rFonts w:asciiTheme="majorBidi" w:hAnsiTheme="majorBidi" w:cstheme="majorBidi"/>
          <w:b/>
          <w:bCs/>
          <w:sz w:val="24"/>
          <w:szCs w:val="24"/>
          <w:shd w:val="clear" w:color="auto" w:fill="FFFFFF"/>
          <w:lang w:val="en-GB"/>
        </w:rPr>
        <w:t>Nabila souilah, Medjroubi Kamel, Zekri jihane, Abdessalam Grira</w:t>
      </w:r>
      <w:r w:rsidRPr="00BD78D0">
        <w:rPr>
          <w:rFonts w:asciiTheme="majorBidi" w:hAnsiTheme="majorBidi" w:cstheme="majorBidi"/>
          <w:sz w:val="24"/>
          <w:szCs w:val="24"/>
          <w:shd w:val="clear" w:color="auto" w:fill="FFFFFF"/>
          <w:lang w:val="en-US"/>
        </w:rPr>
        <w:t>. (2018).</w:t>
      </w:r>
      <w:r w:rsidRPr="00BD78D0">
        <w:rPr>
          <w:rFonts w:asciiTheme="majorBidi" w:hAnsiTheme="majorBidi" w:cstheme="majorBidi"/>
          <w:sz w:val="24"/>
          <w:szCs w:val="24"/>
          <w:shd w:val="clear" w:color="auto" w:fill="FFFFFF"/>
          <w:lang w:val="en-GB"/>
        </w:rPr>
        <w:t xml:space="preserve"> Ethnobotanical study of medicinal and aromatic plants used by the population national park of El Kala (north - eastern Algeria), DOI: 10.12692/ijb/12.4.55-77, International journal of Biosciences (ijB).12(4).</w:t>
      </w:r>
    </w:p>
    <w:p w14:paraId="1885BD8F" w14:textId="77777777" w:rsidR="00BD78D0" w:rsidRPr="00BD78D0" w:rsidRDefault="00BD78D0" w:rsidP="003E5817">
      <w:pPr>
        <w:pStyle w:val="Paragraphedeliste"/>
        <w:numPr>
          <w:ilvl w:val="0"/>
          <w:numId w:val="11"/>
        </w:numPr>
        <w:tabs>
          <w:tab w:val="left" w:pos="6173"/>
        </w:tabs>
        <w:spacing w:after="0" w:line="360" w:lineRule="auto"/>
        <w:ind w:left="284" w:hanging="284"/>
        <w:jc w:val="both"/>
        <w:rPr>
          <w:rFonts w:asciiTheme="majorBidi" w:hAnsiTheme="majorBidi" w:cstheme="majorBidi"/>
          <w:sz w:val="24"/>
          <w:szCs w:val="24"/>
          <w:shd w:val="clear" w:color="auto" w:fill="FFFFFF"/>
          <w:lang w:val="en-GB"/>
        </w:rPr>
      </w:pPr>
      <w:r w:rsidRPr="00BD78D0">
        <w:rPr>
          <w:rFonts w:asciiTheme="majorBidi" w:hAnsiTheme="majorBidi" w:cstheme="majorBidi"/>
          <w:b/>
          <w:bCs/>
          <w:sz w:val="24"/>
          <w:szCs w:val="24"/>
          <w:shd w:val="clear" w:color="auto" w:fill="FFFFFF"/>
        </w:rPr>
        <w:t>Nabila, O., Benhissen S., Hamdi, B., Rebbas, K</w:t>
      </w:r>
      <w:r w:rsidRPr="00BD78D0">
        <w:rPr>
          <w:rFonts w:asciiTheme="majorBidi" w:hAnsiTheme="majorBidi" w:cstheme="majorBidi"/>
          <w:sz w:val="24"/>
          <w:szCs w:val="24"/>
          <w:shd w:val="clear" w:color="auto" w:fill="FFFFFF"/>
        </w:rPr>
        <w:t>. (2021). Etude ethnobotanique et inventaire des plantes médicinales de la région de Dréat (M ’ Sila, Algérie). Researchgate 4.</w:t>
      </w:r>
    </w:p>
    <w:p w14:paraId="5DC5E6AA" w14:textId="77777777" w:rsidR="00BD78D0" w:rsidRPr="00320AF4" w:rsidRDefault="00BD78D0" w:rsidP="003E5817">
      <w:pPr>
        <w:pStyle w:val="Paragraphedeliste"/>
        <w:numPr>
          <w:ilvl w:val="0"/>
          <w:numId w:val="11"/>
        </w:numPr>
        <w:tabs>
          <w:tab w:val="left" w:pos="6173"/>
        </w:tabs>
        <w:spacing w:after="0" w:line="360" w:lineRule="auto"/>
        <w:ind w:left="284" w:hanging="284"/>
        <w:jc w:val="both"/>
        <w:rPr>
          <w:rFonts w:asciiTheme="majorBidi" w:hAnsiTheme="majorBidi" w:cstheme="majorBidi"/>
          <w:sz w:val="24"/>
          <w:szCs w:val="24"/>
          <w:lang w:val="en-US"/>
        </w:rPr>
      </w:pPr>
      <w:r w:rsidRPr="00BD78D0">
        <w:rPr>
          <w:rFonts w:asciiTheme="majorBidi" w:hAnsiTheme="majorBidi" w:cstheme="majorBidi"/>
          <w:b/>
          <w:bCs/>
          <w:sz w:val="24"/>
          <w:szCs w:val="24"/>
          <w:shd w:val="clear" w:color="auto" w:fill="FFFFFF"/>
        </w:rPr>
        <w:t>Nacer Amraoui, Haifaa laroui, Nour Eddine charef, Abderrahman Baghiani et lekhmici</w:t>
      </w:r>
      <w:r w:rsidRPr="00BD78D0">
        <w:rPr>
          <w:rFonts w:asciiTheme="majorBidi" w:hAnsiTheme="majorBidi" w:cstheme="majorBidi"/>
          <w:sz w:val="24"/>
          <w:szCs w:val="24"/>
          <w:shd w:val="clear" w:color="auto" w:fill="FFFFFF"/>
        </w:rPr>
        <w:t xml:space="preserve">. </w:t>
      </w:r>
      <w:r w:rsidRPr="00BD78D0">
        <w:rPr>
          <w:rFonts w:asciiTheme="majorBidi" w:hAnsiTheme="majorBidi" w:cstheme="majorBidi"/>
          <w:sz w:val="24"/>
          <w:szCs w:val="24"/>
          <w:shd w:val="clear" w:color="auto" w:fill="FFFFFF"/>
          <w:lang w:val="en-GB"/>
        </w:rPr>
        <w:t>(2022). Arrar, Antioxydant, Anti-Hemolytic and anti-Inflammatory Activities of Aqueous Extract of aerial parts of Rosmarinus toumefortii ISSN: 1583-6258, vol.26, Issue 1,2022, pages 2912-2923.</w:t>
      </w:r>
    </w:p>
    <w:p w14:paraId="0C2EFF07" w14:textId="77777777" w:rsidR="00BD78D0" w:rsidRPr="00BD78D0" w:rsidRDefault="00BD78D0" w:rsidP="003E5817">
      <w:pPr>
        <w:pStyle w:val="Paragraphedeliste"/>
        <w:numPr>
          <w:ilvl w:val="0"/>
          <w:numId w:val="11"/>
        </w:numPr>
        <w:tabs>
          <w:tab w:val="left" w:pos="6173"/>
        </w:tabs>
        <w:spacing w:after="0" w:line="360" w:lineRule="auto"/>
        <w:ind w:left="284" w:hanging="284"/>
        <w:jc w:val="both"/>
        <w:rPr>
          <w:rFonts w:asciiTheme="majorBidi" w:hAnsiTheme="majorBidi" w:cstheme="majorBidi"/>
          <w:sz w:val="24"/>
          <w:szCs w:val="24"/>
          <w:shd w:val="clear" w:color="auto" w:fill="FFFFFF"/>
          <w:lang w:val="en-GB"/>
        </w:rPr>
      </w:pPr>
      <w:r w:rsidRPr="00320AF4">
        <w:rPr>
          <w:rFonts w:asciiTheme="majorBidi" w:hAnsiTheme="majorBidi" w:cstheme="majorBidi"/>
          <w:sz w:val="24"/>
          <w:szCs w:val="24"/>
          <w:lang w:val="en-US"/>
        </w:rPr>
        <w:t xml:space="preserve"> </w:t>
      </w:r>
      <w:r w:rsidRPr="00BD78D0">
        <w:rPr>
          <w:rFonts w:asciiTheme="majorBidi" w:hAnsiTheme="majorBidi" w:cstheme="majorBidi"/>
          <w:b/>
          <w:bCs/>
          <w:sz w:val="24"/>
          <w:szCs w:val="24"/>
        </w:rPr>
        <w:t>Nassir, M., et Benziane, I. (2020).</w:t>
      </w:r>
      <w:r w:rsidRPr="00BD78D0">
        <w:rPr>
          <w:rFonts w:asciiTheme="majorBidi" w:hAnsiTheme="majorBidi" w:cstheme="majorBidi"/>
          <w:sz w:val="24"/>
          <w:szCs w:val="24"/>
        </w:rPr>
        <w:t xml:space="preserve"> Phytochimie et propriétés biocides et émulsifiantes des extraits aqueux des graines de fenugrec (Trigonella foenum-graecum). Acta Scientiarum Polonorum Technologia Alimentaria, 19(1), 71–87. </w:t>
      </w:r>
      <w:hyperlink r:id="rId105" w:history="1">
        <w:r w:rsidRPr="00BD78D0">
          <w:rPr>
            <w:rStyle w:val="Lienhypertexte"/>
            <w:rFonts w:asciiTheme="majorBidi" w:hAnsiTheme="majorBidi" w:cstheme="majorBidi"/>
            <w:sz w:val="24"/>
            <w:szCs w:val="24"/>
          </w:rPr>
          <w:t>https://doi.org/10.2478/ans-2019-0020</w:t>
        </w:r>
      </w:hyperlink>
    </w:p>
    <w:p w14:paraId="01FA717C" w14:textId="77777777" w:rsidR="00BD78D0" w:rsidRPr="00BD78D0" w:rsidRDefault="00BD78D0" w:rsidP="003E5817">
      <w:pPr>
        <w:pStyle w:val="Paragraphedeliste"/>
        <w:numPr>
          <w:ilvl w:val="0"/>
          <w:numId w:val="11"/>
        </w:numPr>
        <w:tabs>
          <w:tab w:val="left" w:pos="6173"/>
        </w:tabs>
        <w:spacing w:after="0" w:line="360" w:lineRule="auto"/>
        <w:ind w:left="284" w:hanging="284"/>
        <w:jc w:val="both"/>
        <w:rPr>
          <w:rFonts w:asciiTheme="majorBidi" w:hAnsiTheme="majorBidi" w:cstheme="majorBidi"/>
          <w:sz w:val="24"/>
          <w:szCs w:val="24"/>
          <w:lang w:val="en-US" w:bidi="ar-DZ"/>
        </w:rPr>
      </w:pPr>
      <w:r w:rsidRPr="00BD78D0">
        <w:rPr>
          <w:rFonts w:asciiTheme="majorBidi" w:hAnsiTheme="majorBidi" w:cstheme="majorBidi"/>
          <w:b/>
          <w:bCs/>
          <w:sz w:val="24"/>
          <w:szCs w:val="24"/>
          <w:shd w:val="clear" w:color="auto" w:fill="FFFFFF"/>
        </w:rPr>
        <w:t>Nathiya, S., Durga, M., et Devasena, T</w:t>
      </w:r>
      <w:r w:rsidRPr="00BD78D0">
        <w:rPr>
          <w:rFonts w:asciiTheme="majorBidi" w:hAnsiTheme="majorBidi" w:cstheme="majorBidi"/>
          <w:sz w:val="24"/>
          <w:szCs w:val="24"/>
          <w:shd w:val="clear" w:color="auto" w:fill="FFFFFF"/>
        </w:rPr>
        <w:t xml:space="preserve">. (2014). </w:t>
      </w:r>
      <w:r w:rsidRPr="00BD78D0">
        <w:rPr>
          <w:rFonts w:asciiTheme="majorBidi" w:hAnsiTheme="majorBidi" w:cstheme="majorBidi"/>
          <w:sz w:val="24"/>
          <w:szCs w:val="24"/>
          <w:shd w:val="clear" w:color="auto" w:fill="FFFFFF"/>
          <w:lang w:val="en-GB"/>
        </w:rPr>
        <w:t>Therapeutic role of Trigonella foenum-Graecum [fenugreek] – A review. International Journal of Pharmaceutical Sciences Review and Research, 27(2), Article No. 12, 74–80.</w:t>
      </w:r>
    </w:p>
    <w:p w14:paraId="7FE04F86" w14:textId="77777777" w:rsidR="00BD78D0" w:rsidRPr="00320AF4" w:rsidRDefault="00BD78D0" w:rsidP="003E5817">
      <w:pPr>
        <w:pStyle w:val="Paragraphedeliste"/>
        <w:numPr>
          <w:ilvl w:val="0"/>
          <w:numId w:val="11"/>
        </w:numPr>
        <w:tabs>
          <w:tab w:val="left" w:pos="6173"/>
        </w:tabs>
        <w:spacing w:after="0" w:line="360" w:lineRule="auto"/>
        <w:ind w:left="284" w:hanging="284"/>
        <w:jc w:val="both"/>
        <w:rPr>
          <w:rFonts w:asciiTheme="majorBidi" w:hAnsiTheme="majorBidi" w:cstheme="majorBidi"/>
          <w:sz w:val="24"/>
          <w:szCs w:val="24"/>
          <w:lang w:bidi="ar-DZ"/>
        </w:rPr>
      </w:pPr>
      <w:r w:rsidRPr="00BD78D0">
        <w:rPr>
          <w:rFonts w:asciiTheme="majorBidi" w:hAnsiTheme="majorBidi" w:cstheme="majorBidi"/>
          <w:b/>
          <w:bCs/>
          <w:sz w:val="24"/>
          <w:szCs w:val="24"/>
          <w:lang w:bidi="ar-DZ"/>
        </w:rPr>
        <w:t>Ncyclopédie des plantes.</w:t>
      </w:r>
      <w:r w:rsidRPr="00BD78D0">
        <w:rPr>
          <w:rFonts w:asciiTheme="majorBidi" w:hAnsiTheme="majorBidi" w:cstheme="majorBidi"/>
          <w:sz w:val="24"/>
          <w:szCs w:val="24"/>
          <w:lang w:bidi="ar-DZ"/>
        </w:rPr>
        <w:t xml:space="preserve"> (2025) « Répartition géographique du fenugrec dans le monde », Éditions Botania.</w:t>
      </w:r>
    </w:p>
    <w:p w14:paraId="5B57D1B3" w14:textId="4887E709" w:rsidR="00BD78D0" w:rsidRPr="00BD78D0" w:rsidRDefault="00BD78D0" w:rsidP="003E5817">
      <w:pPr>
        <w:pStyle w:val="Paragraphedeliste"/>
        <w:numPr>
          <w:ilvl w:val="0"/>
          <w:numId w:val="11"/>
        </w:numPr>
        <w:tabs>
          <w:tab w:val="left" w:pos="6173"/>
        </w:tabs>
        <w:spacing w:after="0" w:line="360" w:lineRule="auto"/>
        <w:ind w:left="142" w:hanging="284"/>
        <w:jc w:val="both"/>
        <w:rPr>
          <w:rFonts w:asciiTheme="majorBidi" w:hAnsiTheme="majorBidi" w:cstheme="majorBidi"/>
          <w:sz w:val="24"/>
          <w:szCs w:val="24"/>
          <w:shd w:val="clear" w:color="auto" w:fill="FFFFFF"/>
          <w:lang w:val="en-GB"/>
        </w:rPr>
      </w:pPr>
      <w:r w:rsidRPr="00BD78D0">
        <w:rPr>
          <w:rFonts w:asciiTheme="majorBidi" w:hAnsiTheme="majorBidi" w:cstheme="majorBidi"/>
          <w:b/>
          <w:bCs/>
          <w:sz w:val="24"/>
          <w:szCs w:val="24"/>
          <w:lang w:val="en-US" w:bidi="ar-DZ"/>
        </w:rPr>
        <w:t xml:space="preserve">Niknam </w:t>
      </w:r>
      <w:proofErr w:type="gramStart"/>
      <w:r w:rsidRPr="00BD78D0">
        <w:rPr>
          <w:rFonts w:asciiTheme="majorBidi" w:hAnsiTheme="majorBidi" w:cstheme="majorBidi"/>
          <w:b/>
          <w:bCs/>
          <w:sz w:val="24"/>
          <w:szCs w:val="24"/>
          <w:lang w:val="en-US" w:bidi="ar-DZ"/>
        </w:rPr>
        <w:t>R,.,</w:t>
      </w:r>
      <w:proofErr w:type="gramEnd"/>
      <w:r w:rsidRPr="00BD78D0">
        <w:rPr>
          <w:rFonts w:asciiTheme="majorBidi" w:hAnsiTheme="majorBidi" w:cstheme="majorBidi"/>
          <w:b/>
          <w:bCs/>
          <w:sz w:val="24"/>
          <w:szCs w:val="24"/>
          <w:lang w:val="en-US" w:bidi="ar-DZ"/>
        </w:rPr>
        <w:t xml:space="preserve"> H, Kiani., Z, E, Mousavi., et M, Mousavi. (</w:t>
      </w:r>
      <w:r w:rsidRPr="00BD78D0">
        <w:rPr>
          <w:rFonts w:asciiTheme="majorBidi" w:hAnsiTheme="majorBidi" w:cstheme="majorBidi"/>
          <w:sz w:val="24"/>
          <w:szCs w:val="24"/>
          <w:lang w:val="en-US" w:bidi="ar-DZ"/>
        </w:rPr>
        <w:t>2021). &lt;&lt;</w:t>
      </w:r>
      <w:r w:rsidRPr="00BD78D0">
        <w:rPr>
          <w:lang w:val="en-US"/>
        </w:rPr>
        <w:t xml:space="preserve"> </w:t>
      </w:r>
      <w:r w:rsidRPr="00BD78D0">
        <w:rPr>
          <w:rFonts w:asciiTheme="majorBidi" w:hAnsiTheme="majorBidi" w:cstheme="majorBidi"/>
          <w:sz w:val="24"/>
          <w:szCs w:val="24"/>
          <w:lang w:val="en-US" w:bidi="ar-DZ"/>
        </w:rPr>
        <w:t>Extraction, Detection, and Characterization of Various Chemical Components of Trigonella foenum-graecum L. (Fenugreek) Known as a Valuable Seed in Agriculture&gt;&gt;.In: M, Naeem., Tariq Aftab., M, </w:t>
      </w:r>
      <w:proofErr w:type="gramStart"/>
      <w:r w:rsidRPr="00BD78D0">
        <w:rPr>
          <w:rFonts w:asciiTheme="majorBidi" w:hAnsiTheme="majorBidi" w:cstheme="majorBidi"/>
          <w:sz w:val="24"/>
          <w:szCs w:val="24"/>
          <w:lang w:val="en-US" w:bidi="ar-DZ"/>
        </w:rPr>
        <w:t>Masroor  A</w:t>
      </w:r>
      <w:proofErr w:type="gramEnd"/>
      <w:r w:rsidRPr="00BD78D0">
        <w:rPr>
          <w:rFonts w:asciiTheme="majorBidi" w:hAnsiTheme="majorBidi" w:cstheme="majorBidi"/>
          <w:sz w:val="24"/>
          <w:szCs w:val="24"/>
          <w:lang w:val="en-US" w:bidi="ar-DZ"/>
        </w:rPr>
        <w:t>, Khan (Eds). Fenugreek: Biology and Applications (pp 189-217). Springer.</w:t>
      </w:r>
      <w:r w:rsidRPr="00BD78D0">
        <w:rPr>
          <w:lang w:val="en-US"/>
        </w:rPr>
        <w:t xml:space="preserve"> </w:t>
      </w:r>
      <w:hyperlink r:id="rId106" w:history="1">
        <w:r w:rsidRPr="00BD78D0">
          <w:rPr>
            <w:rStyle w:val="Lienhypertexte"/>
            <w:rFonts w:asciiTheme="majorBidi" w:hAnsiTheme="majorBidi" w:cstheme="majorBidi"/>
            <w:sz w:val="24"/>
            <w:szCs w:val="24"/>
            <w:lang w:val="en-US" w:bidi="ar-DZ"/>
          </w:rPr>
          <w:t>https://doi.org/10.1007/978-981-16-1197-1_9</w:t>
        </w:r>
      </w:hyperlink>
    </w:p>
    <w:p w14:paraId="5314A0E9" w14:textId="77777777" w:rsidR="00BD78D0" w:rsidRPr="00BD78D0" w:rsidRDefault="00BD78D0" w:rsidP="003E5817">
      <w:pPr>
        <w:pStyle w:val="Paragraphedeliste"/>
        <w:numPr>
          <w:ilvl w:val="0"/>
          <w:numId w:val="11"/>
        </w:numPr>
        <w:tabs>
          <w:tab w:val="left" w:pos="6173"/>
        </w:tabs>
        <w:spacing w:after="0" w:line="360" w:lineRule="auto"/>
        <w:ind w:left="142" w:hanging="284"/>
        <w:jc w:val="both"/>
        <w:rPr>
          <w:rFonts w:asciiTheme="majorBidi" w:hAnsiTheme="majorBidi" w:cstheme="majorBidi"/>
          <w:sz w:val="24"/>
          <w:szCs w:val="24"/>
          <w:shd w:val="clear" w:color="auto" w:fill="FFFFFF"/>
          <w:lang w:val="en-US"/>
        </w:rPr>
      </w:pPr>
      <w:r w:rsidRPr="00BD78D0">
        <w:rPr>
          <w:rFonts w:asciiTheme="majorBidi" w:hAnsiTheme="majorBidi" w:cstheme="majorBidi"/>
          <w:b/>
          <w:bCs/>
          <w:sz w:val="24"/>
          <w:szCs w:val="24"/>
          <w:lang w:val="en-US" w:bidi="ar-DZ"/>
        </w:rPr>
        <w:t>Oueslati H, A, Kamel Ghedira</w:t>
      </w:r>
      <w:r w:rsidRPr="00BD78D0">
        <w:rPr>
          <w:rFonts w:asciiTheme="majorBidi" w:hAnsiTheme="majorBidi" w:cstheme="majorBidi"/>
          <w:sz w:val="24"/>
          <w:szCs w:val="24"/>
          <w:lang w:val="en-US" w:bidi="ar-DZ"/>
        </w:rPr>
        <w:t>, (2015) Ethnobotanical and phytopharmacological notes on Trigonella foenum - graecum, January .13(14):234-238.</w:t>
      </w:r>
    </w:p>
    <w:p w14:paraId="596DDF2A" w14:textId="77777777" w:rsidR="00BD78D0" w:rsidRPr="00BD78D0" w:rsidRDefault="00BD78D0" w:rsidP="003E5817">
      <w:pPr>
        <w:pStyle w:val="Paragraphedeliste"/>
        <w:numPr>
          <w:ilvl w:val="0"/>
          <w:numId w:val="11"/>
        </w:numPr>
        <w:tabs>
          <w:tab w:val="left" w:pos="6173"/>
        </w:tabs>
        <w:spacing w:after="0" w:line="360" w:lineRule="auto"/>
        <w:ind w:left="142" w:hanging="284"/>
        <w:jc w:val="both"/>
        <w:rPr>
          <w:rFonts w:asciiTheme="majorBidi" w:hAnsiTheme="majorBidi" w:cstheme="majorBidi"/>
          <w:sz w:val="24"/>
          <w:szCs w:val="24"/>
          <w:lang w:val="en-US"/>
        </w:rPr>
      </w:pPr>
      <w:r w:rsidRPr="00BD78D0">
        <w:rPr>
          <w:rFonts w:asciiTheme="majorBidi" w:hAnsiTheme="majorBidi" w:cstheme="majorBidi"/>
          <w:b/>
          <w:bCs/>
          <w:sz w:val="24"/>
          <w:szCs w:val="24"/>
          <w:shd w:val="clear" w:color="auto" w:fill="FFFFFF"/>
          <w:lang w:val="en-US"/>
        </w:rPr>
        <w:t xml:space="preserve">Oyaizu, M. </w:t>
      </w:r>
      <w:r w:rsidRPr="00BD78D0">
        <w:rPr>
          <w:rFonts w:asciiTheme="majorBidi" w:hAnsiTheme="majorBidi" w:cstheme="majorBidi"/>
          <w:sz w:val="24"/>
          <w:szCs w:val="24"/>
          <w:shd w:val="clear" w:color="auto" w:fill="FFFFFF"/>
          <w:lang w:val="en-US"/>
        </w:rPr>
        <w:t>(1986). Studies on products of browning reaction: antioxidative activity of products of browning reaction prepared from glucosamine. Japanese Journal of Nutrition, 44(6), 307–315.</w:t>
      </w:r>
    </w:p>
    <w:p w14:paraId="671723E6" w14:textId="77777777" w:rsidR="00BD78D0" w:rsidRPr="00BD78D0" w:rsidRDefault="00BD78D0" w:rsidP="003E5817">
      <w:pPr>
        <w:pStyle w:val="Paragraphedeliste"/>
        <w:numPr>
          <w:ilvl w:val="0"/>
          <w:numId w:val="11"/>
        </w:numPr>
        <w:tabs>
          <w:tab w:val="left" w:pos="6173"/>
        </w:tabs>
        <w:spacing w:after="0" w:line="360" w:lineRule="auto"/>
        <w:ind w:left="142" w:hanging="284"/>
        <w:jc w:val="both"/>
        <w:rPr>
          <w:rFonts w:asciiTheme="majorBidi" w:hAnsiTheme="majorBidi" w:cstheme="majorBidi"/>
          <w:sz w:val="24"/>
          <w:szCs w:val="24"/>
          <w:shd w:val="clear" w:color="auto" w:fill="FFFFFF"/>
          <w:lang w:val="en-US"/>
        </w:rPr>
      </w:pPr>
      <w:r w:rsidRPr="00BD78D0">
        <w:rPr>
          <w:rFonts w:asciiTheme="majorBidi" w:hAnsiTheme="majorBidi" w:cstheme="majorBidi"/>
          <w:b/>
          <w:bCs/>
          <w:sz w:val="24"/>
          <w:szCs w:val="24"/>
          <w:lang w:val="en-US" w:bidi="ar-DZ"/>
        </w:rPr>
        <w:t>Parthasarathy V.K., Chempakam B.et Zachariah T. J. (</w:t>
      </w:r>
      <w:r w:rsidRPr="00BD78D0">
        <w:rPr>
          <w:rFonts w:asciiTheme="majorBidi" w:hAnsiTheme="majorBidi" w:cstheme="majorBidi"/>
          <w:sz w:val="24"/>
          <w:szCs w:val="24"/>
          <w:lang w:val="en-US" w:bidi="ar-DZ"/>
        </w:rPr>
        <w:t>2008). &lt;&lt;</w:t>
      </w:r>
      <w:r w:rsidRPr="00BD78D0">
        <w:rPr>
          <w:lang w:val="en-US"/>
        </w:rPr>
        <w:t xml:space="preserve"> </w:t>
      </w:r>
      <w:r w:rsidRPr="00BD78D0">
        <w:rPr>
          <w:rFonts w:asciiTheme="majorBidi" w:hAnsiTheme="majorBidi" w:cstheme="majorBidi"/>
          <w:sz w:val="24"/>
          <w:szCs w:val="24"/>
          <w:lang w:val="en-US" w:bidi="ar-DZ"/>
        </w:rPr>
        <w:t xml:space="preserve">fenugreek &gt;&gt;. In: </w:t>
      </w:r>
      <w:r w:rsidRPr="00BD78D0">
        <w:rPr>
          <w:rFonts w:asciiTheme="majorBidi" w:hAnsiTheme="majorBidi" w:cstheme="majorBidi"/>
          <w:b/>
          <w:bCs/>
          <w:sz w:val="24"/>
          <w:szCs w:val="24"/>
          <w:lang w:val="en-US" w:bidi="ar-DZ"/>
        </w:rPr>
        <w:t>N.K, Leela et K.M, Masroor</w:t>
      </w:r>
      <w:r w:rsidRPr="00BD78D0">
        <w:rPr>
          <w:rFonts w:asciiTheme="majorBidi" w:hAnsiTheme="majorBidi" w:cstheme="majorBidi"/>
          <w:sz w:val="24"/>
          <w:szCs w:val="24"/>
          <w:lang w:val="en-US" w:bidi="ar-DZ"/>
        </w:rPr>
        <w:t xml:space="preserve"> (Eds). Chemistry of spices (pp 242-259).</w:t>
      </w:r>
    </w:p>
    <w:p w14:paraId="7DC91FFE" w14:textId="77777777" w:rsidR="00BD78D0" w:rsidRPr="00BD78D0" w:rsidRDefault="00BD78D0" w:rsidP="003E5817">
      <w:pPr>
        <w:pStyle w:val="Paragraphedeliste"/>
        <w:numPr>
          <w:ilvl w:val="0"/>
          <w:numId w:val="11"/>
        </w:numPr>
        <w:tabs>
          <w:tab w:val="left" w:pos="6173"/>
        </w:tabs>
        <w:spacing w:after="0" w:line="360" w:lineRule="auto"/>
        <w:ind w:left="142" w:hanging="284"/>
        <w:jc w:val="both"/>
        <w:rPr>
          <w:rFonts w:asciiTheme="majorBidi" w:hAnsiTheme="majorBidi" w:cstheme="majorBidi"/>
          <w:sz w:val="24"/>
          <w:szCs w:val="24"/>
          <w:shd w:val="clear" w:color="auto" w:fill="FFFFFF"/>
          <w:lang w:val="en-US"/>
        </w:rPr>
      </w:pPr>
      <w:r w:rsidRPr="00BD78D0">
        <w:rPr>
          <w:rFonts w:asciiTheme="majorBidi" w:hAnsiTheme="majorBidi" w:cstheme="majorBidi"/>
          <w:b/>
          <w:bCs/>
          <w:sz w:val="24"/>
          <w:szCs w:val="24"/>
          <w:shd w:val="clear" w:color="auto" w:fill="FFFFFF"/>
          <w:lang w:val="en-US"/>
        </w:rPr>
        <w:lastRenderedPageBreak/>
        <w:t>Pasha, I., Shabbir, M. A., Haider, M. A., Afzal, B., Chughtai, M. F. J., Ahmad, S., Manzoor, M. S</w:t>
      </w:r>
      <w:r w:rsidRPr="00BD78D0">
        <w:rPr>
          <w:rFonts w:asciiTheme="majorBidi" w:hAnsiTheme="majorBidi" w:cstheme="majorBidi"/>
          <w:sz w:val="24"/>
          <w:szCs w:val="24"/>
          <w:shd w:val="clear" w:color="auto" w:fill="FFFFFF"/>
          <w:lang w:val="en-US"/>
        </w:rPr>
        <w:t>. (2017). Biochemical evaluation of Trigonella foenum‑graecum (Fenugreek) with special reference to phenolic acids. Pakistan Journal of Scientific and Industrial Research, Series B: Biological Sciences, 60(3), 154–161</w:t>
      </w:r>
    </w:p>
    <w:p w14:paraId="27DD53A1" w14:textId="20D22E64" w:rsidR="00BD78D0" w:rsidRPr="00BD78D0" w:rsidRDefault="00BD78D0" w:rsidP="003E5817">
      <w:pPr>
        <w:pStyle w:val="Paragraphedeliste"/>
        <w:numPr>
          <w:ilvl w:val="0"/>
          <w:numId w:val="11"/>
        </w:numPr>
        <w:tabs>
          <w:tab w:val="left" w:pos="6173"/>
        </w:tabs>
        <w:spacing w:after="0" w:line="360" w:lineRule="auto"/>
        <w:ind w:left="142" w:hanging="284"/>
        <w:jc w:val="both"/>
        <w:rPr>
          <w:rFonts w:asciiTheme="majorBidi" w:hAnsiTheme="majorBidi" w:cstheme="majorBidi"/>
          <w:sz w:val="24"/>
          <w:szCs w:val="24"/>
          <w:shd w:val="clear" w:color="auto" w:fill="FFFFFF"/>
          <w:lang w:val="en-GB"/>
        </w:rPr>
      </w:pPr>
      <w:r w:rsidRPr="00BD78D0">
        <w:rPr>
          <w:rFonts w:asciiTheme="majorBidi" w:hAnsiTheme="majorBidi" w:cstheme="majorBidi"/>
          <w:b/>
          <w:bCs/>
          <w:sz w:val="24"/>
          <w:szCs w:val="24"/>
          <w:shd w:val="clear" w:color="auto" w:fill="FFFFFF"/>
        </w:rPr>
        <w:t>Patil, S. et Jain, G</w:t>
      </w:r>
      <w:r w:rsidRPr="00BD78D0">
        <w:rPr>
          <w:rFonts w:asciiTheme="majorBidi" w:hAnsiTheme="majorBidi" w:cstheme="majorBidi"/>
          <w:sz w:val="24"/>
          <w:szCs w:val="24"/>
          <w:shd w:val="clear" w:color="auto" w:fill="FFFFFF"/>
        </w:rPr>
        <w:t xml:space="preserve">. (2014). </w:t>
      </w:r>
      <w:r w:rsidRPr="00BD78D0">
        <w:rPr>
          <w:rFonts w:asciiTheme="majorBidi" w:hAnsiTheme="majorBidi" w:cstheme="majorBidi"/>
          <w:sz w:val="24"/>
          <w:szCs w:val="24"/>
          <w:shd w:val="clear" w:color="auto" w:fill="FFFFFF"/>
          <w:lang w:val="en-GB"/>
        </w:rPr>
        <w:t xml:space="preserve">« Holistic approach of Trigonella foenum-graecum in phytochemistry and pharmacology – A review », Current Trends in Technology and Science, vol. 3, no. 1, pp. 34–46. </w:t>
      </w:r>
      <w:r w:rsidR="00A964A9" w:rsidRPr="00BD78D0">
        <w:rPr>
          <w:rFonts w:asciiTheme="majorBidi" w:hAnsiTheme="majorBidi" w:cstheme="majorBidi"/>
          <w:sz w:val="24"/>
          <w:szCs w:val="24"/>
          <w:shd w:val="clear" w:color="auto" w:fill="FFFFFF"/>
        </w:rPr>
        <w:t>ISSN :</w:t>
      </w:r>
      <w:r w:rsidRPr="00BD78D0">
        <w:rPr>
          <w:rFonts w:asciiTheme="majorBidi" w:hAnsiTheme="majorBidi" w:cstheme="majorBidi"/>
          <w:sz w:val="24"/>
          <w:szCs w:val="24"/>
          <w:shd w:val="clear" w:color="auto" w:fill="FFFFFF"/>
        </w:rPr>
        <w:t xml:space="preserve"> 2279-0535.</w:t>
      </w:r>
    </w:p>
    <w:p w14:paraId="70DE00CE" w14:textId="77777777" w:rsidR="00BD78D0" w:rsidRPr="00BD78D0" w:rsidRDefault="00BD78D0" w:rsidP="003E5817">
      <w:pPr>
        <w:pStyle w:val="Paragraphedeliste"/>
        <w:numPr>
          <w:ilvl w:val="0"/>
          <w:numId w:val="11"/>
        </w:numPr>
        <w:tabs>
          <w:tab w:val="left" w:pos="6173"/>
        </w:tabs>
        <w:spacing w:after="0" w:line="360" w:lineRule="auto"/>
        <w:ind w:left="142" w:hanging="284"/>
        <w:jc w:val="both"/>
        <w:rPr>
          <w:rFonts w:asciiTheme="majorBidi" w:hAnsiTheme="majorBidi" w:cstheme="majorBidi"/>
          <w:sz w:val="24"/>
          <w:szCs w:val="24"/>
          <w:shd w:val="clear" w:color="auto" w:fill="FFFFFF"/>
        </w:rPr>
      </w:pPr>
      <w:r w:rsidRPr="00BD78D0">
        <w:rPr>
          <w:rFonts w:asciiTheme="majorBidi" w:hAnsiTheme="majorBidi" w:cstheme="majorBidi"/>
          <w:b/>
          <w:bCs/>
          <w:sz w:val="24"/>
          <w:szCs w:val="24"/>
          <w:shd w:val="clear" w:color="auto" w:fill="FFFFFF"/>
        </w:rPr>
        <w:t>Perisoara, A., Tihauan, B.-M., Pirvu, L., Ene, D. M., Pavel, M., et Cristea, S</w:t>
      </w:r>
      <w:r w:rsidRPr="00BD78D0">
        <w:rPr>
          <w:rFonts w:asciiTheme="majorBidi" w:hAnsiTheme="majorBidi" w:cstheme="majorBidi"/>
          <w:sz w:val="24"/>
          <w:szCs w:val="24"/>
          <w:shd w:val="clear" w:color="auto" w:fill="FFFFFF"/>
        </w:rPr>
        <w:t xml:space="preserve">. (2023). </w:t>
      </w:r>
      <w:r w:rsidRPr="00BD78D0">
        <w:rPr>
          <w:rFonts w:asciiTheme="majorBidi" w:hAnsiTheme="majorBidi" w:cstheme="majorBidi"/>
          <w:sz w:val="24"/>
          <w:szCs w:val="24"/>
          <w:shd w:val="clear" w:color="auto" w:fill="FFFFFF"/>
          <w:lang w:val="en-GB"/>
        </w:rPr>
        <w:t xml:space="preserve">The study of some fenugreek extracts by germination bioassay. Romanian Agricultural Research, (40), 574–583. </w:t>
      </w:r>
      <w:hyperlink r:id="rId107" w:history="1">
        <w:r w:rsidRPr="00BD78D0">
          <w:rPr>
            <w:rStyle w:val="Lienhypertexte"/>
            <w:rFonts w:asciiTheme="majorBidi" w:hAnsiTheme="majorBidi" w:cstheme="majorBidi"/>
            <w:sz w:val="24"/>
            <w:szCs w:val="24"/>
            <w:shd w:val="clear" w:color="auto" w:fill="FFFFFF"/>
            <w:lang w:val="en-GB"/>
          </w:rPr>
          <w:t>https://doi.org/10.59665/rar4054</w:t>
        </w:r>
      </w:hyperlink>
    </w:p>
    <w:p w14:paraId="0FD1DD51" w14:textId="77777777" w:rsidR="00BD78D0" w:rsidRPr="00BD78D0" w:rsidRDefault="00BD78D0" w:rsidP="003E5817">
      <w:pPr>
        <w:pStyle w:val="Paragraphedeliste"/>
        <w:numPr>
          <w:ilvl w:val="0"/>
          <w:numId w:val="11"/>
        </w:numPr>
        <w:tabs>
          <w:tab w:val="left" w:pos="6173"/>
        </w:tabs>
        <w:spacing w:after="0" w:line="360" w:lineRule="auto"/>
        <w:ind w:left="142" w:hanging="284"/>
        <w:jc w:val="both"/>
        <w:rPr>
          <w:rFonts w:asciiTheme="majorBidi" w:hAnsiTheme="majorBidi" w:cstheme="majorBidi"/>
          <w:sz w:val="24"/>
          <w:szCs w:val="24"/>
          <w:shd w:val="clear" w:color="auto" w:fill="FFFFFF"/>
          <w:lang w:val="en-GB"/>
        </w:rPr>
      </w:pPr>
      <w:r w:rsidRPr="00320AF4">
        <w:rPr>
          <w:rFonts w:asciiTheme="majorBidi" w:hAnsiTheme="majorBidi" w:cstheme="majorBidi"/>
          <w:b/>
          <w:bCs/>
          <w:sz w:val="24"/>
          <w:szCs w:val="24"/>
          <w:shd w:val="clear" w:color="auto" w:fill="FFFFFF"/>
        </w:rPr>
        <w:t>Petit, J</w:t>
      </w:r>
      <w:r w:rsidRPr="00320AF4">
        <w:rPr>
          <w:rFonts w:asciiTheme="majorBidi" w:hAnsiTheme="majorBidi" w:cstheme="majorBidi"/>
          <w:sz w:val="24"/>
          <w:szCs w:val="24"/>
          <w:shd w:val="clear" w:color="auto" w:fill="FFFFFF"/>
        </w:rPr>
        <w:t xml:space="preserve">. (2014). Trigonella foenum-graecum L. – Morphological description. </w:t>
      </w:r>
      <w:r w:rsidRPr="00BD78D0">
        <w:rPr>
          <w:rFonts w:asciiTheme="majorBidi" w:hAnsiTheme="majorBidi" w:cstheme="majorBidi"/>
          <w:sz w:val="24"/>
          <w:szCs w:val="24"/>
          <w:shd w:val="clear" w:color="auto" w:fill="FFFFFF"/>
          <w:lang w:val="en-US"/>
        </w:rPr>
        <w:t xml:space="preserve">In </w:t>
      </w:r>
      <w:r w:rsidRPr="00BD78D0">
        <w:rPr>
          <w:rFonts w:asciiTheme="majorBidi" w:hAnsiTheme="majorBidi" w:cstheme="majorBidi"/>
          <w:b/>
          <w:bCs/>
          <w:sz w:val="24"/>
          <w:szCs w:val="24"/>
          <w:shd w:val="clear" w:color="auto" w:fill="FFFFFF"/>
          <w:lang w:val="en-US"/>
        </w:rPr>
        <w:t xml:space="preserve">R. K. Singh et P. B. Sharma </w:t>
      </w:r>
      <w:r w:rsidRPr="00BD78D0">
        <w:rPr>
          <w:rFonts w:asciiTheme="majorBidi" w:hAnsiTheme="majorBidi" w:cstheme="majorBidi"/>
          <w:sz w:val="24"/>
          <w:szCs w:val="24"/>
          <w:shd w:val="clear" w:color="auto" w:fill="FFFFFF"/>
          <w:lang w:val="en-US"/>
        </w:rPr>
        <w:t xml:space="preserve">(Eds.), Genetic resources, chromosome engineering, and crop improvement: Legume crops and forages (Vol. 5, pp. 809–810). </w:t>
      </w:r>
      <w:r w:rsidRPr="00BD78D0">
        <w:rPr>
          <w:rFonts w:asciiTheme="majorBidi" w:hAnsiTheme="majorBidi" w:cstheme="majorBidi"/>
          <w:sz w:val="24"/>
          <w:szCs w:val="24"/>
          <w:shd w:val="clear" w:color="auto" w:fill="FFFFFF"/>
        </w:rPr>
        <w:t>CRC Press.</w:t>
      </w:r>
    </w:p>
    <w:p w14:paraId="01243749" w14:textId="77777777" w:rsidR="00BD78D0" w:rsidRPr="00BD78D0" w:rsidRDefault="00BD78D0" w:rsidP="003E5817">
      <w:pPr>
        <w:pStyle w:val="Paragraphedeliste"/>
        <w:numPr>
          <w:ilvl w:val="0"/>
          <w:numId w:val="11"/>
        </w:numPr>
        <w:tabs>
          <w:tab w:val="left" w:pos="6173"/>
        </w:tabs>
        <w:spacing w:after="0" w:line="360" w:lineRule="auto"/>
        <w:ind w:left="142" w:hanging="284"/>
        <w:jc w:val="both"/>
        <w:rPr>
          <w:rFonts w:asciiTheme="majorBidi" w:hAnsiTheme="majorBidi" w:cstheme="majorBidi"/>
          <w:sz w:val="24"/>
          <w:szCs w:val="24"/>
          <w:shd w:val="clear" w:color="auto" w:fill="FFFFFF"/>
          <w:lang w:val="en-US"/>
        </w:rPr>
      </w:pPr>
      <w:r w:rsidRPr="00BD78D0">
        <w:rPr>
          <w:rFonts w:asciiTheme="majorBidi" w:hAnsiTheme="majorBidi" w:cstheme="majorBidi"/>
          <w:b/>
          <w:bCs/>
          <w:sz w:val="24"/>
          <w:szCs w:val="24"/>
          <w:shd w:val="clear" w:color="auto" w:fill="FFFFFF"/>
        </w:rPr>
        <w:t>Petit-Aldana, J., Noguera-Savelli, E., Cetzal-Ix, W., Solario-Sanchez, F., et Infante-Cruz, A.</w:t>
      </w:r>
      <w:r w:rsidRPr="00BD78D0">
        <w:rPr>
          <w:rFonts w:asciiTheme="majorBidi" w:hAnsiTheme="majorBidi" w:cstheme="majorBidi"/>
          <w:sz w:val="24"/>
          <w:szCs w:val="24"/>
          <w:shd w:val="clear" w:color="auto" w:fill="FFFFFF"/>
        </w:rPr>
        <w:t xml:space="preserve"> (2014). </w:t>
      </w:r>
      <w:r w:rsidRPr="00BD78D0">
        <w:rPr>
          <w:rFonts w:asciiTheme="majorBidi" w:hAnsiTheme="majorBidi" w:cstheme="majorBidi"/>
          <w:sz w:val="24"/>
          <w:szCs w:val="24"/>
          <w:shd w:val="clear" w:color="auto" w:fill="FFFFFF"/>
          <w:lang w:val="en-GB"/>
        </w:rPr>
        <w:t>Productive potential of fenugreek (Fabaceae: Trigonella foenum-graecum L.) in Venezuela. American Journal of Social Issues and Humanities, Fenugreek Special Issue, 96–106</w:t>
      </w:r>
    </w:p>
    <w:p w14:paraId="65698A3D" w14:textId="77777777" w:rsidR="00BD78D0" w:rsidRPr="00BD78D0" w:rsidRDefault="00BD78D0" w:rsidP="003E5817">
      <w:pPr>
        <w:pStyle w:val="Paragraphedeliste"/>
        <w:numPr>
          <w:ilvl w:val="0"/>
          <w:numId w:val="11"/>
        </w:numPr>
        <w:tabs>
          <w:tab w:val="left" w:pos="6173"/>
        </w:tabs>
        <w:spacing w:after="0" w:line="360" w:lineRule="auto"/>
        <w:ind w:left="142" w:hanging="284"/>
        <w:jc w:val="both"/>
        <w:rPr>
          <w:rFonts w:asciiTheme="majorBidi" w:hAnsiTheme="majorBidi" w:cstheme="majorBidi"/>
          <w:sz w:val="24"/>
          <w:szCs w:val="24"/>
          <w:shd w:val="clear" w:color="auto" w:fill="FFFFFF"/>
          <w:lang w:val="en-US"/>
        </w:rPr>
      </w:pPr>
      <w:r w:rsidRPr="00BD78D0">
        <w:rPr>
          <w:rFonts w:asciiTheme="majorBidi" w:hAnsiTheme="majorBidi" w:cstheme="majorBidi"/>
          <w:b/>
          <w:bCs/>
          <w:sz w:val="24"/>
          <w:szCs w:val="24"/>
          <w:shd w:val="clear" w:color="auto" w:fill="FFFFFF"/>
        </w:rPr>
        <w:t>Ponce, A.G., Fritz, R., Del Valle, C., et Roura, S.I. (2003)</w:t>
      </w:r>
      <w:r w:rsidRPr="00BD78D0">
        <w:rPr>
          <w:rFonts w:asciiTheme="majorBidi" w:hAnsiTheme="majorBidi" w:cstheme="majorBidi"/>
          <w:sz w:val="24"/>
          <w:szCs w:val="24"/>
          <w:shd w:val="clear" w:color="auto" w:fill="FFFFFF"/>
        </w:rPr>
        <w:t xml:space="preserve">. </w:t>
      </w:r>
      <w:r w:rsidRPr="00BD78D0">
        <w:rPr>
          <w:rFonts w:asciiTheme="majorBidi" w:hAnsiTheme="majorBidi" w:cstheme="majorBidi"/>
          <w:sz w:val="24"/>
          <w:szCs w:val="24"/>
          <w:shd w:val="clear" w:color="auto" w:fill="FFFFFF"/>
          <w:lang w:val="en-US"/>
        </w:rPr>
        <w:t>Antimicrobial activity of essential oils on the native microflora of organic Swiss chard. LWT-Food Science and Technology, 36(7), 679-684.</w:t>
      </w:r>
    </w:p>
    <w:p w14:paraId="1CE93223" w14:textId="77777777" w:rsidR="00BD78D0" w:rsidRPr="00320AF4" w:rsidRDefault="00BD78D0" w:rsidP="003E5817">
      <w:pPr>
        <w:pStyle w:val="Paragraphedeliste"/>
        <w:numPr>
          <w:ilvl w:val="0"/>
          <w:numId w:val="11"/>
        </w:numPr>
        <w:tabs>
          <w:tab w:val="left" w:pos="6173"/>
        </w:tabs>
        <w:spacing w:after="0" w:line="360" w:lineRule="auto"/>
        <w:ind w:left="142" w:hanging="284"/>
        <w:jc w:val="both"/>
        <w:rPr>
          <w:rFonts w:asciiTheme="majorBidi" w:hAnsiTheme="majorBidi" w:cstheme="majorBidi"/>
          <w:sz w:val="24"/>
          <w:szCs w:val="24"/>
          <w:lang w:val="en-US" w:bidi="ar-DZ"/>
        </w:rPr>
      </w:pPr>
      <w:r w:rsidRPr="00BD78D0">
        <w:rPr>
          <w:rFonts w:asciiTheme="majorBidi" w:hAnsiTheme="majorBidi" w:cstheme="majorBidi"/>
          <w:b/>
          <w:bCs/>
          <w:sz w:val="24"/>
          <w:szCs w:val="24"/>
          <w:shd w:val="clear" w:color="auto" w:fill="FFFFFF"/>
        </w:rPr>
        <w:t>Premanath, R., Sudisha, J., Devi, N. L., et Aradhya, S. M</w:t>
      </w:r>
      <w:r w:rsidRPr="00BD78D0">
        <w:rPr>
          <w:rFonts w:asciiTheme="majorBidi" w:hAnsiTheme="majorBidi" w:cstheme="majorBidi"/>
          <w:sz w:val="24"/>
          <w:szCs w:val="24"/>
          <w:shd w:val="clear" w:color="auto" w:fill="FFFFFF"/>
        </w:rPr>
        <w:t xml:space="preserve">. (2011). </w:t>
      </w:r>
      <w:r w:rsidRPr="00BD78D0">
        <w:rPr>
          <w:rFonts w:asciiTheme="majorBidi" w:hAnsiTheme="majorBidi" w:cstheme="majorBidi"/>
          <w:sz w:val="24"/>
          <w:szCs w:val="24"/>
          <w:shd w:val="clear" w:color="auto" w:fill="FFFFFF"/>
          <w:lang w:val="en-US"/>
        </w:rPr>
        <w:t xml:space="preserve">Antibacterial and Anti-oxidant Activities of Fenugreek (Trigonella foenum graecum L.) Leaves. Research Journal of Medicinal Plant, 5(6), 695–705. </w:t>
      </w:r>
      <w:hyperlink r:id="rId108" w:history="1">
        <w:r w:rsidRPr="00BD78D0">
          <w:rPr>
            <w:rStyle w:val="Lienhypertexte"/>
            <w:rFonts w:asciiTheme="majorBidi" w:hAnsiTheme="majorBidi" w:cstheme="majorBidi"/>
            <w:sz w:val="24"/>
            <w:szCs w:val="24"/>
            <w:shd w:val="clear" w:color="auto" w:fill="FFFFFF"/>
            <w:lang w:val="en-US"/>
          </w:rPr>
          <w:t>https://doi.org/10.3923/rjmp.2011.695.705</w:t>
        </w:r>
      </w:hyperlink>
    </w:p>
    <w:p w14:paraId="39351DD7" w14:textId="77777777" w:rsidR="00BD78D0" w:rsidRPr="00320AF4" w:rsidRDefault="00BD78D0" w:rsidP="003E5817">
      <w:pPr>
        <w:pStyle w:val="Paragraphedeliste"/>
        <w:numPr>
          <w:ilvl w:val="0"/>
          <w:numId w:val="11"/>
        </w:numPr>
        <w:tabs>
          <w:tab w:val="left" w:pos="6173"/>
        </w:tabs>
        <w:spacing w:after="0" w:line="360" w:lineRule="auto"/>
        <w:ind w:left="142" w:hanging="284"/>
        <w:jc w:val="both"/>
        <w:rPr>
          <w:rFonts w:asciiTheme="majorBidi" w:hAnsiTheme="majorBidi" w:cstheme="majorBidi"/>
          <w:sz w:val="24"/>
          <w:szCs w:val="24"/>
        </w:rPr>
      </w:pPr>
      <w:r w:rsidRPr="00320AF4">
        <w:rPr>
          <w:rFonts w:asciiTheme="majorBidi" w:hAnsiTheme="majorBidi" w:cstheme="majorBidi"/>
          <w:b/>
          <w:bCs/>
          <w:sz w:val="24"/>
          <w:szCs w:val="24"/>
          <w:lang w:val="en-US" w:bidi="ar-DZ"/>
        </w:rPr>
        <w:t>Pundarikakshudu K, Shah DH, Panchal AH, Bhavsar GC</w:t>
      </w:r>
      <w:r w:rsidRPr="00320AF4">
        <w:rPr>
          <w:rFonts w:asciiTheme="majorBidi" w:hAnsiTheme="majorBidi" w:cstheme="majorBidi"/>
          <w:sz w:val="24"/>
          <w:szCs w:val="24"/>
          <w:lang w:val="en-US" w:bidi="ar-DZ"/>
        </w:rPr>
        <w:t xml:space="preserve">. </w:t>
      </w:r>
      <w:r w:rsidRPr="00BD78D0">
        <w:rPr>
          <w:rFonts w:asciiTheme="majorBidi" w:hAnsiTheme="majorBidi" w:cstheme="majorBidi"/>
          <w:sz w:val="24"/>
          <w:szCs w:val="24"/>
          <w:lang w:bidi="ar-DZ"/>
        </w:rPr>
        <w:t>(2016). Activité anti-inflammatoire de l'extrait d'éther de pétrole de graines de fenugrec (Trigonella foenum-graecum Linn). Indien J Pharmacol ; 48 : 441-444. Est-ce que je : 10.4103/0253-7613.186195. [DOI] [Article gratuit PMC] [PubMed] [Google Scholar].</w:t>
      </w:r>
    </w:p>
    <w:p w14:paraId="45C692A1" w14:textId="77777777" w:rsidR="00BD78D0" w:rsidRPr="00BD78D0" w:rsidRDefault="00BD78D0" w:rsidP="003E5817">
      <w:pPr>
        <w:pStyle w:val="Paragraphedeliste"/>
        <w:numPr>
          <w:ilvl w:val="0"/>
          <w:numId w:val="11"/>
        </w:numPr>
        <w:tabs>
          <w:tab w:val="left" w:pos="6173"/>
        </w:tabs>
        <w:spacing w:after="0" w:line="360" w:lineRule="auto"/>
        <w:ind w:left="142" w:hanging="284"/>
        <w:jc w:val="both"/>
        <w:rPr>
          <w:rFonts w:asciiTheme="majorBidi" w:hAnsiTheme="majorBidi" w:cstheme="majorBidi"/>
          <w:sz w:val="24"/>
          <w:szCs w:val="24"/>
          <w:lang w:val="en-US"/>
        </w:rPr>
      </w:pPr>
      <w:r w:rsidRPr="00BD78D0">
        <w:rPr>
          <w:rFonts w:asciiTheme="majorBidi" w:hAnsiTheme="majorBidi" w:cstheme="majorBidi"/>
          <w:b/>
          <w:bCs/>
          <w:sz w:val="24"/>
          <w:szCs w:val="24"/>
          <w:lang w:val="en-US"/>
        </w:rPr>
        <w:t>Puneet Sudan et al</w:t>
      </w:r>
      <w:r w:rsidRPr="00BD78D0">
        <w:rPr>
          <w:rFonts w:asciiTheme="majorBidi" w:hAnsiTheme="majorBidi" w:cstheme="majorBidi"/>
          <w:sz w:val="24"/>
          <w:szCs w:val="24"/>
          <w:lang w:val="en-US"/>
        </w:rPr>
        <w:t>. (2019). Antifungal potential of fenugreek seeds (Trigonella foenum-Graecum) crude Extract against Microsporum gypseum, International journal of Research in pharmaceutical sciences, DOI: org/10.26452/</w:t>
      </w:r>
      <w:proofErr w:type="gramStart"/>
      <w:r w:rsidRPr="00BD78D0">
        <w:rPr>
          <w:rFonts w:asciiTheme="majorBidi" w:hAnsiTheme="majorBidi" w:cstheme="majorBidi"/>
          <w:sz w:val="24"/>
          <w:szCs w:val="24"/>
          <w:lang w:val="en-US"/>
        </w:rPr>
        <w:t>ljrps.v</w:t>
      </w:r>
      <w:proofErr w:type="gramEnd"/>
      <w:r w:rsidRPr="00BD78D0">
        <w:rPr>
          <w:rFonts w:asciiTheme="majorBidi" w:hAnsiTheme="majorBidi" w:cstheme="majorBidi"/>
          <w:sz w:val="24"/>
          <w:szCs w:val="24"/>
          <w:lang w:val="en-US"/>
        </w:rPr>
        <w:t>11l1.1870</w:t>
      </w:r>
    </w:p>
    <w:p w14:paraId="6DF3F5F0" w14:textId="77777777" w:rsidR="00BD78D0" w:rsidRPr="00320AF4" w:rsidRDefault="00BD78D0" w:rsidP="003E5817">
      <w:pPr>
        <w:pStyle w:val="Paragraphedeliste"/>
        <w:numPr>
          <w:ilvl w:val="0"/>
          <w:numId w:val="11"/>
        </w:numPr>
        <w:tabs>
          <w:tab w:val="left" w:pos="6173"/>
        </w:tabs>
        <w:spacing w:after="0" w:line="360" w:lineRule="auto"/>
        <w:ind w:left="142" w:hanging="284"/>
        <w:jc w:val="both"/>
        <w:rPr>
          <w:rFonts w:asciiTheme="majorBidi" w:hAnsiTheme="majorBidi" w:cstheme="majorBidi"/>
          <w:sz w:val="24"/>
          <w:szCs w:val="24"/>
          <w:lang w:bidi="ar-DZ"/>
        </w:rPr>
      </w:pPr>
      <w:r w:rsidRPr="00BD78D0">
        <w:rPr>
          <w:rFonts w:asciiTheme="majorBidi" w:hAnsiTheme="majorBidi" w:cstheme="majorBidi"/>
          <w:b/>
          <w:bCs/>
          <w:sz w:val="24"/>
          <w:szCs w:val="24"/>
        </w:rPr>
        <w:t>Qiuyu, Z., et al</w:t>
      </w:r>
      <w:r w:rsidRPr="00BD78D0">
        <w:rPr>
          <w:rFonts w:asciiTheme="majorBidi" w:hAnsiTheme="majorBidi" w:cstheme="majorBidi"/>
          <w:sz w:val="24"/>
          <w:szCs w:val="24"/>
        </w:rPr>
        <w:t xml:space="preserve">. (2024). Des analyses métabolomiques et transcriptomiques révélent lemécanisme moléculaire sous-jacent à l’accumulation massive des métabolites secondaires </w:t>
      </w:r>
      <w:r w:rsidRPr="00BD78D0">
        <w:rPr>
          <w:rFonts w:asciiTheme="majorBidi" w:hAnsiTheme="majorBidi" w:cstheme="majorBidi"/>
          <w:sz w:val="24"/>
          <w:szCs w:val="24"/>
        </w:rPr>
        <w:lastRenderedPageBreak/>
        <w:t>dans les graines de fenugrec (Trigonella foenum-Graecum L) ,15(3) : 343.doi :10.3390/gènes 15030343.</w:t>
      </w:r>
    </w:p>
    <w:p w14:paraId="432EF505" w14:textId="77777777" w:rsidR="00BD78D0" w:rsidRPr="00BD78D0" w:rsidRDefault="00BD78D0" w:rsidP="003E5817">
      <w:pPr>
        <w:pStyle w:val="Paragraphedeliste"/>
        <w:numPr>
          <w:ilvl w:val="0"/>
          <w:numId w:val="11"/>
        </w:numPr>
        <w:tabs>
          <w:tab w:val="left" w:pos="6173"/>
        </w:tabs>
        <w:spacing w:after="0" w:line="360" w:lineRule="auto"/>
        <w:ind w:left="142" w:hanging="284"/>
        <w:jc w:val="both"/>
        <w:rPr>
          <w:rFonts w:asciiTheme="majorBidi" w:hAnsiTheme="majorBidi" w:cstheme="majorBidi"/>
          <w:sz w:val="24"/>
          <w:szCs w:val="24"/>
          <w:shd w:val="clear" w:color="auto" w:fill="FFFFFF"/>
          <w:lang w:val="en-US"/>
        </w:rPr>
      </w:pPr>
      <w:r w:rsidRPr="00BD78D0">
        <w:rPr>
          <w:rFonts w:asciiTheme="majorBidi" w:hAnsiTheme="majorBidi" w:cstheme="majorBidi"/>
          <w:b/>
          <w:bCs/>
          <w:sz w:val="24"/>
          <w:szCs w:val="24"/>
          <w:shd w:val="clear" w:color="auto" w:fill="FFFFFF"/>
          <w:lang w:val="en-GB"/>
        </w:rPr>
        <w:t>Rafieian-Kopaei, M</w:t>
      </w:r>
      <w:r w:rsidRPr="00BD78D0">
        <w:rPr>
          <w:rFonts w:asciiTheme="majorBidi" w:hAnsiTheme="majorBidi" w:cstheme="majorBidi"/>
          <w:sz w:val="24"/>
          <w:szCs w:val="24"/>
          <w:shd w:val="clear" w:color="auto" w:fill="FFFFFF"/>
          <w:lang w:val="en-GB"/>
        </w:rPr>
        <w:t xml:space="preserve">. (2012). Medicinal plants and the human needs. Journal of HerbMed Pharmacology, 1(1), 1–2. Retrieved from </w:t>
      </w:r>
      <w:hyperlink r:id="rId109" w:history="1">
        <w:r w:rsidRPr="00BD78D0">
          <w:rPr>
            <w:rStyle w:val="Lienhypertexte"/>
            <w:rFonts w:asciiTheme="majorBidi" w:hAnsiTheme="majorBidi" w:cstheme="majorBidi"/>
            <w:sz w:val="24"/>
            <w:szCs w:val="24"/>
            <w:shd w:val="clear" w:color="auto" w:fill="FFFFFF"/>
            <w:lang w:val="en-GB"/>
          </w:rPr>
          <w:t>http://www.herbmedpharmacol.com</w:t>
        </w:r>
      </w:hyperlink>
    </w:p>
    <w:p w14:paraId="7B7A8BF7" w14:textId="77777777" w:rsidR="00BD78D0" w:rsidRPr="00BD78D0" w:rsidRDefault="00BD78D0" w:rsidP="003E5817">
      <w:pPr>
        <w:pStyle w:val="Paragraphedeliste"/>
        <w:numPr>
          <w:ilvl w:val="0"/>
          <w:numId w:val="11"/>
        </w:numPr>
        <w:tabs>
          <w:tab w:val="left" w:pos="6173"/>
        </w:tabs>
        <w:spacing w:after="0" w:line="360" w:lineRule="auto"/>
        <w:ind w:left="142" w:hanging="284"/>
        <w:jc w:val="both"/>
      </w:pPr>
      <w:r w:rsidRPr="00BD78D0">
        <w:rPr>
          <w:rFonts w:asciiTheme="majorBidi" w:hAnsiTheme="majorBidi" w:cstheme="majorBidi"/>
          <w:b/>
          <w:bCs/>
          <w:sz w:val="24"/>
          <w:szCs w:val="24"/>
          <w:shd w:val="clear" w:color="auto" w:fill="FFFFFF"/>
          <w:lang w:val="en-US"/>
        </w:rPr>
        <w:t xml:space="preserve">Rahmani, M.et </w:t>
      </w:r>
      <w:r w:rsidRPr="00BD78D0">
        <w:rPr>
          <w:rFonts w:asciiTheme="majorBidi" w:hAnsiTheme="majorBidi" w:cstheme="majorBidi"/>
          <w:b/>
          <w:bCs/>
          <w:i/>
          <w:iCs/>
          <w:sz w:val="24"/>
          <w:szCs w:val="24"/>
          <w:shd w:val="clear" w:color="auto" w:fill="FFFFFF"/>
          <w:lang w:val="en-US"/>
        </w:rPr>
        <w:t>al</w:t>
      </w:r>
      <w:r w:rsidRPr="00BD78D0">
        <w:rPr>
          <w:rFonts w:asciiTheme="majorBidi" w:hAnsiTheme="majorBidi" w:cstheme="majorBidi"/>
          <w:b/>
          <w:bCs/>
          <w:sz w:val="24"/>
          <w:szCs w:val="24"/>
          <w:shd w:val="clear" w:color="auto" w:fill="FFFFFF"/>
          <w:lang w:val="en-US"/>
        </w:rPr>
        <w:t>.</w:t>
      </w:r>
      <w:r w:rsidRPr="00BD78D0">
        <w:rPr>
          <w:rFonts w:asciiTheme="majorBidi" w:hAnsiTheme="majorBidi" w:cstheme="majorBidi"/>
          <w:sz w:val="24"/>
          <w:szCs w:val="24"/>
          <w:shd w:val="clear" w:color="auto" w:fill="FFFFFF"/>
          <w:lang w:val="en-US"/>
        </w:rPr>
        <w:t xml:space="preserve">(2015). </w:t>
      </w:r>
      <w:r w:rsidRPr="00BD78D0">
        <w:rPr>
          <w:rFonts w:asciiTheme="majorBidi" w:hAnsiTheme="majorBidi" w:cs="Times New Roman" w:hint="cs"/>
          <w:sz w:val="24"/>
          <w:szCs w:val="24"/>
          <w:shd w:val="clear" w:color="auto" w:fill="FFFFFF"/>
          <w:lang w:val="en-US"/>
        </w:rPr>
        <w:t>Proximate</w:t>
      </w:r>
      <w:r w:rsidRPr="00BD78D0">
        <w:rPr>
          <w:rFonts w:asciiTheme="majorBidi" w:hAnsiTheme="majorBidi" w:cstheme="majorBidi"/>
          <w:sz w:val="24"/>
          <w:szCs w:val="24"/>
          <w:shd w:val="clear" w:color="auto" w:fill="FFFFFF"/>
          <w:lang w:val="en-US"/>
        </w:rPr>
        <w:t xml:space="preserve"> composition crude cellulose and minerals of Trigonella foenum- Graecum L. Seeds cultured in West Algeria</w:t>
      </w:r>
      <w:r w:rsidRPr="00BD78D0">
        <w:rPr>
          <w:rFonts w:asciiTheme="majorBidi" w:hAnsiTheme="majorBidi" w:cs="Times New Roman"/>
          <w:sz w:val="24"/>
          <w:szCs w:val="24"/>
          <w:shd w:val="clear" w:color="auto" w:fill="FFFFFF"/>
          <w:lang w:val="en-US"/>
        </w:rPr>
        <w:t>.</w:t>
      </w:r>
      <w:r w:rsidRPr="00BD78D0">
        <w:rPr>
          <w:rFonts w:asciiTheme="majorBidi" w:hAnsiTheme="majorBidi" w:cstheme="majorBidi"/>
          <w:sz w:val="24"/>
          <w:szCs w:val="24"/>
          <w:shd w:val="clear" w:color="auto" w:fill="FFFFFF"/>
          <w:lang w:val="en-US"/>
        </w:rPr>
        <w:t xml:space="preserve"> Global journal of medicinal plant research, 2(4) pp., 1-4.</w:t>
      </w:r>
    </w:p>
    <w:p w14:paraId="27588A0E" w14:textId="77777777" w:rsidR="00BD78D0" w:rsidRPr="00BD78D0" w:rsidRDefault="00BD78D0" w:rsidP="003E5817">
      <w:pPr>
        <w:pStyle w:val="Paragraphedeliste"/>
        <w:numPr>
          <w:ilvl w:val="0"/>
          <w:numId w:val="11"/>
        </w:numPr>
        <w:tabs>
          <w:tab w:val="left" w:pos="6173"/>
        </w:tabs>
        <w:spacing w:after="0" w:line="360" w:lineRule="auto"/>
        <w:ind w:left="142" w:hanging="284"/>
        <w:jc w:val="both"/>
        <w:rPr>
          <w:rFonts w:asciiTheme="majorBidi" w:hAnsiTheme="majorBidi" w:cstheme="majorBidi"/>
          <w:sz w:val="24"/>
          <w:szCs w:val="24"/>
          <w:shd w:val="clear" w:color="auto" w:fill="FFFFFF"/>
          <w:lang w:val="en-GB"/>
        </w:rPr>
      </w:pPr>
      <w:r w:rsidRPr="00BD78D0">
        <w:rPr>
          <w:b/>
          <w:bCs/>
          <w:lang w:val="en-US"/>
        </w:rPr>
        <w:t xml:space="preserve"> </w:t>
      </w:r>
      <w:r w:rsidRPr="00BD78D0">
        <w:rPr>
          <w:rFonts w:asciiTheme="majorBidi" w:hAnsiTheme="majorBidi" w:cstheme="majorBidi"/>
          <w:b/>
          <w:bCs/>
          <w:sz w:val="24"/>
          <w:szCs w:val="24"/>
          <w:lang w:val="en-US"/>
        </w:rPr>
        <w:t>Rizwana, H</w:t>
      </w:r>
      <w:r w:rsidRPr="00BD78D0">
        <w:rPr>
          <w:rFonts w:asciiTheme="majorBidi" w:hAnsiTheme="majorBidi" w:cstheme="majorBidi"/>
          <w:sz w:val="24"/>
          <w:szCs w:val="24"/>
          <w:lang w:val="en-US"/>
        </w:rPr>
        <w:t xml:space="preserve">. (2018). Postharvest control of anthracnose lesions and its causative agent Colletotrichum musae by some oils. </w:t>
      </w:r>
      <w:hyperlink r:id="rId110" w:history="1">
        <w:r w:rsidRPr="00BD78D0">
          <w:rPr>
            <w:rStyle w:val="Lienhypertexte"/>
            <w:rFonts w:asciiTheme="majorBidi" w:hAnsiTheme="majorBidi" w:cstheme="majorBidi"/>
            <w:sz w:val="24"/>
            <w:szCs w:val="24"/>
          </w:rPr>
          <w:t>http://dx.doi.org/10.14715/cmb/2018.64.9.9</w:t>
        </w:r>
      </w:hyperlink>
    </w:p>
    <w:p w14:paraId="0AB4F05D" w14:textId="77777777" w:rsidR="00BD78D0" w:rsidRPr="00320AF4" w:rsidRDefault="00BD78D0" w:rsidP="003E5817">
      <w:pPr>
        <w:pStyle w:val="Paragraphedeliste"/>
        <w:numPr>
          <w:ilvl w:val="0"/>
          <w:numId w:val="11"/>
        </w:numPr>
        <w:tabs>
          <w:tab w:val="left" w:pos="6173"/>
        </w:tabs>
        <w:spacing w:after="0" w:line="360" w:lineRule="auto"/>
        <w:ind w:left="142" w:hanging="284"/>
        <w:jc w:val="both"/>
        <w:rPr>
          <w:rFonts w:asciiTheme="majorBidi" w:hAnsiTheme="majorBidi" w:cstheme="majorBidi"/>
          <w:sz w:val="24"/>
          <w:szCs w:val="24"/>
          <w:shd w:val="clear" w:color="auto" w:fill="FFFFFF"/>
          <w:lang w:val="en-US"/>
        </w:rPr>
      </w:pPr>
      <w:r w:rsidRPr="00BD78D0">
        <w:rPr>
          <w:rFonts w:asciiTheme="majorBidi" w:hAnsiTheme="majorBidi" w:cstheme="majorBidi"/>
          <w:b/>
          <w:bCs/>
          <w:sz w:val="24"/>
          <w:szCs w:val="24"/>
          <w:shd w:val="clear" w:color="auto" w:fill="FFFFFF"/>
        </w:rPr>
        <w:t>Ruwali, P., Pandey, N., Jindal, K., et Singh, R. V.</w:t>
      </w:r>
      <w:r w:rsidRPr="00BD78D0">
        <w:rPr>
          <w:rFonts w:asciiTheme="majorBidi" w:hAnsiTheme="majorBidi" w:cstheme="majorBidi"/>
          <w:sz w:val="24"/>
          <w:szCs w:val="24"/>
          <w:shd w:val="clear" w:color="auto" w:fill="FFFFFF"/>
        </w:rPr>
        <w:t xml:space="preserve"> (2022). </w:t>
      </w:r>
      <w:r w:rsidRPr="00BD78D0">
        <w:rPr>
          <w:rFonts w:asciiTheme="majorBidi" w:hAnsiTheme="majorBidi" w:cstheme="majorBidi"/>
          <w:sz w:val="24"/>
          <w:szCs w:val="24"/>
          <w:shd w:val="clear" w:color="auto" w:fill="FFFFFF"/>
          <w:lang w:val="en-GB"/>
        </w:rPr>
        <w:t xml:space="preserve">Fenugreek (Trigonella foenum-graecum): Nutraceutical values, phytochemical, ethnomedicinal and pharmacological overview. South African Journal of Botany, 151, 423–431. </w:t>
      </w:r>
      <w:hyperlink r:id="rId111" w:history="1">
        <w:r w:rsidRPr="00BD78D0">
          <w:rPr>
            <w:rStyle w:val="Lienhypertexte"/>
            <w:rFonts w:asciiTheme="majorBidi" w:hAnsiTheme="majorBidi" w:cstheme="majorBidi"/>
            <w:sz w:val="24"/>
            <w:szCs w:val="24"/>
            <w:shd w:val="clear" w:color="auto" w:fill="FFFFFF"/>
            <w:lang w:val="en-GB"/>
          </w:rPr>
          <w:t>https://doi.org/10.1016/j.sajb.2022.04.014</w:t>
        </w:r>
      </w:hyperlink>
    </w:p>
    <w:p w14:paraId="5A75D8E1" w14:textId="77777777" w:rsidR="00BD78D0" w:rsidRPr="00BD78D0" w:rsidRDefault="00BD78D0" w:rsidP="003E5817">
      <w:pPr>
        <w:pStyle w:val="Paragraphedeliste"/>
        <w:numPr>
          <w:ilvl w:val="0"/>
          <w:numId w:val="11"/>
        </w:numPr>
        <w:tabs>
          <w:tab w:val="left" w:pos="6173"/>
        </w:tabs>
        <w:spacing w:after="0" w:line="360" w:lineRule="auto"/>
        <w:ind w:left="142" w:hanging="284"/>
        <w:jc w:val="both"/>
        <w:rPr>
          <w:rFonts w:asciiTheme="majorBidi" w:hAnsiTheme="majorBidi" w:cstheme="majorBidi"/>
          <w:sz w:val="24"/>
          <w:szCs w:val="24"/>
          <w:shd w:val="clear" w:color="auto" w:fill="FFFFFF"/>
        </w:rPr>
      </w:pPr>
      <w:r w:rsidRPr="00BD78D0">
        <w:rPr>
          <w:rFonts w:asciiTheme="majorBidi" w:hAnsiTheme="majorBidi" w:cstheme="majorBidi"/>
          <w:b/>
          <w:bCs/>
          <w:sz w:val="24"/>
          <w:szCs w:val="24"/>
          <w:shd w:val="clear" w:color="auto" w:fill="FFFFFF"/>
        </w:rPr>
        <w:t>Salah Djedaia</w:t>
      </w:r>
      <w:r w:rsidRPr="00BD78D0">
        <w:rPr>
          <w:rFonts w:asciiTheme="majorBidi" w:hAnsiTheme="majorBidi" w:cstheme="majorBidi"/>
          <w:sz w:val="24"/>
          <w:szCs w:val="24"/>
          <w:shd w:val="clear" w:color="auto" w:fill="FFFFFF"/>
        </w:rPr>
        <w:t>, étude physico-chimique et caractérisation de plante lentisque pistacia L. (2017).</w:t>
      </w:r>
    </w:p>
    <w:p w14:paraId="760E194F" w14:textId="77777777" w:rsidR="00BD78D0" w:rsidRPr="00BD78D0" w:rsidRDefault="00BD78D0" w:rsidP="003E5817">
      <w:pPr>
        <w:pStyle w:val="Paragraphedeliste"/>
        <w:numPr>
          <w:ilvl w:val="0"/>
          <w:numId w:val="11"/>
        </w:numPr>
        <w:tabs>
          <w:tab w:val="left" w:pos="6173"/>
        </w:tabs>
        <w:spacing w:after="0" w:line="360" w:lineRule="auto"/>
        <w:ind w:left="142" w:hanging="284"/>
        <w:jc w:val="both"/>
        <w:rPr>
          <w:rFonts w:asciiTheme="majorBidi" w:hAnsiTheme="majorBidi" w:cstheme="majorBidi"/>
          <w:sz w:val="24"/>
          <w:szCs w:val="24"/>
          <w:shd w:val="clear" w:color="auto" w:fill="FFFFFF"/>
          <w:lang w:val="en-US"/>
        </w:rPr>
      </w:pPr>
      <w:r w:rsidRPr="00BD78D0">
        <w:rPr>
          <w:rFonts w:asciiTheme="majorBidi" w:hAnsiTheme="majorBidi" w:cstheme="majorBidi"/>
          <w:b/>
          <w:bCs/>
          <w:sz w:val="24"/>
          <w:szCs w:val="24"/>
          <w:shd w:val="clear" w:color="auto" w:fill="FFFFFF"/>
          <w:lang w:val="en-GB"/>
        </w:rPr>
        <w:t>Sarwar, S., Hanif, M. A., Ayub, M. A., Boakye, Y. D., et Agyare, C</w:t>
      </w:r>
      <w:r w:rsidRPr="00BD78D0">
        <w:rPr>
          <w:rFonts w:asciiTheme="majorBidi" w:hAnsiTheme="majorBidi" w:cstheme="majorBidi"/>
          <w:sz w:val="24"/>
          <w:szCs w:val="24"/>
          <w:shd w:val="clear" w:color="auto" w:fill="FFFFFF"/>
          <w:lang w:val="en-GB"/>
        </w:rPr>
        <w:t xml:space="preserve">. (2019). Fenugreek. In M. A. Hanif, H. Nawaz, M. M. Khan, &amp; H. J. Byrne (Eds.), Medicinal Plants of South Asia: Novel Sources for Drug Discovery (pp. 258–273). Elsevier. </w:t>
      </w:r>
      <w:hyperlink r:id="rId112" w:history="1">
        <w:r w:rsidRPr="00BD78D0">
          <w:rPr>
            <w:rStyle w:val="Lienhypertexte"/>
            <w:rFonts w:asciiTheme="majorBidi" w:hAnsiTheme="majorBidi" w:cstheme="majorBidi"/>
            <w:sz w:val="24"/>
            <w:szCs w:val="24"/>
            <w:shd w:val="clear" w:color="auto" w:fill="FFFFFF"/>
            <w:lang w:val="en-GB"/>
          </w:rPr>
          <w:t>https://doi.org/10.1016/B978-0-08-102659-5.00020-3</w:t>
        </w:r>
      </w:hyperlink>
    </w:p>
    <w:p w14:paraId="15EDE948" w14:textId="77777777" w:rsidR="00BD78D0" w:rsidRPr="00BD78D0" w:rsidRDefault="00BD78D0" w:rsidP="003E5817">
      <w:pPr>
        <w:pStyle w:val="Paragraphedeliste"/>
        <w:numPr>
          <w:ilvl w:val="0"/>
          <w:numId w:val="11"/>
        </w:numPr>
        <w:tabs>
          <w:tab w:val="left" w:pos="6173"/>
        </w:tabs>
        <w:spacing w:after="0" w:line="360" w:lineRule="auto"/>
        <w:ind w:left="142" w:hanging="284"/>
        <w:jc w:val="both"/>
        <w:rPr>
          <w:rFonts w:asciiTheme="majorBidi" w:hAnsiTheme="majorBidi" w:cstheme="majorBidi"/>
          <w:sz w:val="24"/>
          <w:szCs w:val="24"/>
          <w:shd w:val="clear" w:color="auto" w:fill="FFFFFF"/>
          <w:lang w:val="en-GB"/>
        </w:rPr>
      </w:pPr>
      <w:r w:rsidRPr="00BD78D0">
        <w:rPr>
          <w:rFonts w:asciiTheme="majorBidi" w:hAnsiTheme="majorBidi" w:cstheme="majorBidi"/>
          <w:b/>
          <w:bCs/>
          <w:sz w:val="24"/>
          <w:szCs w:val="24"/>
          <w:shd w:val="clear" w:color="auto" w:fill="FFFFFF"/>
          <w:lang w:val="en-US"/>
        </w:rPr>
        <w:t>Saxena, S. N., Karwa, S., Saxena, R., Sharma, Y. K., et others</w:t>
      </w:r>
      <w:r w:rsidRPr="00BD78D0">
        <w:rPr>
          <w:rFonts w:asciiTheme="majorBidi" w:hAnsiTheme="majorBidi" w:cstheme="majorBidi"/>
          <w:sz w:val="24"/>
          <w:szCs w:val="24"/>
          <w:shd w:val="clear" w:color="auto" w:fill="FFFFFF"/>
          <w:lang w:val="en-US"/>
        </w:rPr>
        <w:t xml:space="preserve">. (2011). Analysis of antioxidant activity, phenolic and flavonoids content of fenugreek (Trigonella foenum-graecum L.) seed extracts. International Journal of Seed Spices, 1(1), 38–43. Retrieved from </w:t>
      </w:r>
      <w:hyperlink r:id="rId113" w:history="1">
        <w:r w:rsidRPr="00BD78D0">
          <w:rPr>
            <w:rStyle w:val="Lienhypertexte"/>
            <w:rFonts w:asciiTheme="majorBidi" w:hAnsiTheme="majorBidi" w:cstheme="majorBidi"/>
            <w:sz w:val="24"/>
            <w:szCs w:val="24"/>
            <w:shd w:val="clear" w:color="auto" w:fill="FFFFFF"/>
            <w:lang w:val="en-US"/>
          </w:rPr>
          <w:t>https://www.researchgate.net/publication/232715847</w:t>
        </w:r>
      </w:hyperlink>
    </w:p>
    <w:p w14:paraId="631B331D" w14:textId="77777777" w:rsidR="00BD78D0" w:rsidRPr="00BD78D0" w:rsidRDefault="00BD78D0" w:rsidP="003E5817">
      <w:pPr>
        <w:pStyle w:val="Paragraphedeliste"/>
        <w:numPr>
          <w:ilvl w:val="0"/>
          <w:numId w:val="11"/>
        </w:numPr>
        <w:tabs>
          <w:tab w:val="left" w:pos="6173"/>
        </w:tabs>
        <w:spacing w:after="0" w:line="360" w:lineRule="auto"/>
        <w:ind w:left="142" w:hanging="284"/>
        <w:jc w:val="both"/>
        <w:rPr>
          <w:rFonts w:asciiTheme="majorBidi" w:hAnsiTheme="majorBidi" w:cstheme="majorBidi"/>
          <w:sz w:val="24"/>
          <w:szCs w:val="24"/>
          <w:shd w:val="clear" w:color="auto" w:fill="FFFFFF"/>
          <w:lang w:val="en-GB"/>
        </w:rPr>
      </w:pPr>
      <w:r w:rsidRPr="00BD78D0">
        <w:rPr>
          <w:rFonts w:asciiTheme="majorBidi" w:hAnsiTheme="majorBidi" w:cstheme="majorBidi"/>
          <w:b/>
          <w:bCs/>
          <w:sz w:val="24"/>
          <w:szCs w:val="24"/>
          <w:shd w:val="clear" w:color="auto" w:fill="FFFFFF"/>
          <w:lang w:val="en-US"/>
        </w:rPr>
        <w:t xml:space="preserve"> Shaheen, C., Ahmad, I. A., Aslam, R., Naz, S., Mushtaq, S., Ahmed, S., Nawaz, A., Saeed, S., Qadir, M. F., Ashraf, M. A., Ahamed, M. S., Iqbal, D., Ansar, S., Riaz, R., Abubakar, M., et Riaz, T. </w:t>
      </w:r>
      <w:r w:rsidRPr="00BD78D0">
        <w:rPr>
          <w:rFonts w:asciiTheme="majorBidi" w:hAnsiTheme="majorBidi" w:cstheme="majorBidi"/>
          <w:sz w:val="24"/>
          <w:szCs w:val="24"/>
          <w:shd w:val="clear" w:color="auto" w:fill="FFFFFF"/>
          <w:lang w:val="en-US"/>
        </w:rPr>
        <w:t xml:space="preserve">(2024). A review of therapeutic and medicinal uses of Fenugreek (Trigonella foenum-graecum L.). Journal for Research in Applied Sciences and Biotechnology, 3(5), 39–50. </w:t>
      </w:r>
      <w:hyperlink r:id="rId114" w:history="1">
        <w:r w:rsidRPr="00BD78D0">
          <w:rPr>
            <w:rStyle w:val="Lienhypertexte"/>
            <w:rFonts w:asciiTheme="majorBidi" w:hAnsiTheme="majorBidi" w:cstheme="majorBidi"/>
            <w:sz w:val="24"/>
            <w:szCs w:val="24"/>
            <w:shd w:val="clear" w:color="auto" w:fill="FFFFFF"/>
            <w:lang w:val="en-US"/>
          </w:rPr>
          <w:t>https://doi.org/10.55544/jrasb.3.5.8</w:t>
        </w:r>
      </w:hyperlink>
    </w:p>
    <w:p w14:paraId="2584D613" w14:textId="77777777" w:rsidR="00BD78D0" w:rsidRPr="00BD78D0" w:rsidRDefault="00BD78D0" w:rsidP="003E5817">
      <w:pPr>
        <w:pStyle w:val="Paragraphedeliste"/>
        <w:numPr>
          <w:ilvl w:val="0"/>
          <w:numId w:val="11"/>
        </w:numPr>
        <w:tabs>
          <w:tab w:val="left" w:pos="6173"/>
        </w:tabs>
        <w:spacing w:after="0" w:line="360" w:lineRule="auto"/>
        <w:ind w:left="142" w:hanging="284"/>
        <w:jc w:val="both"/>
        <w:rPr>
          <w:rFonts w:asciiTheme="majorBidi" w:hAnsiTheme="majorBidi" w:cstheme="majorBidi"/>
          <w:sz w:val="24"/>
          <w:szCs w:val="24"/>
          <w:shd w:val="clear" w:color="auto" w:fill="FFFFFF"/>
          <w:lang w:val="en-GB"/>
        </w:rPr>
      </w:pPr>
      <w:r w:rsidRPr="00BD78D0">
        <w:rPr>
          <w:rFonts w:asciiTheme="majorBidi" w:hAnsiTheme="majorBidi" w:cstheme="majorBidi"/>
          <w:b/>
          <w:bCs/>
          <w:sz w:val="24"/>
          <w:szCs w:val="24"/>
          <w:shd w:val="clear" w:color="auto" w:fill="FFFFFF"/>
        </w:rPr>
        <w:t>Shashikumar, J. N., Champawat, P. S., Mudgal, V. D., et Jain, S. K</w:t>
      </w:r>
      <w:r w:rsidRPr="00BD78D0">
        <w:rPr>
          <w:rFonts w:asciiTheme="majorBidi" w:hAnsiTheme="majorBidi" w:cstheme="majorBidi"/>
          <w:sz w:val="24"/>
          <w:szCs w:val="24"/>
          <w:shd w:val="clear" w:color="auto" w:fill="FFFFFF"/>
        </w:rPr>
        <w:t xml:space="preserve">. (2019). </w:t>
      </w:r>
      <w:r w:rsidRPr="00BD78D0">
        <w:rPr>
          <w:rFonts w:asciiTheme="majorBidi" w:hAnsiTheme="majorBidi" w:cstheme="majorBidi"/>
          <w:sz w:val="24"/>
          <w:szCs w:val="24"/>
          <w:shd w:val="clear" w:color="auto" w:fill="FFFFFF"/>
          <w:lang w:val="en-GB"/>
        </w:rPr>
        <w:t>Role of fenugreek (Trigonella foenum graecum) in management of diabetes disease. Journal of Pharmacognosy and Phytochemistry, 8(4), 184–187.</w:t>
      </w:r>
    </w:p>
    <w:p w14:paraId="74155803" w14:textId="77777777" w:rsidR="00BD78D0" w:rsidRPr="00BD78D0" w:rsidRDefault="00BD78D0" w:rsidP="003E5817">
      <w:pPr>
        <w:pStyle w:val="Paragraphedeliste"/>
        <w:numPr>
          <w:ilvl w:val="0"/>
          <w:numId w:val="11"/>
        </w:numPr>
        <w:tabs>
          <w:tab w:val="left" w:pos="6173"/>
        </w:tabs>
        <w:spacing w:after="0" w:line="360" w:lineRule="auto"/>
        <w:ind w:left="142" w:hanging="284"/>
        <w:jc w:val="both"/>
        <w:rPr>
          <w:rFonts w:asciiTheme="majorBidi" w:hAnsiTheme="majorBidi" w:cstheme="majorBidi"/>
          <w:sz w:val="24"/>
          <w:szCs w:val="24"/>
          <w:shd w:val="clear" w:color="auto" w:fill="FFFFFF"/>
          <w:lang w:val="en-GB"/>
        </w:rPr>
      </w:pPr>
      <w:r w:rsidRPr="00BD78D0">
        <w:rPr>
          <w:rFonts w:asciiTheme="majorBidi" w:hAnsiTheme="majorBidi" w:cstheme="majorBidi"/>
          <w:b/>
          <w:bCs/>
          <w:sz w:val="24"/>
          <w:szCs w:val="24"/>
          <w:shd w:val="clear" w:color="auto" w:fill="FFFFFF"/>
          <w:lang w:val="en-GB"/>
        </w:rPr>
        <w:lastRenderedPageBreak/>
        <w:t>Shashikumar, J. N., Champawat, P. S., Mudgal, V. D., Jain, S. K., Deepak, S., et Mahesh, K</w:t>
      </w:r>
      <w:r w:rsidRPr="00BD78D0">
        <w:rPr>
          <w:rFonts w:asciiTheme="majorBidi" w:hAnsiTheme="majorBidi" w:cstheme="majorBidi"/>
          <w:sz w:val="24"/>
          <w:szCs w:val="24"/>
          <w:shd w:val="clear" w:color="auto" w:fill="FFFFFF"/>
          <w:lang w:val="en-GB"/>
        </w:rPr>
        <w:t>. (2018). A review: Food, medicinal and nutraceutical properties of fenugreek (Trigonella Foenum-Graecum L.). International Journal of Chemical Studies, 6(2), 1239–1245.</w:t>
      </w:r>
    </w:p>
    <w:p w14:paraId="71DE655F" w14:textId="77777777" w:rsidR="00BD78D0" w:rsidRPr="00BD78D0" w:rsidRDefault="00BD78D0" w:rsidP="003E5817">
      <w:pPr>
        <w:pStyle w:val="Paragraphedeliste"/>
        <w:numPr>
          <w:ilvl w:val="0"/>
          <w:numId w:val="11"/>
        </w:numPr>
        <w:tabs>
          <w:tab w:val="left" w:pos="6173"/>
        </w:tabs>
        <w:spacing w:after="0" w:line="360" w:lineRule="auto"/>
        <w:ind w:left="142" w:hanging="284"/>
        <w:jc w:val="both"/>
        <w:rPr>
          <w:rFonts w:asciiTheme="majorBidi" w:hAnsiTheme="majorBidi" w:cstheme="majorBidi"/>
          <w:sz w:val="24"/>
          <w:szCs w:val="24"/>
          <w:shd w:val="clear" w:color="auto" w:fill="FFFFFF"/>
        </w:rPr>
      </w:pPr>
      <w:r w:rsidRPr="00BD78D0">
        <w:rPr>
          <w:rFonts w:asciiTheme="majorBidi" w:hAnsiTheme="majorBidi" w:cstheme="majorBidi"/>
          <w:b/>
          <w:bCs/>
          <w:sz w:val="24"/>
          <w:szCs w:val="24"/>
          <w:shd w:val="clear" w:color="auto" w:fill="FFFFFF"/>
          <w:lang w:val="en-GB"/>
        </w:rPr>
        <w:t>Shrutikhare., Rikeshwer, p., Dewangan, Ajay Kumar</w:t>
      </w:r>
      <w:r w:rsidRPr="00BD78D0">
        <w:rPr>
          <w:rFonts w:asciiTheme="majorBidi" w:hAnsiTheme="majorBidi" w:cstheme="majorBidi"/>
          <w:sz w:val="24"/>
          <w:szCs w:val="24"/>
          <w:shd w:val="clear" w:color="auto" w:fill="FFFFFF"/>
          <w:lang w:val="en-GB"/>
        </w:rPr>
        <w:t>. (2022). Structure - Activity relationship of flavonoides: recent updates. DOI: 10.21 74/9789815.039566122010011.</w:t>
      </w:r>
    </w:p>
    <w:p w14:paraId="7BE3D822" w14:textId="77777777" w:rsidR="00BD78D0" w:rsidRPr="00BD78D0" w:rsidRDefault="00BD78D0" w:rsidP="003E5817">
      <w:pPr>
        <w:pStyle w:val="Paragraphedeliste"/>
        <w:numPr>
          <w:ilvl w:val="0"/>
          <w:numId w:val="11"/>
        </w:numPr>
        <w:tabs>
          <w:tab w:val="left" w:pos="6173"/>
        </w:tabs>
        <w:spacing w:after="0" w:line="360" w:lineRule="auto"/>
        <w:ind w:left="142" w:hanging="284"/>
        <w:jc w:val="both"/>
        <w:rPr>
          <w:rFonts w:asciiTheme="majorBidi" w:hAnsiTheme="majorBidi" w:cstheme="majorBidi"/>
          <w:sz w:val="24"/>
          <w:szCs w:val="24"/>
          <w:lang w:val="en-US"/>
        </w:rPr>
      </w:pPr>
      <w:r w:rsidRPr="00BD78D0">
        <w:rPr>
          <w:rFonts w:asciiTheme="majorBidi" w:hAnsiTheme="majorBidi" w:cstheme="majorBidi"/>
          <w:b/>
          <w:bCs/>
          <w:sz w:val="24"/>
          <w:szCs w:val="24"/>
          <w:shd w:val="clear" w:color="auto" w:fill="FFFFFF"/>
        </w:rPr>
        <w:t>Sindhusha, V. B., et Rajasekar, A.</w:t>
      </w:r>
      <w:r w:rsidRPr="00BD78D0">
        <w:rPr>
          <w:rFonts w:asciiTheme="majorBidi" w:hAnsiTheme="majorBidi" w:cstheme="majorBidi"/>
          <w:sz w:val="24"/>
          <w:szCs w:val="24"/>
          <w:shd w:val="clear" w:color="auto" w:fill="FFFFFF"/>
        </w:rPr>
        <w:t xml:space="preserve"> (2023). </w:t>
      </w:r>
      <w:r w:rsidRPr="00BD78D0">
        <w:rPr>
          <w:rFonts w:asciiTheme="majorBidi" w:hAnsiTheme="majorBidi" w:cstheme="majorBidi"/>
          <w:sz w:val="24"/>
          <w:szCs w:val="24"/>
          <w:shd w:val="clear" w:color="auto" w:fill="FFFFFF"/>
          <w:lang w:val="en-US"/>
        </w:rPr>
        <w:t xml:space="preserve">Preparation and evaluation of antimicrobial property and anti-inflammatory activity of fenugreek gel against oral microbes: An in vitro study. </w:t>
      </w:r>
      <w:r w:rsidRPr="00BD78D0">
        <w:rPr>
          <w:rFonts w:asciiTheme="majorBidi" w:hAnsiTheme="majorBidi" w:cstheme="majorBidi"/>
          <w:sz w:val="24"/>
          <w:szCs w:val="24"/>
          <w:shd w:val="clear" w:color="auto" w:fill="FFFFFF"/>
        </w:rPr>
        <w:t xml:space="preserve">Cureus, 15(10), e47659. </w:t>
      </w:r>
      <w:hyperlink r:id="rId115" w:history="1">
        <w:r w:rsidRPr="00BD78D0">
          <w:rPr>
            <w:rStyle w:val="Lienhypertexte"/>
            <w:rFonts w:asciiTheme="majorBidi" w:hAnsiTheme="majorBidi" w:cstheme="majorBidi"/>
            <w:sz w:val="24"/>
            <w:szCs w:val="24"/>
            <w:shd w:val="clear" w:color="auto" w:fill="FFFFFF"/>
          </w:rPr>
          <w:t>https://doi.org/10.7759/cureus.47659</w:t>
        </w:r>
      </w:hyperlink>
    </w:p>
    <w:p w14:paraId="6EE77C78" w14:textId="77777777" w:rsidR="00BD78D0" w:rsidRPr="00BD78D0" w:rsidRDefault="00BD78D0" w:rsidP="003E5817">
      <w:pPr>
        <w:pStyle w:val="Paragraphedeliste"/>
        <w:numPr>
          <w:ilvl w:val="0"/>
          <w:numId w:val="11"/>
        </w:numPr>
        <w:tabs>
          <w:tab w:val="left" w:pos="6173"/>
        </w:tabs>
        <w:spacing w:after="0" w:line="360" w:lineRule="auto"/>
        <w:ind w:left="142" w:hanging="284"/>
        <w:jc w:val="both"/>
        <w:rPr>
          <w:rFonts w:asciiTheme="majorBidi" w:hAnsiTheme="majorBidi" w:cstheme="majorBidi"/>
          <w:sz w:val="24"/>
          <w:szCs w:val="24"/>
          <w:shd w:val="clear" w:color="auto" w:fill="FFFFFF"/>
          <w:lang w:val="en-GB"/>
        </w:rPr>
      </w:pPr>
      <w:r w:rsidRPr="00BD78D0">
        <w:rPr>
          <w:rFonts w:asciiTheme="majorBidi" w:hAnsiTheme="majorBidi" w:cstheme="majorBidi"/>
          <w:b/>
          <w:bCs/>
          <w:sz w:val="24"/>
          <w:szCs w:val="24"/>
        </w:rPr>
        <w:t>Song, M., Li, J., Wu, B., Wang, H., Yi, Y., Xu, W., et Guo, D</w:t>
      </w:r>
      <w:r w:rsidRPr="00BD78D0">
        <w:rPr>
          <w:rFonts w:asciiTheme="majorBidi" w:hAnsiTheme="majorBidi" w:cstheme="majorBidi"/>
          <w:sz w:val="24"/>
          <w:szCs w:val="24"/>
        </w:rPr>
        <w:t xml:space="preserve">. (2024). </w:t>
      </w:r>
      <w:r w:rsidRPr="00BD78D0">
        <w:rPr>
          <w:rFonts w:asciiTheme="majorBidi" w:hAnsiTheme="majorBidi" w:cstheme="majorBidi"/>
          <w:sz w:val="24"/>
          <w:szCs w:val="24"/>
          <w:lang w:val="en-US"/>
        </w:rPr>
        <w:t xml:space="preserve">Effect of fenugreek seed extract as a natural oxidation inhibitor on quality of marinated duck drumsticks during storage. LWT - Food Science and Technology, 199, 116011. </w:t>
      </w:r>
      <w:hyperlink r:id="rId116" w:history="1">
        <w:r w:rsidRPr="00BD78D0">
          <w:rPr>
            <w:rStyle w:val="Lienhypertexte"/>
            <w:rFonts w:asciiTheme="majorBidi" w:hAnsiTheme="majorBidi" w:cstheme="majorBidi"/>
            <w:sz w:val="24"/>
            <w:szCs w:val="24"/>
            <w:lang w:val="en-US"/>
          </w:rPr>
          <w:t>https://doi.org/10.1016/j.lwt.2024.116011</w:t>
        </w:r>
      </w:hyperlink>
    </w:p>
    <w:p w14:paraId="419F0BFE" w14:textId="77777777" w:rsidR="00BD78D0" w:rsidRPr="00BD78D0" w:rsidRDefault="00BD78D0" w:rsidP="003E5817">
      <w:pPr>
        <w:pStyle w:val="Paragraphedeliste"/>
        <w:numPr>
          <w:ilvl w:val="0"/>
          <w:numId w:val="11"/>
        </w:numPr>
        <w:tabs>
          <w:tab w:val="left" w:pos="6173"/>
        </w:tabs>
        <w:spacing w:after="0" w:line="360" w:lineRule="auto"/>
        <w:ind w:left="142" w:hanging="284"/>
        <w:jc w:val="both"/>
        <w:rPr>
          <w:rFonts w:asciiTheme="majorBidi" w:hAnsiTheme="majorBidi" w:cstheme="majorBidi"/>
          <w:sz w:val="24"/>
          <w:szCs w:val="24"/>
          <w:shd w:val="clear" w:color="auto" w:fill="FFFFFF"/>
          <w:lang w:val="en-GB"/>
        </w:rPr>
      </w:pPr>
      <w:r w:rsidRPr="00BD78D0">
        <w:rPr>
          <w:rFonts w:asciiTheme="majorBidi" w:hAnsiTheme="majorBidi" w:cstheme="majorBidi"/>
          <w:b/>
          <w:bCs/>
          <w:sz w:val="24"/>
          <w:szCs w:val="24"/>
          <w:shd w:val="clear" w:color="auto" w:fill="FFFFFF"/>
          <w:lang w:val="en-GB"/>
        </w:rPr>
        <w:t>Srinivasan, K. (2006)</w:t>
      </w:r>
      <w:r w:rsidRPr="00BD78D0">
        <w:rPr>
          <w:rFonts w:asciiTheme="majorBidi" w:hAnsiTheme="majorBidi" w:cstheme="majorBidi"/>
          <w:sz w:val="24"/>
          <w:szCs w:val="24"/>
          <w:shd w:val="clear" w:color="auto" w:fill="FFFFFF"/>
          <w:lang w:val="en-GB"/>
        </w:rPr>
        <w:t>. Fenugreek (</w:t>
      </w:r>
      <w:r w:rsidRPr="00BD78D0">
        <w:rPr>
          <w:rFonts w:asciiTheme="majorBidi" w:hAnsiTheme="majorBidi" w:cstheme="majorBidi"/>
          <w:i/>
          <w:iCs/>
          <w:sz w:val="24"/>
          <w:szCs w:val="24"/>
          <w:shd w:val="clear" w:color="auto" w:fill="FFFFFF"/>
          <w:lang w:val="en-GB"/>
        </w:rPr>
        <w:t>Trigonella foenum-graecum</w:t>
      </w:r>
      <w:r w:rsidRPr="00BD78D0">
        <w:rPr>
          <w:rFonts w:asciiTheme="majorBidi" w:hAnsiTheme="majorBidi" w:cstheme="majorBidi"/>
          <w:sz w:val="24"/>
          <w:szCs w:val="24"/>
          <w:shd w:val="clear" w:color="auto" w:fill="FFFFFF"/>
          <w:lang w:val="en-GB"/>
        </w:rPr>
        <w:t>): A Review of Health Beneficial Physiological Effects. Food Reviews International, 22(2), 203–224.</w:t>
      </w:r>
      <w:r w:rsidRPr="00BD78D0">
        <w:rPr>
          <w:rFonts w:asciiTheme="majorBidi" w:hAnsiTheme="majorBidi" w:cstheme="majorBidi"/>
          <w:sz w:val="24"/>
          <w:szCs w:val="24"/>
          <w:shd w:val="clear" w:color="auto" w:fill="FFFFFF"/>
          <w:lang w:val="en-US"/>
        </w:rPr>
        <w:t>DOI: 10.1080/87559120600586315</w:t>
      </w:r>
    </w:p>
    <w:p w14:paraId="0D9BE79E" w14:textId="77777777" w:rsidR="00BD78D0" w:rsidRPr="00BD78D0" w:rsidRDefault="00BD78D0" w:rsidP="003E5817">
      <w:pPr>
        <w:pStyle w:val="Paragraphedeliste"/>
        <w:numPr>
          <w:ilvl w:val="0"/>
          <w:numId w:val="11"/>
        </w:numPr>
        <w:tabs>
          <w:tab w:val="left" w:pos="6173"/>
        </w:tabs>
        <w:spacing w:after="0" w:line="360" w:lineRule="auto"/>
        <w:ind w:left="142" w:hanging="284"/>
        <w:jc w:val="both"/>
        <w:rPr>
          <w:rFonts w:asciiTheme="majorBidi" w:hAnsiTheme="majorBidi" w:cstheme="majorBidi"/>
          <w:sz w:val="24"/>
          <w:szCs w:val="24"/>
          <w:lang w:val="en-US"/>
        </w:rPr>
      </w:pPr>
      <w:r w:rsidRPr="00BD78D0">
        <w:rPr>
          <w:rFonts w:asciiTheme="majorBidi" w:hAnsiTheme="majorBidi" w:cstheme="majorBidi"/>
          <w:b/>
          <w:bCs/>
          <w:sz w:val="24"/>
          <w:szCs w:val="24"/>
          <w:shd w:val="clear" w:color="auto" w:fill="FFFFFF"/>
          <w:lang w:val="en-GB"/>
        </w:rPr>
        <w:t>Syed, Q. A., Rashid, Z., Ahmad, M. H., Ishaq, A., et Muhammad, N</w:t>
      </w:r>
      <w:r w:rsidRPr="00BD78D0">
        <w:rPr>
          <w:rFonts w:asciiTheme="majorBidi" w:hAnsiTheme="majorBidi" w:cstheme="majorBidi"/>
          <w:sz w:val="24"/>
          <w:szCs w:val="24"/>
          <w:shd w:val="clear" w:color="auto" w:fill="FFFFFF"/>
          <w:lang w:val="en-GB"/>
        </w:rPr>
        <w:t>. (2020). Nutritional and therapeutic properties of fenugreek (</w:t>
      </w:r>
      <w:r w:rsidRPr="00BD78D0">
        <w:rPr>
          <w:rFonts w:asciiTheme="majorBidi" w:hAnsiTheme="majorBidi" w:cstheme="majorBidi"/>
          <w:i/>
          <w:iCs/>
          <w:sz w:val="24"/>
          <w:szCs w:val="24"/>
          <w:shd w:val="clear" w:color="auto" w:fill="FFFFFF"/>
          <w:lang w:val="en-GB"/>
        </w:rPr>
        <w:t>Trigonella foenum-graecum</w:t>
      </w:r>
      <w:r w:rsidRPr="00BD78D0">
        <w:rPr>
          <w:rFonts w:asciiTheme="majorBidi" w:hAnsiTheme="majorBidi" w:cstheme="majorBidi"/>
          <w:sz w:val="24"/>
          <w:szCs w:val="24"/>
          <w:shd w:val="clear" w:color="auto" w:fill="FFFFFF"/>
          <w:lang w:val="en-GB"/>
        </w:rPr>
        <w:t xml:space="preserve">): a review. International Journal of Food Properties, 23(1), 1777-1791. </w:t>
      </w:r>
      <w:hyperlink r:id="rId117" w:history="1">
        <w:r w:rsidRPr="00BD78D0">
          <w:rPr>
            <w:rStyle w:val="Lienhypertexte"/>
            <w:rFonts w:asciiTheme="majorBidi" w:hAnsiTheme="majorBidi" w:cstheme="majorBidi"/>
            <w:sz w:val="24"/>
            <w:szCs w:val="24"/>
            <w:shd w:val="clear" w:color="auto" w:fill="FFFFFF"/>
            <w:lang w:val="en-GB"/>
          </w:rPr>
          <w:t>https://doi.org/10.1080/10942912.2020.1825482</w:t>
        </w:r>
      </w:hyperlink>
    </w:p>
    <w:p w14:paraId="311151CB" w14:textId="77777777" w:rsidR="00BD78D0" w:rsidRPr="00BD78D0" w:rsidRDefault="00BD78D0" w:rsidP="003E5817">
      <w:pPr>
        <w:pStyle w:val="Paragraphedeliste"/>
        <w:numPr>
          <w:ilvl w:val="0"/>
          <w:numId w:val="11"/>
        </w:numPr>
        <w:tabs>
          <w:tab w:val="left" w:pos="6173"/>
        </w:tabs>
        <w:spacing w:after="0" w:line="360" w:lineRule="auto"/>
        <w:ind w:left="142" w:hanging="284"/>
        <w:jc w:val="both"/>
        <w:rPr>
          <w:rFonts w:asciiTheme="majorBidi" w:hAnsiTheme="majorBidi" w:cstheme="majorBidi"/>
          <w:sz w:val="24"/>
          <w:szCs w:val="24"/>
          <w:shd w:val="clear" w:color="auto" w:fill="FFFFFF"/>
          <w:lang w:val="en-GB"/>
        </w:rPr>
      </w:pPr>
      <w:r w:rsidRPr="00320AF4">
        <w:rPr>
          <w:rFonts w:asciiTheme="majorBidi" w:hAnsiTheme="majorBidi" w:cstheme="majorBidi"/>
          <w:b/>
          <w:bCs/>
          <w:sz w:val="24"/>
          <w:szCs w:val="24"/>
        </w:rPr>
        <w:t>Tarek. A., El-Desouky., Amer, M., et Naguib, K</w:t>
      </w:r>
      <w:r w:rsidRPr="00320AF4">
        <w:rPr>
          <w:rFonts w:asciiTheme="majorBidi" w:hAnsiTheme="majorBidi" w:cstheme="majorBidi"/>
          <w:sz w:val="24"/>
          <w:szCs w:val="24"/>
        </w:rPr>
        <w:t xml:space="preserve">. (2013). </w:t>
      </w:r>
      <w:r w:rsidRPr="00BD78D0">
        <w:rPr>
          <w:rFonts w:asciiTheme="majorBidi" w:hAnsiTheme="majorBidi" w:cstheme="majorBidi"/>
          <w:sz w:val="24"/>
          <w:szCs w:val="24"/>
          <w:lang w:val="en-US"/>
        </w:rPr>
        <w:t xml:space="preserve">Effects of fenugreek seed extracts on growth of aflatoxigenic fungus and aflatoxin B1 production. </w:t>
      </w:r>
    </w:p>
    <w:p w14:paraId="007BB7D6" w14:textId="77777777" w:rsidR="00BD78D0" w:rsidRPr="00BD78D0" w:rsidRDefault="00BD78D0" w:rsidP="003E5817">
      <w:pPr>
        <w:pStyle w:val="Paragraphedeliste"/>
        <w:numPr>
          <w:ilvl w:val="0"/>
          <w:numId w:val="11"/>
        </w:numPr>
        <w:tabs>
          <w:tab w:val="left" w:pos="6173"/>
        </w:tabs>
        <w:spacing w:after="0" w:line="360" w:lineRule="auto"/>
        <w:ind w:left="142" w:hanging="284"/>
        <w:jc w:val="both"/>
        <w:rPr>
          <w:rFonts w:asciiTheme="majorBidi" w:hAnsiTheme="majorBidi" w:cstheme="majorBidi"/>
          <w:sz w:val="24"/>
          <w:szCs w:val="24"/>
          <w:shd w:val="clear" w:color="auto" w:fill="FFFFFF"/>
          <w:lang w:val="en-GB"/>
        </w:rPr>
      </w:pPr>
      <w:r w:rsidRPr="00BD78D0">
        <w:rPr>
          <w:rFonts w:asciiTheme="majorBidi" w:hAnsiTheme="majorBidi" w:cstheme="majorBidi"/>
          <w:b/>
          <w:bCs/>
          <w:sz w:val="24"/>
          <w:szCs w:val="24"/>
          <w:shd w:val="clear" w:color="auto" w:fill="FFFFFF"/>
          <w:lang w:val="en-US"/>
        </w:rPr>
        <w:t xml:space="preserve"> Teekanam, J., Srinivasan, S., Uthayasooriyan, P., Subbiah, U., Govindasamy, B. et Athiappan, M.,</w:t>
      </w:r>
      <w:r w:rsidRPr="00BD78D0">
        <w:rPr>
          <w:rFonts w:asciiTheme="majorBidi" w:hAnsiTheme="majorBidi" w:cstheme="majorBidi"/>
          <w:sz w:val="24"/>
          <w:szCs w:val="24"/>
          <w:shd w:val="clear" w:color="auto" w:fill="FFFFFF"/>
          <w:lang w:val="en-US"/>
        </w:rPr>
        <w:t xml:space="preserve"> (2023),</w:t>
      </w:r>
      <w:r w:rsidRPr="00BD78D0">
        <w:rPr>
          <w:rFonts w:asciiTheme="majorBidi" w:hAnsiTheme="majorBidi" w:cstheme="majorBidi"/>
          <w:b/>
          <w:bCs/>
          <w:sz w:val="24"/>
          <w:szCs w:val="24"/>
          <w:shd w:val="clear" w:color="auto" w:fill="FFFFFF"/>
          <w:lang w:val="en-US"/>
        </w:rPr>
        <w:t xml:space="preserve"> </w:t>
      </w:r>
      <w:r w:rsidRPr="00BD78D0">
        <w:rPr>
          <w:rFonts w:asciiTheme="majorBidi" w:hAnsiTheme="majorBidi" w:cstheme="majorBidi"/>
          <w:sz w:val="24"/>
          <w:szCs w:val="24"/>
          <w:shd w:val="clear" w:color="auto" w:fill="FFFFFF"/>
          <w:lang w:val="en-US"/>
        </w:rPr>
        <w:t xml:space="preserve">« Extraction, purification and assessment of galactomannan from fenugreek seeds », Biomedicine, V. 43, N. 2, p. 690–695. </w:t>
      </w:r>
      <w:hyperlink r:id="rId118" w:history="1">
        <w:r w:rsidRPr="00BD78D0">
          <w:rPr>
            <w:rStyle w:val="Lienhypertexte"/>
            <w:rFonts w:asciiTheme="majorBidi" w:hAnsiTheme="majorBidi" w:cstheme="majorBidi"/>
            <w:sz w:val="24"/>
            <w:szCs w:val="24"/>
            <w:shd w:val="clear" w:color="auto" w:fill="FFFFFF"/>
            <w:lang w:val="en-US"/>
          </w:rPr>
          <w:t>https://doi.org/10.51248/.v43i02.2545</w:t>
        </w:r>
      </w:hyperlink>
    </w:p>
    <w:p w14:paraId="25482D1D" w14:textId="77777777" w:rsidR="00BD78D0" w:rsidRPr="00BD78D0" w:rsidRDefault="00BD78D0" w:rsidP="003E5817">
      <w:pPr>
        <w:pStyle w:val="Paragraphedeliste"/>
        <w:numPr>
          <w:ilvl w:val="0"/>
          <w:numId w:val="11"/>
        </w:numPr>
        <w:tabs>
          <w:tab w:val="left" w:pos="6173"/>
        </w:tabs>
        <w:spacing w:after="0" w:line="360" w:lineRule="auto"/>
        <w:ind w:left="142" w:hanging="284"/>
        <w:jc w:val="both"/>
        <w:rPr>
          <w:rFonts w:asciiTheme="majorBidi" w:hAnsiTheme="majorBidi" w:cstheme="majorBidi"/>
          <w:sz w:val="24"/>
          <w:szCs w:val="24"/>
        </w:rPr>
      </w:pPr>
      <w:r w:rsidRPr="00BD78D0">
        <w:rPr>
          <w:rFonts w:asciiTheme="majorBidi" w:hAnsiTheme="majorBidi" w:cstheme="majorBidi"/>
          <w:b/>
          <w:bCs/>
          <w:sz w:val="24"/>
          <w:szCs w:val="24"/>
          <w:shd w:val="clear" w:color="auto" w:fill="FFFFFF"/>
          <w:lang w:val="en-GB"/>
        </w:rPr>
        <w:t>Tewari, A., Singh, R., &amp; Brar, J.K</w:t>
      </w:r>
      <w:r w:rsidRPr="00BD78D0">
        <w:rPr>
          <w:rFonts w:asciiTheme="majorBidi" w:hAnsiTheme="majorBidi" w:cstheme="majorBidi"/>
          <w:sz w:val="24"/>
          <w:szCs w:val="24"/>
          <w:shd w:val="clear" w:color="auto" w:fill="FFFFFF"/>
          <w:lang w:val="en-GB"/>
        </w:rPr>
        <w:t>. (2024). Pharmacological and Therapeutic Properties of Fenugreek (</w:t>
      </w:r>
      <w:r w:rsidRPr="00BD78D0">
        <w:rPr>
          <w:rFonts w:asciiTheme="majorBidi" w:hAnsiTheme="majorBidi" w:cstheme="majorBidi"/>
          <w:i/>
          <w:iCs/>
          <w:sz w:val="24"/>
          <w:szCs w:val="24"/>
          <w:shd w:val="clear" w:color="auto" w:fill="FFFFFF"/>
          <w:lang w:val="en-GB"/>
        </w:rPr>
        <w:t>Trigonella foenum-graecum</w:t>
      </w:r>
      <w:r w:rsidRPr="00BD78D0">
        <w:rPr>
          <w:rFonts w:asciiTheme="majorBidi" w:hAnsiTheme="majorBidi" w:cstheme="majorBidi"/>
          <w:sz w:val="24"/>
          <w:szCs w:val="24"/>
          <w:shd w:val="clear" w:color="auto" w:fill="FFFFFF"/>
          <w:lang w:val="en-GB"/>
        </w:rPr>
        <w:t xml:space="preserve">) Seed: A Review. The Journal of Phytopharmacology, 13(2), 97–104. </w:t>
      </w:r>
      <w:hyperlink r:id="rId119" w:history="1">
        <w:r w:rsidRPr="00BD78D0">
          <w:rPr>
            <w:rStyle w:val="Lienhypertexte"/>
            <w:rFonts w:asciiTheme="majorBidi" w:hAnsiTheme="majorBidi" w:cstheme="majorBidi"/>
            <w:sz w:val="24"/>
            <w:szCs w:val="24"/>
            <w:shd w:val="clear" w:color="auto" w:fill="FFFFFF"/>
            <w:lang w:val="en-GB"/>
          </w:rPr>
          <w:t>https://doi.org/10.31254/phyto.2024.13203</w:t>
        </w:r>
      </w:hyperlink>
    </w:p>
    <w:p w14:paraId="5CF776FE" w14:textId="77777777" w:rsidR="00BD78D0" w:rsidRPr="00BD78D0" w:rsidRDefault="00BD78D0" w:rsidP="003E5817">
      <w:pPr>
        <w:pStyle w:val="Paragraphedeliste"/>
        <w:numPr>
          <w:ilvl w:val="0"/>
          <w:numId w:val="11"/>
        </w:numPr>
        <w:tabs>
          <w:tab w:val="left" w:pos="6173"/>
        </w:tabs>
        <w:spacing w:after="0" w:line="360" w:lineRule="auto"/>
        <w:ind w:left="142" w:hanging="284"/>
        <w:jc w:val="both"/>
        <w:rPr>
          <w:rFonts w:asciiTheme="majorBidi" w:hAnsiTheme="majorBidi" w:cstheme="majorBidi"/>
          <w:sz w:val="28"/>
          <w:szCs w:val="28"/>
          <w:shd w:val="clear" w:color="auto" w:fill="FFFFFF"/>
          <w:lang w:val="en-US"/>
        </w:rPr>
      </w:pPr>
      <w:r w:rsidRPr="00BD78D0">
        <w:rPr>
          <w:rFonts w:asciiTheme="majorBidi" w:hAnsiTheme="majorBidi" w:cstheme="majorBidi"/>
          <w:b/>
          <w:bCs/>
          <w:sz w:val="24"/>
          <w:szCs w:val="24"/>
          <w:lang w:val="en-US"/>
        </w:rPr>
        <w:t>Thapar Kapoor, R.</w:t>
      </w:r>
      <w:r w:rsidRPr="00BD78D0">
        <w:rPr>
          <w:rFonts w:asciiTheme="majorBidi" w:hAnsiTheme="majorBidi" w:cstheme="majorBidi"/>
          <w:sz w:val="24"/>
          <w:szCs w:val="24"/>
          <w:lang w:val="en-US"/>
        </w:rPr>
        <w:t xml:space="preserve"> (2021). Comparative analysis of bioactive components and antifungal potential of Trigonella foenum-graecum seeds.], 2105–2108. </w:t>
      </w:r>
      <w:hyperlink r:id="rId120" w:history="1">
        <w:r w:rsidRPr="00BD78D0">
          <w:rPr>
            <w:rStyle w:val="Lienhypertexte"/>
            <w:rFonts w:asciiTheme="majorBidi" w:hAnsiTheme="majorBidi" w:cstheme="majorBidi"/>
            <w:sz w:val="24"/>
            <w:szCs w:val="24"/>
          </w:rPr>
          <w:t>https://doi.org/10.51470</w:t>
        </w:r>
      </w:hyperlink>
    </w:p>
    <w:p w14:paraId="1C9CE23A" w14:textId="77777777" w:rsidR="00BD78D0" w:rsidRPr="00BD78D0" w:rsidRDefault="00BD78D0" w:rsidP="003E5817">
      <w:pPr>
        <w:pStyle w:val="Paragraphedeliste"/>
        <w:numPr>
          <w:ilvl w:val="0"/>
          <w:numId w:val="11"/>
        </w:numPr>
        <w:tabs>
          <w:tab w:val="left" w:pos="6173"/>
        </w:tabs>
        <w:spacing w:after="0" w:line="360" w:lineRule="auto"/>
        <w:ind w:left="142" w:hanging="284"/>
        <w:jc w:val="both"/>
        <w:rPr>
          <w:rFonts w:asciiTheme="majorBidi" w:hAnsiTheme="majorBidi" w:cstheme="majorBidi"/>
          <w:sz w:val="24"/>
          <w:szCs w:val="24"/>
          <w:shd w:val="clear" w:color="auto" w:fill="FFFFFF"/>
          <w:lang w:val="en-GB"/>
        </w:rPr>
      </w:pPr>
      <w:r w:rsidRPr="00BD78D0">
        <w:rPr>
          <w:rFonts w:asciiTheme="majorBidi" w:hAnsiTheme="majorBidi" w:cstheme="majorBidi"/>
          <w:b/>
          <w:bCs/>
          <w:sz w:val="24"/>
          <w:szCs w:val="24"/>
          <w:shd w:val="clear" w:color="auto" w:fill="FFFFFF"/>
        </w:rPr>
        <w:t>Turkmen, N., Sari, F., et Velioglu, Y. S</w:t>
      </w:r>
      <w:r w:rsidRPr="00BD78D0">
        <w:rPr>
          <w:rFonts w:asciiTheme="majorBidi" w:hAnsiTheme="majorBidi" w:cstheme="majorBidi"/>
          <w:sz w:val="24"/>
          <w:szCs w:val="24"/>
          <w:shd w:val="clear" w:color="auto" w:fill="FFFFFF"/>
        </w:rPr>
        <w:t xml:space="preserve">. (2006). </w:t>
      </w:r>
      <w:r w:rsidRPr="00BD78D0">
        <w:rPr>
          <w:rFonts w:asciiTheme="majorBidi" w:hAnsiTheme="majorBidi" w:cstheme="majorBidi"/>
          <w:sz w:val="24"/>
          <w:szCs w:val="24"/>
          <w:shd w:val="clear" w:color="auto" w:fill="FFFFFF"/>
          <w:lang w:val="en-US"/>
        </w:rPr>
        <w:t xml:space="preserve">Effects of extraction solvents on concentration and antioxidant activity of black and black mate tea polyphenols determined by </w:t>
      </w:r>
      <w:r w:rsidRPr="00BD78D0">
        <w:rPr>
          <w:rFonts w:asciiTheme="majorBidi" w:hAnsiTheme="majorBidi" w:cstheme="majorBidi"/>
          <w:sz w:val="24"/>
          <w:szCs w:val="24"/>
          <w:shd w:val="clear" w:color="auto" w:fill="FFFFFF"/>
          <w:lang w:val="en-US"/>
        </w:rPr>
        <w:lastRenderedPageBreak/>
        <w:t xml:space="preserve">ferrous tartrate and Folin–Ciocalteu methods. Food Chemistry, 99(4), 835–841. </w:t>
      </w:r>
      <w:hyperlink r:id="rId121" w:history="1">
        <w:r w:rsidRPr="00BD78D0">
          <w:rPr>
            <w:rStyle w:val="Lienhypertexte"/>
            <w:rFonts w:asciiTheme="majorBidi" w:hAnsiTheme="majorBidi" w:cstheme="majorBidi"/>
            <w:sz w:val="24"/>
            <w:szCs w:val="24"/>
            <w:shd w:val="clear" w:color="auto" w:fill="FFFFFF"/>
            <w:lang w:val="en-US"/>
          </w:rPr>
          <w:t>https://doi.org/10.1016/j.foodchem.2005.08.034</w:t>
        </w:r>
      </w:hyperlink>
    </w:p>
    <w:p w14:paraId="499F9519" w14:textId="77777777" w:rsidR="00BD78D0" w:rsidRPr="00BD78D0" w:rsidRDefault="00BD78D0" w:rsidP="003E5817">
      <w:pPr>
        <w:pStyle w:val="Paragraphedeliste"/>
        <w:numPr>
          <w:ilvl w:val="0"/>
          <w:numId w:val="11"/>
        </w:numPr>
        <w:tabs>
          <w:tab w:val="left" w:pos="6173"/>
        </w:tabs>
        <w:spacing w:after="0" w:line="360" w:lineRule="auto"/>
        <w:ind w:left="142" w:hanging="284"/>
        <w:jc w:val="both"/>
        <w:rPr>
          <w:rFonts w:asciiTheme="majorBidi" w:hAnsiTheme="majorBidi" w:cstheme="majorBidi"/>
          <w:b/>
          <w:bCs/>
          <w:sz w:val="24"/>
          <w:szCs w:val="24"/>
          <w:lang w:val="en-US" w:bidi="ar-DZ"/>
        </w:rPr>
      </w:pPr>
      <w:r w:rsidRPr="00BD78D0">
        <w:rPr>
          <w:rFonts w:asciiTheme="majorBidi" w:hAnsiTheme="majorBidi" w:cstheme="majorBidi"/>
          <w:b/>
          <w:bCs/>
          <w:sz w:val="24"/>
          <w:szCs w:val="24"/>
          <w:shd w:val="clear" w:color="auto" w:fill="FFFFFF"/>
          <w:lang w:val="en-GB"/>
        </w:rPr>
        <w:t>Varshney, H., et Siddique, Y.H.</w:t>
      </w:r>
      <w:r w:rsidRPr="00BD78D0">
        <w:rPr>
          <w:rFonts w:asciiTheme="majorBidi" w:hAnsiTheme="majorBidi" w:cstheme="majorBidi"/>
          <w:sz w:val="24"/>
          <w:szCs w:val="24"/>
          <w:shd w:val="clear" w:color="auto" w:fill="FFFFFF"/>
          <w:lang w:val="en-GB"/>
        </w:rPr>
        <w:t xml:space="preserve"> (2023) «Medicinal Properties of Fenugreek: A Review», The Open Biology Journal, Vol. 11, e187503622302220. DOI: 10.2174/18741967-v11-e230327-2022-3.</w:t>
      </w:r>
    </w:p>
    <w:p w14:paraId="0A27CB9C" w14:textId="77777777" w:rsidR="00BD78D0" w:rsidRPr="00BD78D0" w:rsidRDefault="00BD78D0" w:rsidP="003E5817">
      <w:pPr>
        <w:pStyle w:val="Paragraphedeliste"/>
        <w:numPr>
          <w:ilvl w:val="0"/>
          <w:numId w:val="11"/>
        </w:numPr>
        <w:tabs>
          <w:tab w:val="left" w:pos="6173"/>
        </w:tabs>
        <w:spacing w:after="0" w:line="360" w:lineRule="auto"/>
        <w:ind w:left="142" w:hanging="284"/>
        <w:jc w:val="both"/>
        <w:rPr>
          <w:rFonts w:asciiTheme="majorBidi" w:hAnsiTheme="majorBidi" w:cstheme="majorBidi"/>
          <w:sz w:val="24"/>
          <w:szCs w:val="24"/>
          <w:lang w:val="en-US"/>
        </w:rPr>
      </w:pPr>
      <w:r w:rsidRPr="00BD78D0">
        <w:rPr>
          <w:rFonts w:asciiTheme="majorBidi" w:hAnsiTheme="majorBidi" w:cstheme="majorBidi"/>
          <w:b/>
          <w:bCs/>
          <w:sz w:val="24"/>
          <w:szCs w:val="24"/>
          <w:lang w:bidi="ar-DZ"/>
        </w:rPr>
        <w:t xml:space="preserve">Verma, M. K., et al. </w:t>
      </w:r>
      <w:r w:rsidRPr="00320AF4">
        <w:rPr>
          <w:rFonts w:asciiTheme="majorBidi" w:hAnsiTheme="majorBidi" w:cstheme="majorBidi"/>
          <w:sz w:val="24"/>
          <w:szCs w:val="24"/>
          <w:lang w:val="en-US" w:bidi="ar-DZ"/>
        </w:rPr>
        <w:t xml:space="preserve">(2021). </w:t>
      </w:r>
      <w:r w:rsidRPr="00BD78D0">
        <w:rPr>
          <w:rFonts w:asciiTheme="majorBidi" w:hAnsiTheme="majorBidi" w:cstheme="majorBidi"/>
          <w:sz w:val="24"/>
          <w:szCs w:val="24"/>
          <w:lang w:val="en-US" w:bidi="ar-DZ"/>
        </w:rPr>
        <w:t>The effect of fenugreek in type 2 diabetes and prediabetes. Journal of Diabetes &amp; Metabolic Disorders, 20(2), 123–130.</w:t>
      </w:r>
    </w:p>
    <w:p w14:paraId="33BAC5E3" w14:textId="77777777" w:rsidR="00BD78D0" w:rsidRPr="00BD78D0" w:rsidRDefault="00BD78D0" w:rsidP="003E5817">
      <w:pPr>
        <w:pStyle w:val="Paragraphedeliste"/>
        <w:numPr>
          <w:ilvl w:val="0"/>
          <w:numId w:val="11"/>
        </w:numPr>
        <w:tabs>
          <w:tab w:val="left" w:pos="6173"/>
        </w:tabs>
        <w:spacing w:after="0" w:line="360" w:lineRule="auto"/>
        <w:ind w:left="142" w:hanging="284"/>
        <w:jc w:val="both"/>
        <w:rPr>
          <w:rFonts w:asciiTheme="majorBidi" w:hAnsiTheme="majorBidi" w:cstheme="majorBidi"/>
          <w:sz w:val="24"/>
          <w:szCs w:val="24"/>
          <w:lang w:val="en-US" w:bidi="ar-DZ"/>
        </w:rPr>
      </w:pPr>
      <w:r w:rsidRPr="00BD78D0">
        <w:rPr>
          <w:rFonts w:asciiTheme="majorBidi" w:hAnsiTheme="majorBidi" w:cstheme="majorBidi"/>
          <w:b/>
          <w:bCs/>
          <w:sz w:val="24"/>
          <w:szCs w:val="24"/>
        </w:rPr>
        <w:t>Yakout, S. M., et al</w:t>
      </w:r>
      <w:r w:rsidRPr="00BD78D0">
        <w:rPr>
          <w:rFonts w:asciiTheme="majorBidi" w:hAnsiTheme="majorBidi" w:cstheme="majorBidi"/>
          <w:sz w:val="24"/>
          <w:szCs w:val="24"/>
        </w:rPr>
        <w:t xml:space="preserve">. </w:t>
      </w:r>
      <w:r w:rsidRPr="00320AF4">
        <w:rPr>
          <w:rFonts w:asciiTheme="majorBidi" w:hAnsiTheme="majorBidi" w:cstheme="majorBidi"/>
          <w:sz w:val="24"/>
          <w:szCs w:val="24"/>
          <w:lang w:val="en-US"/>
        </w:rPr>
        <w:t xml:space="preserve">(2013). </w:t>
      </w:r>
      <w:r w:rsidRPr="00BD78D0">
        <w:rPr>
          <w:rFonts w:asciiTheme="majorBidi" w:hAnsiTheme="majorBidi" w:cstheme="majorBidi"/>
          <w:sz w:val="24"/>
          <w:szCs w:val="24"/>
          <w:lang w:val="en-US"/>
        </w:rPr>
        <w:t>Chemical characterization and antibacterial activity of ethanolic extract of Trigonella foenum-graecum (fenugreek) seeds. Journal of Pure and Applied Microbiology, 7(2), 1373–1378.</w:t>
      </w:r>
    </w:p>
    <w:p w14:paraId="1F46615F" w14:textId="77777777" w:rsidR="00BD78D0" w:rsidRPr="00BD78D0" w:rsidRDefault="00BD78D0" w:rsidP="003E5817">
      <w:pPr>
        <w:pStyle w:val="Paragraphedeliste"/>
        <w:numPr>
          <w:ilvl w:val="0"/>
          <w:numId w:val="11"/>
        </w:numPr>
        <w:tabs>
          <w:tab w:val="left" w:pos="6173"/>
        </w:tabs>
        <w:spacing w:after="0" w:line="360" w:lineRule="auto"/>
        <w:ind w:left="142" w:hanging="284"/>
        <w:jc w:val="both"/>
        <w:rPr>
          <w:rFonts w:asciiTheme="majorBidi" w:hAnsiTheme="majorBidi" w:cstheme="majorBidi"/>
          <w:sz w:val="24"/>
          <w:szCs w:val="24"/>
          <w:lang w:val="en-US" w:bidi="ar-DZ"/>
        </w:rPr>
      </w:pPr>
      <w:r w:rsidRPr="00BD78D0">
        <w:rPr>
          <w:rFonts w:asciiTheme="majorBidi" w:hAnsiTheme="majorBidi" w:cstheme="majorBidi"/>
          <w:b/>
          <w:bCs/>
          <w:sz w:val="24"/>
          <w:szCs w:val="24"/>
          <w:lang w:bidi="ar-DZ"/>
        </w:rPr>
        <w:t xml:space="preserve">Zandi, P., Basu, S. K., Cetzal-Ix, W., Kordrostami, M., Chalaras, S. K., </w:t>
      </w:r>
      <w:proofErr w:type="gramStart"/>
      <w:r w:rsidRPr="00BD78D0">
        <w:rPr>
          <w:rFonts w:asciiTheme="majorBidi" w:hAnsiTheme="majorBidi" w:cstheme="majorBidi"/>
          <w:b/>
          <w:bCs/>
          <w:sz w:val="24"/>
          <w:szCs w:val="24"/>
          <w:lang w:bidi="ar-DZ"/>
        </w:rPr>
        <w:t>et  Khatibi</w:t>
      </w:r>
      <w:proofErr w:type="gramEnd"/>
      <w:r w:rsidRPr="00BD78D0">
        <w:rPr>
          <w:rFonts w:asciiTheme="majorBidi" w:hAnsiTheme="majorBidi" w:cstheme="majorBidi"/>
          <w:b/>
          <w:bCs/>
          <w:sz w:val="24"/>
          <w:szCs w:val="24"/>
          <w:lang w:bidi="ar-DZ"/>
        </w:rPr>
        <w:t>, L.</w:t>
      </w:r>
      <w:r w:rsidRPr="00BD78D0">
        <w:rPr>
          <w:rFonts w:asciiTheme="majorBidi" w:hAnsiTheme="majorBidi" w:cstheme="majorBidi"/>
          <w:sz w:val="24"/>
          <w:szCs w:val="24"/>
          <w:lang w:bidi="ar-DZ"/>
        </w:rPr>
        <w:t xml:space="preserve"> (2017). </w:t>
      </w:r>
      <w:r w:rsidRPr="00BD78D0">
        <w:rPr>
          <w:rFonts w:asciiTheme="majorBidi" w:hAnsiTheme="majorBidi" w:cstheme="majorBidi"/>
          <w:sz w:val="24"/>
          <w:szCs w:val="24"/>
          <w:lang w:val="en-US" w:bidi="ar-DZ"/>
        </w:rPr>
        <w:t xml:space="preserve">Fenugreek (Trigonella foenum-graecum L.): An important medicinal and aromatic crop. In Active Ingredients from Aromatic and Medicinal Plants (Chapter). Intech Open. </w:t>
      </w:r>
      <w:hyperlink r:id="rId122" w:history="1">
        <w:r w:rsidRPr="00BD78D0">
          <w:rPr>
            <w:rStyle w:val="Lienhypertexte"/>
            <w:rFonts w:asciiTheme="majorBidi" w:hAnsiTheme="majorBidi" w:cstheme="majorBidi"/>
            <w:sz w:val="24"/>
            <w:szCs w:val="24"/>
            <w:lang w:val="en-US" w:bidi="ar-DZ"/>
          </w:rPr>
          <w:t>https://doi.org/10.5772/66506</w:t>
        </w:r>
      </w:hyperlink>
    </w:p>
    <w:p w14:paraId="503D3144" w14:textId="77777777" w:rsidR="003E3FB4" w:rsidRDefault="003E3FB4" w:rsidP="003E5817">
      <w:pPr>
        <w:spacing w:line="360" w:lineRule="auto"/>
        <w:jc w:val="both"/>
        <w:rPr>
          <w:rFonts w:asciiTheme="majorBidi" w:hAnsiTheme="majorBidi" w:cstheme="majorBidi"/>
          <w:b/>
          <w:bCs/>
          <w:sz w:val="80"/>
          <w:szCs w:val="80"/>
        </w:rPr>
      </w:pPr>
    </w:p>
    <w:p w14:paraId="29433044" w14:textId="77777777" w:rsidR="003C679C" w:rsidRDefault="003C679C">
      <w:pPr>
        <w:spacing w:line="360" w:lineRule="auto"/>
        <w:rPr>
          <w:rFonts w:asciiTheme="majorBidi" w:hAnsiTheme="majorBidi" w:cstheme="majorBidi"/>
          <w:b/>
          <w:bCs/>
          <w:sz w:val="80"/>
          <w:szCs w:val="80"/>
        </w:rPr>
        <w:sectPr w:rsidR="003C679C" w:rsidSect="003C679C">
          <w:headerReference w:type="default" r:id="rId123"/>
          <w:footerReference w:type="default" r:id="rId124"/>
          <w:pgSz w:w="11906" w:h="16838"/>
          <w:pgMar w:top="1418" w:right="1416" w:bottom="1418" w:left="1418" w:header="709" w:footer="709" w:gutter="0"/>
          <w:pgNumType w:start="67"/>
          <w:cols w:space="708"/>
          <w:docGrid w:linePitch="360"/>
        </w:sectPr>
      </w:pPr>
    </w:p>
    <w:p w14:paraId="39E2E7A3" w14:textId="1307B1F8" w:rsidR="004A3F2A" w:rsidRDefault="004A3F2A">
      <w:pPr>
        <w:spacing w:line="360" w:lineRule="auto"/>
        <w:rPr>
          <w:rFonts w:asciiTheme="majorBidi" w:hAnsiTheme="majorBidi" w:cstheme="majorBidi"/>
          <w:b/>
          <w:bCs/>
          <w:sz w:val="80"/>
          <w:szCs w:val="80"/>
        </w:rPr>
      </w:pPr>
    </w:p>
    <w:p w14:paraId="1FF2247D" w14:textId="155AF0C5" w:rsidR="003E3FB4" w:rsidRDefault="00385ED0" w:rsidP="004A3F2A">
      <w:pPr>
        <w:spacing w:line="360" w:lineRule="auto"/>
        <w:jc w:val="center"/>
        <w:rPr>
          <w:rFonts w:asciiTheme="majorBidi" w:hAnsiTheme="majorBidi" w:cstheme="majorBidi"/>
          <w:b/>
          <w:bCs/>
          <w:sz w:val="80"/>
          <w:szCs w:val="80"/>
        </w:rPr>
        <w:sectPr w:rsidR="003E3FB4" w:rsidSect="003C679C">
          <w:headerReference w:type="default" r:id="rId125"/>
          <w:footerReference w:type="default" r:id="rId126"/>
          <w:pgSz w:w="11906" w:h="16838"/>
          <w:pgMar w:top="1418" w:right="1416" w:bottom="1418" w:left="1418" w:header="709" w:footer="709" w:gutter="0"/>
          <w:pgNumType w:start="67"/>
          <w:cols w:space="708"/>
          <w:docGrid w:linePitch="360"/>
        </w:sectPr>
      </w:pPr>
      <w:r>
        <w:rPr>
          <w:rFonts w:asciiTheme="majorBidi" w:hAnsiTheme="majorBidi" w:cstheme="majorBidi"/>
          <w:b/>
          <w:bCs/>
          <w:sz w:val="80"/>
          <w:szCs w:val="80"/>
        </w:rPr>
        <w:t>A</w:t>
      </w:r>
      <w:r w:rsidR="00A901D3">
        <w:rPr>
          <w:rFonts w:asciiTheme="majorBidi" w:hAnsiTheme="majorBidi" w:cstheme="majorBidi"/>
          <w:b/>
          <w:bCs/>
          <w:sz w:val="80"/>
          <w:szCs w:val="80"/>
        </w:rPr>
        <w:t>nnexes</w:t>
      </w:r>
    </w:p>
    <w:p w14:paraId="561BAA93" w14:textId="77777777" w:rsidR="003E3FB4" w:rsidRDefault="00385ED0">
      <w:pPr>
        <w:tabs>
          <w:tab w:val="left" w:pos="6173"/>
        </w:tabs>
        <w:spacing w:line="360" w:lineRule="auto"/>
        <w:jc w:val="both"/>
        <w:rPr>
          <w:rFonts w:asciiTheme="majorBidi" w:hAnsiTheme="majorBidi" w:cstheme="majorBidi"/>
          <w:b/>
          <w:bCs/>
          <w:sz w:val="28"/>
          <w:szCs w:val="28"/>
          <w:lang w:bidi="ar-DZ"/>
        </w:rPr>
      </w:pPr>
      <w:r>
        <w:rPr>
          <w:rFonts w:asciiTheme="majorBidi" w:hAnsiTheme="majorBidi" w:cstheme="majorBidi"/>
          <w:b/>
          <w:bCs/>
          <w:sz w:val="28"/>
          <w:szCs w:val="28"/>
          <w:lang w:bidi="ar-DZ"/>
        </w:rPr>
        <w:lastRenderedPageBreak/>
        <w:t xml:space="preserve">                         </w:t>
      </w:r>
      <w:r>
        <w:rPr>
          <w:rFonts w:asciiTheme="majorBidi" w:hAnsiTheme="majorBidi" w:cstheme="majorBidi"/>
          <w:b/>
          <w:bCs/>
          <w:sz w:val="28"/>
          <w:szCs w:val="28"/>
          <w:u w:val="single"/>
          <w:lang w:bidi="ar-DZ"/>
        </w:rPr>
        <w:t>Annexe N° 01</w:t>
      </w:r>
      <w:r>
        <w:rPr>
          <w:rFonts w:asciiTheme="majorBidi" w:hAnsiTheme="majorBidi" w:cstheme="majorBidi"/>
          <w:b/>
          <w:bCs/>
          <w:sz w:val="28"/>
          <w:szCs w:val="28"/>
          <w:lang w:bidi="ar-DZ"/>
        </w:rPr>
        <w:t xml:space="preserve"> : Appareillages et verreries</w:t>
      </w:r>
    </w:p>
    <w:tbl>
      <w:tblPr>
        <w:tblW w:w="9139" w:type="dxa"/>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29"/>
        <w:gridCol w:w="1978"/>
        <w:gridCol w:w="3127"/>
        <w:gridCol w:w="2605"/>
      </w:tblGrid>
      <w:tr w:rsidR="003E3FB4" w14:paraId="08F2D51A" w14:textId="77777777">
        <w:trPr>
          <w:trHeight w:val="634"/>
        </w:trPr>
        <w:tc>
          <w:tcPr>
            <w:tcW w:w="2016" w:type="dxa"/>
          </w:tcPr>
          <w:p w14:paraId="7E6BB166" w14:textId="77777777" w:rsidR="003E3FB4" w:rsidRDefault="00385ED0">
            <w:pPr>
              <w:tabs>
                <w:tab w:val="left" w:pos="6173"/>
              </w:tabs>
              <w:spacing w:line="360" w:lineRule="auto"/>
              <w:jc w:val="both"/>
              <w:rPr>
                <w:rFonts w:asciiTheme="majorBidi" w:hAnsiTheme="majorBidi" w:cstheme="majorBidi"/>
                <w:b/>
                <w:bCs/>
                <w:sz w:val="24"/>
                <w:szCs w:val="24"/>
                <w:lang w:bidi="ar-DZ"/>
              </w:rPr>
            </w:pPr>
            <w:r>
              <w:rPr>
                <w:rFonts w:asciiTheme="majorBidi" w:hAnsiTheme="majorBidi" w:cstheme="majorBidi"/>
                <w:b/>
                <w:bCs/>
                <w:sz w:val="24"/>
                <w:szCs w:val="24"/>
                <w:lang w:bidi="ar-DZ"/>
              </w:rPr>
              <w:t>Appareillages</w:t>
            </w:r>
          </w:p>
          <w:p w14:paraId="04819AC2" w14:textId="77777777" w:rsidR="003E3FB4" w:rsidRDefault="003E3FB4">
            <w:pPr>
              <w:tabs>
                <w:tab w:val="left" w:pos="6173"/>
              </w:tabs>
              <w:spacing w:line="360" w:lineRule="auto"/>
              <w:jc w:val="both"/>
              <w:rPr>
                <w:rFonts w:asciiTheme="majorBidi" w:hAnsiTheme="majorBidi" w:cstheme="majorBidi"/>
                <w:b/>
                <w:bCs/>
                <w:sz w:val="24"/>
                <w:szCs w:val="24"/>
                <w:lang w:bidi="ar-DZ"/>
              </w:rPr>
            </w:pPr>
          </w:p>
        </w:tc>
        <w:tc>
          <w:tcPr>
            <w:tcW w:w="2554" w:type="dxa"/>
          </w:tcPr>
          <w:p w14:paraId="7B1AABF6" w14:textId="77777777" w:rsidR="003E3FB4" w:rsidRDefault="00385ED0">
            <w:pPr>
              <w:tabs>
                <w:tab w:val="left" w:pos="6173"/>
              </w:tabs>
              <w:spacing w:line="360" w:lineRule="auto"/>
              <w:jc w:val="both"/>
              <w:rPr>
                <w:rFonts w:asciiTheme="majorBidi" w:hAnsiTheme="majorBidi" w:cstheme="majorBidi"/>
                <w:b/>
                <w:bCs/>
                <w:sz w:val="24"/>
                <w:szCs w:val="24"/>
                <w:lang w:bidi="ar-DZ"/>
              </w:rPr>
            </w:pPr>
            <w:r>
              <w:rPr>
                <w:rFonts w:asciiTheme="majorBidi" w:hAnsiTheme="majorBidi" w:cstheme="majorBidi"/>
                <w:b/>
                <w:bCs/>
                <w:sz w:val="24"/>
                <w:szCs w:val="24"/>
                <w:lang w:bidi="ar-DZ"/>
              </w:rPr>
              <w:t>Verreries</w:t>
            </w:r>
          </w:p>
          <w:p w14:paraId="4943F201" w14:textId="77777777" w:rsidR="003E3FB4" w:rsidRDefault="003E3FB4">
            <w:pPr>
              <w:tabs>
                <w:tab w:val="left" w:pos="6173"/>
              </w:tabs>
              <w:spacing w:line="360" w:lineRule="auto"/>
              <w:jc w:val="both"/>
              <w:rPr>
                <w:rFonts w:asciiTheme="majorBidi" w:hAnsiTheme="majorBidi" w:cstheme="majorBidi"/>
                <w:b/>
                <w:bCs/>
                <w:sz w:val="24"/>
                <w:szCs w:val="24"/>
                <w:lang w:bidi="ar-DZ"/>
              </w:rPr>
            </w:pPr>
          </w:p>
        </w:tc>
        <w:tc>
          <w:tcPr>
            <w:tcW w:w="2515" w:type="dxa"/>
          </w:tcPr>
          <w:p w14:paraId="4EA7F118" w14:textId="77777777" w:rsidR="003E3FB4" w:rsidRDefault="00385ED0">
            <w:pPr>
              <w:tabs>
                <w:tab w:val="left" w:pos="6173"/>
              </w:tabs>
              <w:spacing w:line="360" w:lineRule="auto"/>
              <w:jc w:val="both"/>
              <w:rPr>
                <w:rFonts w:asciiTheme="majorBidi" w:hAnsiTheme="majorBidi" w:cstheme="majorBidi"/>
                <w:b/>
                <w:bCs/>
                <w:sz w:val="24"/>
                <w:szCs w:val="24"/>
                <w:lang w:bidi="ar-DZ"/>
              </w:rPr>
            </w:pPr>
            <w:r>
              <w:rPr>
                <w:rFonts w:asciiTheme="majorBidi" w:hAnsiTheme="majorBidi" w:cstheme="majorBidi"/>
                <w:b/>
                <w:bCs/>
                <w:sz w:val="24"/>
                <w:szCs w:val="24"/>
                <w:lang w:bidi="ar-DZ"/>
              </w:rPr>
              <w:t>Produits chimiques</w:t>
            </w:r>
          </w:p>
          <w:p w14:paraId="1BD912AB" w14:textId="77777777" w:rsidR="003E3FB4" w:rsidRDefault="003E3FB4">
            <w:pPr>
              <w:tabs>
                <w:tab w:val="left" w:pos="6173"/>
              </w:tabs>
              <w:spacing w:line="360" w:lineRule="auto"/>
              <w:jc w:val="both"/>
              <w:rPr>
                <w:rFonts w:asciiTheme="majorBidi" w:hAnsiTheme="majorBidi" w:cstheme="majorBidi"/>
                <w:b/>
                <w:bCs/>
                <w:sz w:val="24"/>
                <w:szCs w:val="24"/>
                <w:lang w:bidi="ar-DZ"/>
              </w:rPr>
            </w:pPr>
          </w:p>
        </w:tc>
        <w:tc>
          <w:tcPr>
            <w:tcW w:w="2054" w:type="dxa"/>
          </w:tcPr>
          <w:p w14:paraId="71ADE1A4" w14:textId="77777777" w:rsidR="003E3FB4" w:rsidRDefault="00385ED0">
            <w:pPr>
              <w:tabs>
                <w:tab w:val="left" w:pos="6173"/>
              </w:tabs>
              <w:spacing w:line="360" w:lineRule="auto"/>
              <w:jc w:val="both"/>
              <w:rPr>
                <w:rFonts w:asciiTheme="majorBidi" w:hAnsiTheme="majorBidi" w:cstheme="majorBidi"/>
                <w:b/>
                <w:bCs/>
                <w:sz w:val="24"/>
                <w:szCs w:val="24"/>
                <w:lang w:bidi="ar-DZ"/>
              </w:rPr>
            </w:pPr>
            <w:r>
              <w:rPr>
                <w:rFonts w:asciiTheme="majorBidi" w:hAnsiTheme="majorBidi" w:cstheme="majorBidi"/>
                <w:b/>
                <w:bCs/>
                <w:sz w:val="24"/>
                <w:szCs w:val="24"/>
                <w:lang w:bidi="ar-DZ"/>
              </w:rPr>
              <w:t>Réactifs</w:t>
            </w:r>
          </w:p>
          <w:p w14:paraId="36B64145" w14:textId="77777777" w:rsidR="003E3FB4" w:rsidRDefault="003E3FB4">
            <w:pPr>
              <w:tabs>
                <w:tab w:val="left" w:pos="6173"/>
              </w:tabs>
              <w:spacing w:line="360" w:lineRule="auto"/>
              <w:jc w:val="both"/>
              <w:rPr>
                <w:rFonts w:asciiTheme="majorBidi" w:hAnsiTheme="majorBidi" w:cstheme="majorBidi"/>
                <w:b/>
                <w:bCs/>
                <w:sz w:val="24"/>
                <w:szCs w:val="24"/>
                <w:lang w:bidi="ar-DZ"/>
              </w:rPr>
            </w:pPr>
          </w:p>
        </w:tc>
      </w:tr>
      <w:tr w:rsidR="003E3FB4" w14:paraId="32C09D41" w14:textId="77777777">
        <w:trPr>
          <w:trHeight w:val="9459"/>
        </w:trPr>
        <w:tc>
          <w:tcPr>
            <w:tcW w:w="2016" w:type="dxa"/>
          </w:tcPr>
          <w:tbl>
            <w:tblPr>
              <w:tblStyle w:val="TableauNormal1"/>
              <w:tblW w:w="0" w:type="auto"/>
              <w:tblInd w:w="0" w:type="dxa"/>
              <w:tblCellMar>
                <w:top w:w="15" w:type="dxa"/>
                <w:left w:w="15" w:type="dxa"/>
                <w:bottom w:w="15" w:type="dxa"/>
                <w:right w:w="15" w:type="dxa"/>
              </w:tblCellMar>
              <w:tblLook w:val="04A0" w:firstRow="1" w:lastRow="0" w:firstColumn="1" w:lastColumn="0" w:noHBand="0" w:noVBand="1"/>
            </w:tblPr>
            <w:tblGrid>
              <w:gridCol w:w="1889"/>
            </w:tblGrid>
            <w:tr w:rsidR="003E3FB4" w14:paraId="20FC3589" w14:textId="77777777">
              <w:tc>
                <w:tcPr>
                  <w:tcW w:w="1889" w:type="dxa"/>
                  <w:noWrap/>
                  <w:vAlign w:val="bottom"/>
                </w:tcPr>
                <w:p w14:paraId="66E60289" w14:textId="77777777" w:rsidR="003E3FB4" w:rsidRDefault="00385ED0">
                  <w:pPr>
                    <w:rPr>
                      <w:color w:val="000000"/>
                      <w:kern w:val="0"/>
                      <w:sz w:val="24"/>
                      <w:szCs w:val="24"/>
                      <w:lang w:eastAsia="fr-FR"/>
                      <w14:ligatures w14:val="none"/>
                    </w:rPr>
                  </w:pPr>
                  <w:r>
                    <w:rPr>
                      <w:color w:val="000000"/>
                    </w:rPr>
                    <w:t>-Agitateur  </w:t>
                  </w:r>
                </w:p>
              </w:tc>
            </w:tr>
            <w:tr w:rsidR="003E3FB4" w14:paraId="0CB78488" w14:textId="77777777">
              <w:tc>
                <w:tcPr>
                  <w:tcW w:w="1889" w:type="dxa"/>
                  <w:noWrap/>
                  <w:vAlign w:val="bottom"/>
                </w:tcPr>
                <w:p w14:paraId="069E949A" w14:textId="77777777" w:rsidR="003E3FB4" w:rsidRDefault="00385ED0">
                  <w:pPr>
                    <w:rPr>
                      <w:color w:val="000000"/>
                    </w:rPr>
                  </w:pPr>
                  <w:r>
                    <w:rPr>
                      <w:color w:val="000000"/>
                    </w:rPr>
                    <w:t xml:space="preserve"> -Baron Magnétique </w:t>
                  </w:r>
                </w:p>
              </w:tc>
            </w:tr>
            <w:tr w:rsidR="003E3FB4" w14:paraId="5425B2BB" w14:textId="77777777">
              <w:tc>
                <w:tcPr>
                  <w:tcW w:w="1889" w:type="dxa"/>
                  <w:noWrap/>
                  <w:vAlign w:val="bottom"/>
                </w:tcPr>
                <w:p w14:paraId="77640BCD" w14:textId="77777777" w:rsidR="003E3FB4" w:rsidRDefault="00385ED0">
                  <w:pPr>
                    <w:rPr>
                      <w:color w:val="000000"/>
                    </w:rPr>
                  </w:pPr>
                  <w:r>
                    <w:rPr>
                      <w:color w:val="000000"/>
                    </w:rPr>
                    <w:t xml:space="preserve"> -Etuve </w:t>
                  </w:r>
                </w:p>
              </w:tc>
            </w:tr>
            <w:tr w:rsidR="003E3FB4" w14:paraId="3CFB0FCB" w14:textId="77777777">
              <w:tc>
                <w:tcPr>
                  <w:tcW w:w="1889" w:type="dxa"/>
                  <w:noWrap/>
                  <w:vAlign w:val="bottom"/>
                </w:tcPr>
                <w:p w14:paraId="45468221" w14:textId="77777777" w:rsidR="003E3FB4" w:rsidRDefault="00385ED0">
                  <w:pPr>
                    <w:rPr>
                      <w:color w:val="000000"/>
                    </w:rPr>
                  </w:pPr>
                  <w:r>
                    <w:rPr>
                      <w:color w:val="000000"/>
                    </w:rPr>
                    <w:t xml:space="preserve"> -Balance </w:t>
                  </w:r>
                </w:p>
              </w:tc>
            </w:tr>
            <w:tr w:rsidR="003E3FB4" w14:paraId="51FAA7C9" w14:textId="77777777">
              <w:tc>
                <w:tcPr>
                  <w:tcW w:w="1889" w:type="dxa"/>
                  <w:noWrap/>
                  <w:vAlign w:val="bottom"/>
                </w:tcPr>
                <w:p w14:paraId="0699B67E" w14:textId="77777777" w:rsidR="003E3FB4" w:rsidRDefault="00385ED0">
                  <w:pPr>
                    <w:rPr>
                      <w:color w:val="000000"/>
                    </w:rPr>
                  </w:pPr>
                  <w:r>
                    <w:rPr>
                      <w:color w:val="000000"/>
                    </w:rPr>
                    <w:t xml:space="preserve"> -Vortex </w:t>
                  </w:r>
                </w:p>
              </w:tc>
            </w:tr>
            <w:tr w:rsidR="003E3FB4" w14:paraId="5EAC40DA" w14:textId="77777777">
              <w:tc>
                <w:tcPr>
                  <w:tcW w:w="1889" w:type="dxa"/>
                  <w:noWrap/>
                  <w:vAlign w:val="bottom"/>
                </w:tcPr>
                <w:p w14:paraId="1803A3B6" w14:textId="77777777" w:rsidR="003E3FB4" w:rsidRDefault="00385ED0">
                  <w:pPr>
                    <w:rPr>
                      <w:color w:val="000000"/>
                    </w:rPr>
                  </w:pPr>
                  <w:r>
                    <w:rPr>
                      <w:color w:val="000000"/>
                    </w:rPr>
                    <w:t xml:space="preserve"> -Bain-Marie </w:t>
                  </w:r>
                </w:p>
              </w:tc>
            </w:tr>
            <w:tr w:rsidR="003E3FB4" w14:paraId="7DFEAE7D" w14:textId="77777777">
              <w:tc>
                <w:tcPr>
                  <w:tcW w:w="1889" w:type="dxa"/>
                  <w:noWrap/>
                  <w:vAlign w:val="bottom"/>
                </w:tcPr>
                <w:p w14:paraId="1140CCD4" w14:textId="77777777" w:rsidR="003E3FB4" w:rsidRDefault="00385ED0">
                  <w:pPr>
                    <w:rPr>
                      <w:color w:val="000000"/>
                    </w:rPr>
                  </w:pPr>
                  <w:r>
                    <w:rPr>
                      <w:color w:val="000000"/>
                    </w:rPr>
                    <w:t xml:space="preserve"> -Centrifugeuse </w:t>
                  </w:r>
                </w:p>
              </w:tc>
            </w:tr>
            <w:tr w:rsidR="003E3FB4" w14:paraId="6FCBB1F0" w14:textId="77777777">
              <w:tc>
                <w:tcPr>
                  <w:tcW w:w="1889" w:type="dxa"/>
                  <w:noWrap/>
                  <w:vAlign w:val="bottom"/>
                </w:tcPr>
                <w:p w14:paraId="2E78EA92" w14:textId="77777777" w:rsidR="003E3FB4" w:rsidRDefault="00385ED0">
                  <w:pPr>
                    <w:rPr>
                      <w:color w:val="000000"/>
                    </w:rPr>
                  </w:pPr>
                  <w:r>
                    <w:rPr>
                      <w:color w:val="000000"/>
                    </w:rPr>
                    <w:t> -Spectrophotomètre</w:t>
                  </w:r>
                </w:p>
              </w:tc>
            </w:tr>
            <w:tr w:rsidR="003E3FB4" w14:paraId="73F4927F" w14:textId="77777777">
              <w:tc>
                <w:tcPr>
                  <w:tcW w:w="1889" w:type="dxa"/>
                  <w:noWrap/>
                  <w:vAlign w:val="bottom"/>
                </w:tcPr>
                <w:p w14:paraId="7476284A" w14:textId="77777777" w:rsidR="003E3FB4" w:rsidRDefault="00385ED0">
                  <w:pPr>
                    <w:rPr>
                      <w:color w:val="000000"/>
                    </w:rPr>
                  </w:pPr>
                  <w:r>
                    <w:rPr>
                      <w:color w:val="000000"/>
                    </w:rPr>
                    <w:t> -Autoclave</w:t>
                  </w:r>
                </w:p>
              </w:tc>
            </w:tr>
          </w:tbl>
          <w:p w14:paraId="08A4F678" w14:textId="77777777" w:rsidR="003E3FB4" w:rsidRDefault="003E3FB4">
            <w:pPr>
              <w:tabs>
                <w:tab w:val="left" w:pos="6173"/>
              </w:tabs>
              <w:spacing w:line="360" w:lineRule="auto"/>
              <w:jc w:val="both"/>
              <w:rPr>
                <w:rFonts w:asciiTheme="majorBidi" w:hAnsiTheme="majorBidi" w:cstheme="majorBidi"/>
                <w:b/>
                <w:bCs/>
                <w:sz w:val="24"/>
                <w:szCs w:val="24"/>
                <w:lang w:bidi="ar-DZ"/>
              </w:rPr>
            </w:pPr>
          </w:p>
        </w:tc>
        <w:tc>
          <w:tcPr>
            <w:tcW w:w="2554" w:type="dxa"/>
          </w:tcPr>
          <w:tbl>
            <w:tblPr>
              <w:tblStyle w:val="TableauNormal1"/>
              <w:tblW w:w="0" w:type="auto"/>
              <w:tblInd w:w="0" w:type="dxa"/>
              <w:tblCellMar>
                <w:top w:w="15" w:type="dxa"/>
                <w:left w:w="15" w:type="dxa"/>
                <w:bottom w:w="15" w:type="dxa"/>
                <w:right w:w="15" w:type="dxa"/>
              </w:tblCellMar>
              <w:tblLook w:val="04A0" w:firstRow="1" w:lastRow="0" w:firstColumn="1" w:lastColumn="0" w:noHBand="0" w:noVBand="1"/>
            </w:tblPr>
            <w:tblGrid>
              <w:gridCol w:w="1838"/>
            </w:tblGrid>
            <w:tr w:rsidR="003E3FB4" w14:paraId="21942EBB" w14:textId="77777777">
              <w:tc>
                <w:tcPr>
                  <w:tcW w:w="1838" w:type="dxa"/>
                  <w:noWrap/>
                  <w:vAlign w:val="bottom"/>
                </w:tcPr>
                <w:p w14:paraId="3B901576" w14:textId="77777777" w:rsidR="003E3FB4" w:rsidRDefault="00385ED0">
                  <w:pPr>
                    <w:rPr>
                      <w:color w:val="000000"/>
                      <w:kern w:val="0"/>
                      <w:sz w:val="24"/>
                      <w:szCs w:val="24"/>
                      <w:lang w:eastAsia="fr-FR"/>
                      <w14:ligatures w14:val="none"/>
                    </w:rPr>
                  </w:pPr>
                  <w:r>
                    <w:rPr>
                      <w:color w:val="000000"/>
                    </w:rPr>
                    <w:t xml:space="preserve"> -Tubes A Essais Stériles </w:t>
                  </w:r>
                </w:p>
              </w:tc>
            </w:tr>
            <w:tr w:rsidR="003E3FB4" w14:paraId="196CA3AA" w14:textId="77777777">
              <w:tc>
                <w:tcPr>
                  <w:tcW w:w="1838" w:type="dxa"/>
                  <w:noWrap/>
                  <w:vAlign w:val="bottom"/>
                </w:tcPr>
                <w:p w14:paraId="4CD16DC3" w14:textId="77777777" w:rsidR="003E3FB4" w:rsidRDefault="00385ED0">
                  <w:pPr>
                    <w:rPr>
                      <w:color w:val="000000"/>
                    </w:rPr>
                  </w:pPr>
                  <w:r>
                    <w:rPr>
                      <w:color w:val="000000"/>
                    </w:rPr>
                    <w:t xml:space="preserve"> -Pipettes Pasteur </w:t>
                  </w:r>
                </w:p>
              </w:tc>
            </w:tr>
            <w:tr w:rsidR="003E3FB4" w14:paraId="6C4A8C30" w14:textId="77777777">
              <w:tc>
                <w:tcPr>
                  <w:tcW w:w="1838" w:type="dxa"/>
                  <w:noWrap/>
                  <w:vAlign w:val="bottom"/>
                </w:tcPr>
                <w:p w14:paraId="77CF71B8" w14:textId="77777777" w:rsidR="003E3FB4" w:rsidRDefault="00385ED0">
                  <w:pPr>
                    <w:rPr>
                      <w:color w:val="000000"/>
                    </w:rPr>
                  </w:pPr>
                  <w:r>
                    <w:rPr>
                      <w:color w:val="000000"/>
                    </w:rPr>
                    <w:t> -Entonnoir</w:t>
                  </w:r>
                </w:p>
              </w:tc>
            </w:tr>
            <w:tr w:rsidR="003E3FB4" w14:paraId="72AB3515" w14:textId="77777777">
              <w:tc>
                <w:tcPr>
                  <w:tcW w:w="1838" w:type="dxa"/>
                  <w:noWrap/>
                  <w:vAlign w:val="bottom"/>
                </w:tcPr>
                <w:p w14:paraId="02F10075" w14:textId="77777777" w:rsidR="003E3FB4" w:rsidRDefault="00385ED0">
                  <w:pPr>
                    <w:rPr>
                      <w:color w:val="000000"/>
                    </w:rPr>
                  </w:pPr>
                  <w:r>
                    <w:rPr>
                      <w:color w:val="000000"/>
                    </w:rPr>
                    <w:t> -Béchers</w:t>
                  </w:r>
                </w:p>
              </w:tc>
            </w:tr>
            <w:tr w:rsidR="003E3FB4" w14:paraId="4F85FD16" w14:textId="77777777">
              <w:tc>
                <w:tcPr>
                  <w:tcW w:w="1838" w:type="dxa"/>
                  <w:noWrap/>
                  <w:vAlign w:val="bottom"/>
                </w:tcPr>
                <w:p w14:paraId="2D2069C2" w14:textId="77777777" w:rsidR="003E3FB4" w:rsidRDefault="00385ED0">
                  <w:pPr>
                    <w:rPr>
                      <w:color w:val="000000"/>
                    </w:rPr>
                  </w:pPr>
                  <w:r>
                    <w:rPr>
                      <w:color w:val="000000"/>
                    </w:rPr>
                    <w:t> -Erlenmeyers</w:t>
                  </w:r>
                </w:p>
              </w:tc>
            </w:tr>
          </w:tbl>
          <w:p w14:paraId="624B0504" w14:textId="77777777" w:rsidR="003E3FB4" w:rsidRDefault="003E3FB4">
            <w:pPr>
              <w:tabs>
                <w:tab w:val="left" w:pos="6173"/>
              </w:tabs>
              <w:spacing w:line="360" w:lineRule="auto"/>
              <w:jc w:val="both"/>
              <w:rPr>
                <w:rFonts w:asciiTheme="majorBidi" w:hAnsiTheme="majorBidi" w:cstheme="majorBidi"/>
                <w:b/>
                <w:bCs/>
                <w:sz w:val="24"/>
                <w:szCs w:val="24"/>
                <w:lang w:bidi="ar-DZ"/>
              </w:rPr>
            </w:pPr>
          </w:p>
        </w:tc>
        <w:tc>
          <w:tcPr>
            <w:tcW w:w="2515" w:type="dxa"/>
          </w:tcPr>
          <w:tbl>
            <w:tblPr>
              <w:tblStyle w:val="TableauNormal1"/>
              <w:tblW w:w="0" w:type="auto"/>
              <w:tblInd w:w="0" w:type="dxa"/>
              <w:tblCellMar>
                <w:top w:w="15" w:type="dxa"/>
                <w:left w:w="15" w:type="dxa"/>
                <w:bottom w:w="15" w:type="dxa"/>
                <w:right w:w="15" w:type="dxa"/>
              </w:tblCellMar>
              <w:tblLook w:val="04A0" w:firstRow="1" w:lastRow="0" w:firstColumn="1" w:lastColumn="0" w:noHBand="0" w:noVBand="1"/>
            </w:tblPr>
            <w:tblGrid>
              <w:gridCol w:w="2987"/>
            </w:tblGrid>
            <w:tr w:rsidR="003E3FB4" w14:paraId="38994370" w14:textId="77777777">
              <w:tc>
                <w:tcPr>
                  <w:tcW w:w="2987" w:type="dxa"/>
                  <w:noWrap/>
                  <w:vAlign w:val="bottom"/>
                </w:tcPr>
                <w:p w14:paraId="730C43FD" w14:textId="77777777" w:rsidR="003E3FB4" w:rsidRDefault="00385ED0">
                  <w:pPr>
                    <w:rPr>
                      <w:color w:val="000000"/>
                      <w:kern w:val="0"/>
                      <w:sz w:val="24"/>
                      <w:szCs w:val="24"/>
                      <w:lang w:eastAsia="fr-FR"/>
                      <w14:ligatures w14:val="none"/>
                    </w:rPr>
                  </w:pPr>
                  <w:r>
                    <w:rPr>
                      <w:color w:val="000000"/>
                    </w:rPr>
                    <w:t xml:space="preserve"> -Ethanol </w:t>
                  </w:r>
                </w:p>
              </w:tc>
            </w:tr>
            <w:tr w:rsidR="003E3FB4" w14:paraId="6B6AA7FE" w14:textId="77777777">
              <w:tc>
                <w:tcPr>
                  <w:tcW w:w="2987" w:type="dxa"/>
                  <w:noWrap/>
                  <w:vAlign w:val="bottom"/>
                </w:tcPr>
                <w:p w14:paraId="6ABCE358" w14:textId="77777777" w:rsidR="003E3FB4" w:rsidRDefault="00385ED0">
                  <w:pPr>
                    <w:rPr>
                      <w:color w:val="000000"/>
                    </w:rPr>
                  </w:pPr>
                  <w:r>
                    <w:rPr>
                      <w:color w:val="000000"/>
                    </w:rPr>
                    <w:t> -DMSO</w:t>
                  </w:r>
                </w:p>
              </w:tc>
            </w:tr>
            <w:tr w:rsidR="003E3FB4" w14:paraId="3CD7D74B" w14:textId="77777777">
              <w:tc>
                <w:tcPr>
                  <w:tcW w:w="2987" w:type="dxa"/>
                  <w:noWrap/>
                  <w:vAlign w:val="bottom"/>
                </w:tcPr>
                <w:p w14:paraId="75BBB33B" w14:textId="77777777" w:rsidR="003E3FB4" w:rsidRDefault="00385ED0">
                  <w:pPr>
                    <w:rPr>
                      <w:color w:val="000000"/>
                    </w:rPr>
                  </w:pPr>
                  <w:r>
                    <w:rPr>
                      <w:color w:val="000000"/>
                    </w:rPr>
                    <w:t xml:space="preserve"> -Acide Chlorhydrique Concentré  </w:t>
                  </w:r>
                </w:p>
              </w:tc>
            </w:tr>
            <w:tr w:rsidR="003E3FB4" w14:paraId="0E5C0871" w14:textId="77777777">
              <w:tc>
                <w:tcPr>
                  <w:tcW w:w="2987" w:type="dxa"/>
                  <w:noWrap/>
                  <w:vAlign w:val="bottom"/>
                </w:tcPr>
                <w:p w14:paraId="3F6B31A3" w14:textId="77777777" w:rsidR="003E3FB4" w:rsidRDefault="00385ED0">
                  <w:pPr>
                    <w:rPr>
                      <w:color w:val="000000"/>
                    </w:rPr>
                  </w:pPr>
                  <w:r>
                    <w:rPr>
                      <w:color w:val="000000"/>
                    </w:rPr>
                    <w:t xml:space="preserve"> -Magnésium </w:t>
                  </w:r>
                </w:p>
              </w:tc>
            </w:tr>
            <w:tr w:rsidR="003E3FB4" w14:paraId="0EBE84D1" w14:textId="77777777">
              <w:tc>
                <w:tcPr>
                  <w:tcW w:w="2987" w:type="dxa"/>
                  <w:noWrap/>
                  <w:vAlign w:val="bottom"/>
                </w:tcPr>
                <w:p w14:paraId="7BBCA2CD" w14:textId="77777777" w:rsidR="003E3FB4" w:rsidRDefault="00385ED0">
                  <w:pPr>
                    <w:rPr>
                      <w:color w:val="000000"/>
                    </w:rPr>
                  </w:pPr>
                  <w:r>
                    <w:rPr>
                      <w:color w:val="000000"/>
                    </w:rPr>
                    <w:t> -Chlorure Ferrique (Fe Cl3</w:t>
                  </w:r>
                  <w:proofErr w:type="gramStart"/>
                  <w:r>
                    <w:rPr>
                      <w:color w:val="000000"/>
                    </w:rPr>
                    <w:t>)  1</w:t>
                  </w:r>
                  <w:proofErr w:type="gramEnd"/>
                  <w:r>
                    <w:rPr>
                      <w:color w:val="000000"/>
                    </w:rPr>
                    <w:t>%</w:t>
                  </w:r>
                </w:p>
              </w:tc>
            </w:tr>
            <w:tr w:rsidR="003E3FB4" w14:paraId="3AF5A9AD" w14:textId="77777777">
              <w:tc>
                <w:tcPr>
                  <w:tcW w:w="2987" w:type="dxa"/>
                  <w:noWrap/>
                  <w:vAlign w:val="bottom"/>
                </w:tcPr>
                <w:p w14:paraId="3DFA0098" w14:textId="77777777" w:rsidR="003E3FB4" w:rsidRDefault="00385ED0">
                  <w:pPr>
                    <w:rPr>
                      <w:color w:val="000000"/>
                    </w:rPr>
                  </w:pPr>
                  <w:r>
                    <w:rPr>
                      <w:color w:val="000000"/>
                    </w:rPr>
                    <w:t> -Ferricyanure De Potassium K3 (FE)(CN) 6à1 %</w:t>
                  </w:r>
                </w:p>
              </w:tc>
            </w:tr>
            <w:tr w:rsidR="003E3FB4" w14:paraId="776AA613" w14:textId="77777777">
              <w:tc>
                <w:tcPr>
                  <w:tcW w:w="2987" w:type="dxa"/>
                  <w:noWrap/>
                  <w:vAlign w:val="bottom"/>
                </w:tcPr>
                <w:p w14:paraId="7D7B1F3F" w14:textId="77777777" w:rsidR="003E3FB4" w:rsidRDefault="00385ED0">
                  <w:pPr>
                    <w:rPr>
                      <w:color w:val="000000"/>
                    </w:rPr>
                  </w:pPr>
                  <w:r>
                    <w:rPr>
                      <w:color w:val="000000"/>
                    </w:rPr>
                    <w:t> -DPPH (0,004%)</w:t>
                  </w:r>
                </w:p>
              </w:tc>
            </w:tr>
            <w:tr w:rsidR="003E3FB4" w14:paraId="224A9475" w14:textId="77777777">
              <w:tc>
                <w:tcPr>
                  <w:tcW w:w="2987" w:type="dxa"/>
                  <w:noWrap/>
                  <w:vAlign w:val="bottom"/>
                </w:tcPr>
                <w:p w14:paraId="51722036" w14:textId="77777777" w:rsidR="003E3FB4" w:rsidRDefault="00385ED0">
                  <w:pPr>
                    <w:rPr>
                      <w:color w:val="000000"/>
                    </w:rPr>
                  </w:pPr>
                  <w:r>
                    <w:rPr>
                      <w:color w:val="000000"/>
                    </w:rPr>
                    <w:t xml:space="preserve"> -H2SO4 Concentrée </w:t>
                  </w:r>
                </w:p>
              </w:tc>
            </w:tr>
            <w:tr w:rsidR="003E3FB4" w14:paraId="5A0FAE5D" w14:textId="77777777">
              <w:tc>
                <w:tcPr>
                  <w:tcW w:w="2987" w:type="dxa"/>
                  <w:noWrap/>
                  <w:vAlign w:val="bottom"/>
                </w:tcPr>
                <w:p w14:paraId="222E0201" w14:textId="77777777" w:rsidR="003E3FB4" w:rsidRDefault="00385ED0">
                  <w:pPr>
                    <w:rPr>
                      <w:color w:val="000000"/>
                    </w:rPr>
                  </w:pPr>
                  <w:r>
                    <w:rPr>
                      <w:color w:val="000000"/>
                    </w:rPr>
                    <w:t xml:space="preserve"> -Na2co3 </w:t>
                  </w:r>
                </w:p>
              </w:tc>
            </w:tr>
            <w:tr w:rsidR="003E3FB4" w14:paraId="09FCC8FB" w14:textId="77777777">
              <w:tc>
                <w:tcPr>
                  <w:tcW w:w="2987" w:type="dxa"/>
                  <w:noWrap/>
                  <w:vAlign w:val="bottom"/>
                </w:tcPr>
                <w:p w14:paraId="26A102FF" w14:textId="77777777" w:rsidR="003E3FB4" w:rsidRDefault="00385ED0">
                  <w:pPr>
                    <w:rPr>
                      <w:color w:val="000000"/>
                    </w:rPr>
                  </w:pPr>
                  <w:r>
                    <w:rPr>
                      <w:color w:val="000000"/>
                    </w:rPr>
                    <w:t xml:space="preserve"> -Acide Ascorbique </w:t>
                  </w:r>
                </w:p>
              </w:tc>
            </w:tr>
            <w:tr w:rsidR="003E3FB4" w14:paraId="245152DA" w14:textId="77777777">
              <w:tc>
                <w:tcPr>
                  <w:tcW w:w="2987" w:type="dxa"/>
                  <w:noWrap/>
                  <w:vAlign w:val="bottom"/>
                </w:tcPr>
                <w:p w14:paraId="41B6FE94" w14:textId="77777777" w:rsidR="003E3FB4" w:rsidRDefault="00385ED0">
                  <w:pPr>
                    <w:rPr>
                      <w:color w:val="000000"/>
                    </w:rPr>
                  </w:pPr>
                  <w:r>
                    <w:rPr>
                      <w:color w:val="000000"/>
                    </w:rPr>
                    <w:t> -BHT</w:t>
                  </w:r>
                </w:p>
              </w:tc>
            </w:tr>
            <w:tr w:rsidR="003E3FB4" w14:paraId="74DBDEEB" w14:textId="77777777">
              <w:tc>
                <w:tcPr>
                  <w:tcW w:w="2987" w:type="dxa"/>
                  <w:noWrap/>
                  <w:vAlign w:val="bottom"/>
                </w:tcPr>
                <w:p w14:paraId="5EE43BED" w14:textId="77777777" w:rsidR="003E3FB4" w:rsidRDefault="00385ED0">
                  <w:pPr>
                    <w:rPr>
                      <w:color w:val="000000"/>
                    </w:rPr>
                  </w:pPr>
                  <w:r>
                    <w:rPr>
                      <w:color w:val="000000"/>
                    </w:rPr>
                    <w:t xml:space="preserve">-Tampon Phosphate 0,2M (PH=6,6) </w:t>
                  </w:r>
                </w:p>
              </w:tc>
            </w:tr>
            <w:tr w:rsidR="003E3FB4" w14:paraId="55C8EB38" w14:textId="77777777">
              <w:tc>
                <w:tcPr>
                  <w:tcW w:w="2987" w:type="dxa"/>
                  <w:noWrap/>
                  <w:vAlign w:val="bottom"/>
                </w:tcPr>
                <w:p w14:paraId="3203C5D3" w14:textId="77777777" w:rsidR="003E3FB4" w:rsidRDefault="00385ED0">
                  <w:pPr>
                    <w:rPr>
                      <w:color w:val="000000"/>
                    </w:rPr>
                  </w:pPr>
                  <w:r>
                    <w:rPr>
                      <w:color w:val="000000"/>
                    </w:rPr>
                    <w:t xml:space="preserve"> -NAOH A1% </w:t>
                  </w:r>
                </w:p>
              </w:tc>
            </w:tr>
            <w:tr w:rsidR="003E3FB4" w14:paraId="2091EAFA" w14:textId="77777777">
              <w:tc>
                <w:tcPr>
                  <w:tcW w:w="2987" w:type="dxa"/>
                  <w:noWrap/>
                  <w:vAlign w:val="bottom"/>
                </w:tcPr>
                <w:p w14:paraId="17F4ACB2" w14:textId="77777777" w:rsidR="003E3FB4" w:rsidRDefault="00385ED0">
                  <w:pPr>
                    <w:rPr>
                      <w:color w:val="000000"/>
                    </w:rPr>
                  </w:pPr>
                  <w:r>
                    <w:rPr>
                      <w:color w:val="000000"/>
                    </w:rPr>
                    <w:t> -D’anhydride Acétique (C4H6O3)</w:t>
                  </w:r>
                </w:p>
              </w:tc>
            </w:tr>
            <w:tr w:rsidR="003E3FB4" w14:paraId="5532DF7D" w14:textId="77777777">
              <w:tc>
                <w:tcPr>
                  <w:tcW w:w="2987" w:type="dxa"/>
                  <w:noWrap/>
                  <w:vAlign w:val="bottom"/>
                </w:tcPr>
                <w:p w14:paraId="18F04925" w14:textId="77777777" w:rsidR="003E3FB4" w:rsidRDefault="00385ED0">
                  <w:pPr>
                    <w:rPr>
                      <w:color w:val="000000"/>
                    </w:rPr>
                  </w:pPr>
                  <w:r>
                    <w:rPr>
                      <w:color w:val="000000"/>
                    </w:rPr>
                    <w:t> -ALCL3 A 2%</w:t>
                  </w:r>
                </w:p>
              </w:tc>
            </w:tr>
            <w:tr w:rsidR="003E3FB4" w14:paraId="7DE21725" w14:textId="77777777">
              <w:tc>
                <w:tcPr>
                  <w:tcW w:w="2987" w:type="dxa"/>
                  <w:noWrap/>
                  <w:vAlign w:val="bottom"/>
                </w:tcPr>
                <w:p w14:paraId="1BB4B074" w14:textId="77777777" w:rsidR="003E3FB4" w:rsidRDefault="00385ED0">
                  <w:pPr>
                    <w:rPr>
                      <w:color w:val="000000"/>
                    </w:rPr>
                  </w:pPr>
                  <w:r>
                    <w:rPr>
                      <w:color w:val="000000"/>
                    </w:rPr>
                    <w:t xml:space="preserve"> -La Vanilline (C8h3o3) </w:t>
                  </w:r>
                </w:p>
              </w:tc>
            </w:tr>
            <w:tr w:rsidR="003E3FB4" w14:paraId="1DAF6659" w14:textId="77777777">
              <w:tc>
                <w:tcPr>
                  <w:tcW w:w="2987" w:type="dxa"/>
                  <w:noWrap/>
                  <w:vAlign w:val="bottom"/>
                </w:tcPr>
                <w:p w14:paraId="659EF1CE" w14:textId="77777777" w:rsidR="003E3FB4" w:rsidRDefault="00385ED0">
                  <w:pPr>
                    <w:rPr>
                      <w:color w:val="000000"/>
                    </w:rPr>
                  </w:pPr>
                  <w:r>
                    <w:rPr>
                      <w:color w:val="000000"/>
                    </w:rPr>
                    <w:t xml:space="preserve"> -BSA A 2% </w:t>
                  </w:r>
                </w:p>
              </w:tc>
            </w:tr>
            <w:tr w:rsidR="003E3FB4" w14:paraId="37E25309" w14:textId="77777777">
              <w:tc>
                <w:tcPr>
                  <w:tcW w:w="2987" w:type="dxa"/>
                  <w:noWrap/>
                  <w:vAlign w:val="bottom"/>
                </w:tcPr>
                <w:p w14:paraId="6CF61722" w14:textId="77777777" w:rsidR="003E3FB4" w:rsidRDefault="00385ED0">
                  <w:pPr>
                    <w:rPr>
                      <w:color w:val="000000"/>
                    </w:rPr>
                  </w:pPr>
                  <w:r>
                    <w:rPr>
                      <w:color w:val="000000"/>
                    </w:rPr>
                    <w:t xml:space="preserve"> -Acide Trichloracétique (TCA) A 10% </w:t>
                  </w:r>
                </w:p>
              </w:tc>
            </w:tr>
            <w:tr w:rsidR="003E3FB4" w14:paraId="6F8678B0" w14:textId="77777777">
              <w:tc>
                <w:tcPr>
                  <w:tcW w:w="2987" w:type="dxa"/>
                  <w:noWrap/>
                  <w:vAlign w:val="bottom"/>
                </w:tcPr>
                <w:p w14:paraId="00985877" w14:textId="77777777" w:rsidR="003E3FB4" w:rsidRDefault="00385ED0">
                  <w:pPr>
                    <w:rPr>
                      <w:color w:val="000000"/>
                    </w:rPr>
                  </w:pPr>
                  <w:r>
                    <w:rPr>
                      <w:color w:val="000000"/>
                    </w:rPr>
                    <w:t xml:space="preserve"> - Acide Chlorhydrique A 1% </w:t>
                  </w:r>
                </w:p>
              </w:tc>
            </w:tr>
          </w:tbl>
          <w:p w14:paraId="14D0DF45" w14:textId="77777777" w:rsidR="003E3FB4" w:rsidRDefault="003E3FB4">
            <w:pPr>
              <w:tabs>
                <w:tab w:val="left" w:pos="6173"/>
              </w:tabs>
              <w:spacing w:line="360" w:lineRule="auto"/>
              <w:jc w:val="both"/>
              <w:rPr>
                <w:rFonts w:asciiTheme="majorBidi" w:hAnsiTheme="majorBidi" w:cstheme="majorBidi"/>
                <w:b/>
                <w:bCs/>
                <w:sz w:val="24"/>
                <w:szCs w:val="24"/>
                <w:lang w:bidi="ar-DZ"/>
              </w:rPr>
            </w:pPr>
          </w:p>
        </w:tc>
        <w:tc>
          <w:tcPr>
            <w:tcW w:w="2054" w:type="dxa"/>
          </w:tcPr>
          <w:tbl>
            <w:tblPr>
              <w:tblStyle w:val="TableauNormal1"/>
              <w:tblW w:w="0" w:type="auto"/>
              <w:tblInd w:w="0" w:type="dxa"/>
              <w:tblCellMar>
                <w:top w:w="15" w:type="dxa"/>
                <w:left w:w="15" w:type="dxa"/>
                <w:bottom w:w="15" w:type="dxa"/>
                <w:right w:w="15" w:type="dxa"/>
              </w:tblCellMar>
              <w:tblLook w:val="04A0" w:firstRow="1" w:lastRow="0" w:firstColumn="1" w:lastColumn="0" w:noHBand="0" w:noVBand="1"/>
            </w:tblPr>
            <w:tblGrid>
              <w:gridCol w:w="2465"/>
            </w:tblGrid>
            <w:tr w:rsidR="003E3FB4" w14:paraId="4A622D65" w14:textId="77777777">
              <w:trPr>
                <w:trHeight w:val="457"/>
              </w:trPr>
              <w:tc>
                <w:tcPr>
                  <w:tcW w:w="2465" w:type="dxa"/>
                  <w:tcBorders>
                    <w:top w:val="nil"/>
                    <w:left w:val="nil"/>
                  </w:tcBorders>
                  <w:noWrap/>
                  <w:vAlign w:val="bottom"/>
                </w:tcPr>
                <w:p w14:paraId="2C12054D" w14:textId="77777777" w:rsidR="003E3FB4" w:rsidRDefault="00385ED0">
                  <w:pPr>
                    <w:rPr>
                      <w:color w:val="000000"/>
                      <w:kern w:val="0"/>
                      <w:sz w:val="24"/>
                      <w:szCs w:val="24"/>
                      <w:lang w:eastAsia="fr-FR"/>
                      <w14:ligatures w14:val="none"/>
                    </w:rPr>
                  </w:pPr>
                  <w:r>
                    <w:rPr>
                      <w:color w:val="000000"/>
                    </w:rPr>
                    <w:t> -Folin Ciocalteu</w:t>
                  </w:r>
                </w:p>
              </w:tc>
            </w:tr>
            <w:tr w:rsidR="003E3FB4" w14:paraId="0FE2A104" w14:textId="77777777">
              <w:trPr>
                <w:trHeight w:val="457"/>
              </w:trPr>
              <w:tc>
                <w:tcPr>
                  <w:tcW w:w="2465" w:type="dxa"/>
                  <w:tcBorders>
                    <w:top w:val="nil"/>
                    <w:left w:val="nil"/>
                  </w:tcBorders>
                  <w:noWrap/>
                  <w:vAlign w:val="bottom"/>
                </w:tcPr>
                <w:p w14:paraId="33744E0A" w14:textId="77777777" w:rsidR="003E3FB4" w:rsidRDefault="00385ED0">
                  <w:pPr>
                    <w:rPr>
                      <w:color w:val="000000"/>
                    </w:rPr>
                  </w:pPr>
                  <w:r>
                    <w:rPr>
                      <w:color w:val="000000"/>
                    </w:rPr>
                    <w:t>-Réactif De Mayer</w:t>
                  </w:r>
                </w:p>
              </w:tc>
            </w:tr>
            <w:tr w:rsidR="003E3FB4" w14:paraId="4F8DD2FB" w14:textId="77777777">
              <w:trPr>
                <w:trHeight w:val="457"/>
              </w:trPr>
              <w:tc>
                <w:tcPr>
                  <w:tcW w:w="2465" w:type="dxa"/>
                  <w:tcBorders>
                    <w:top w:val="nil"/>
                    <w:left w:val="nil"/>
                  </w:tcBorders>
                  <w:noWrap/>
                  <w:vAlign w:val="bottom"/>
                </w:tcPr>
                <w:p w14:paraId="0447BF98" w14:textId="77777777" w:rsidR="003E3FB4" w:rsidRDefault="00385ED0">
                  <w:pPr>
                    <w:rPr>
                      <w:color w:val="000000"/>
                    </w:rPr>
                  </w:pPr>
                  <w:r>
                    <w:rPr>
                      <w:color w:val="000000"/>
                    </w:rPr>
                    <w:t> -</w:t>
                  </w:r>
                  <w:r>
                    <w:rPr>
                      <w:rFonts w:eastAsia="Calibri"/>
                    </w:rPr>
                    <w:t xml:space="preserve"> Chlorure Mercurique (Hgcl</w:t>
                  </w:r>
                  <w:proofErr w:type="gramStart"/>
                  <w:r>
                    <w:rPr>
                      <w:rFonts w:eastAsia="Calibri"/>
                    </w:rPr>
                    <w:t>2</w:t>
                  </w:r>
                  <w:r>
                    <w:rPr>
                      <w:rFonts w:eastAsia="Calibri"/>
                      <w:b/>
                      <w:bCs/>
                    </w:rPr>
                    <w:t xml:space="preserve"> )</w:t>
                  </w:r>
                  <w:proofErr w:type="gramEnd"/>
                </w:p>
              </w:tc>
            </w:tr>
            <w:tr w:rsidR="003E3FB4" w14:paraId="515CE144" w14:textId="77777777">
              <w:trPr>
                <w:trHeight w:val="457"/>
              </w:trPr>
              <w:tc>
                <w:tcPr>
                  <w:tcW w:w="2465" w:type="dxa"/>
                  <w:tcBorders>
                    <w:top w:val="nil"/>
                    <w:left w:val="nil"/>
                  </w:tcBorders>
                  <w:noWrap/>
                  <w:vAlign w:val="bottom"/>
                </w:tcPr>
                <w:p w14:paraId="0EE3B9D5" w14:textId="77777777" w:rsidR="003E3FB4" w:rsidRDefault="00385ED0">
                  <w:pPr>
                    <w:rPr>
                      <w:color w:val="000000"/>
                    </w:rPr>
                  </w:pPr>
                  <w:r>
                    <w:rPr>
                      <w:color w:val="000000"/>
                    </w:rPr>
                    <w:t>- </w:t>
                  </w:r>
                  <w:r>
                    <w:rPr>
                      <w:rFonts w:eastAsia="Calibri"/>
                    </w:rPr>
                    <w:t>D’iodure De Potassium (KI)</w:t>
                  </w:r>
                </w:p>
              </w:tc>
            </w:tr>
          </w:tbl>
          <w:p w14:paraId="733AD314" w14:textId="77777777" w:rsidR="003E3FB4" w:rsidRDefault="003E3FB4">
            <w:pPr>
              <w:tabs>
                <w:tab w:val="left" w:pos="6173"/>
              </w:tabs>
              <w:spacing w:line="360" w:lineRule="auto"/>
              <w:jc w:val="both"/>
              <w:rPr>
                <w:rFonts w:asciiTheme="majorBidi" w:hAnsiTheme="majorBidi" w:cstheme="majorBidi"/>
                <w:b/>
                <w:bCs/>
                <w:sz w:val="24"/>
                <w:szCs w:val="24"/>
                <w:lang w:bidi="ar-DZ"/>
              </w:rPr>
            </w:pPr>
          </w:p>
        </w:tc>
      </w:tr>
    </w:tbl>
    <w:p w14:paraId="225D8B2D" w14:textId="77777777" w:rsidR="003E3FB4" w:rsidRDefault="003E3FB4">
      <w:pPr>
        <w:tabs>
          <w:tab w:val="left" w:pos="6173"/>
        </w:tabs>
        <w:spacing w:line="360" w:lineRule="auto"/>
        <w:jc w:val="both"/>
        <w:rPr>
          <w:rFonts w:asciiTheme="majorBidi" w:hAnsiTheme="majorBidi" w:cstheme="majorBidi"/>
          <w:b/>
          <w:bCs/>
          <w:sz w:val="24"/>
          <w:szCs w:val="24"/>
          <w:lang w:bidi="ar-DZ"/>
        </w:rPr>
      </w:pPr>
    </w:p>
    <w:p w14:paraId="79B0F88A" w14:textId="77777777" w:rsidR="003E3FB4" w:rsidRDefault="00385ED0">
      <w:pPr>
        <w:tabs>
          <w:tab w:val="left" w:pos="6173"/>
        </w:tabs>
        <w:spacing w:line="360" w:lineRule="auto"/>
        <w:jc w:val="both"/>
        <w:rPr>
          <w:rFonts w:asciiTheme="majorBidi" w:hAnsiTheme="majorBidi" w:cstheme="majorBidi"/>
          <w:b/>
          <w:bCs/>
          <w:sz w:val="28"/>
          <w:szCs w:val="28"/>
          <w:lang w:bidi="ar-DZ"/>
        </w:rPr>
      </w:pPr>
      <w:r>
        <w:rPr>
          <w:rFonts w:asciiTheme="majorBidi" w:hAnsiTheme="majorBidi" w:cstheme="majorBidi"/>
          <w:b/>
          <w:bCs/>
          <w:sz w:val="28"/>
          <w:szCs w:val="28"/>
          <w:lang w:bidi="ar-DZ"/>
        </w:rPr>
        <w:t xml:space="preserve">                       </w:t>
      </w:r>
    </w:p>
    <w:p w14:paraId="153BB302" w14:textId="77777777" w:rsidR="003E3FB4" w:rsidRDefault="003E3FB4">
      <w:pPr>
        <w:tabs>
          <w:tab w:val="left" w:pos="6173"/>
        </w:tabs>
        <w:spacing w:line="360" w:lineRule="auto"/>
        <w:jc w:val="both"/>
        <w:rPr>
          <w:rFonts w:asciiTheme="majorBidi" w:hAnsiTheme="majorBidi" w:cstheme="majorBidi"/>
          <w:b/>
          <w:bCs/>
          <w:sz w:val="28"/>
          <w:szCs w:val="28"/>
          <w:lang w:bidi="ar-DZ"/>
        </w:rPr>
      </w:pPr>
    </w:p>
    <w:p w14:paraId="4FE1BFC0" w14:textId="77777777" w:rsidR="004A3F2A" w:rsidRDefault="00385ED0">
      <w:pPr>
        <w:tabs>
          <w:tab w:val="left" w:pos="6173"/>
        </w:tabs>
        <w:spacing w:line="360" w:lineRule="auto"/>
        <w:jc w:val="both"/>
        <w:rPr>
          <w:rFonts w:asciiTheme="majorBidi" w:hAnsiTheme="majorBidi" w:cstheme="majorBidi"/>
          <w:b/>
          <w:bCs/>
          <w:sz w:val="28"/>
          <w:szCs w:val="28"/>
          <w:lang w:bidi="ar-DZ"/>
        </w:rPr>
      </w:pPr>
      <w:r>
        <w:rPr>
          <w:rFonts w:asciiTheme="majorBidi" w:hAnsiTheme="majorBidi" w:cstheme="majorBidi"/>
          <w:b/>
          <w:bCs/>
          <w:sz w:val="28"/>
          <w:szCs w:val="28"/>
          <w:lang w:bidi="ar-DZ"/>
        </w:rPr>
        <w:t xml:space="preserve">                            </w:t>
      </w:r>
    </w:p>
    <w:p w14:paraId="2E4F045B" w14:textId="50DD2BAF" w:rsidR="003E3FB4" w:rsidRDefault="00385ED0">
      <w:pPr>
        <w:tabs>
          <w:tab w:val="left" w:pos="6173"/>
        </w:tabs>
        <w:spacing w:line="360" w:lineRule="auto"/>
        <w:jc w:val="both"/>
        <w:rPr>
          <w:rFonts w:asciiTheme="majorBidi" w:hAnsiTheme="majorBidi" w:cstheme="majorBidi"/>
          <w:b/>
          <w:bCs/>
          <w:sz w:val="24"/>
          <w:szCs w:val="24"/>
          <w:lang w:bidi="ar-DZ"/>
        </w:rPr>
      </w:pPr>
      <w:r>
        <w:rPr>
          <w:rFonts w:asciiTheme="majorBidi" w:hAnsiTheme="majorBidi" w:cstheme="majorBidi"/>
          <w:b/>
          <w:bCs/>
          <w:sz w:val="28"/>
          <w:szCs w:val="28"/>
          <w:u w:val="single"/>
          <w:lang w:bidi="ar-DZ"/>
        </w:rPr>
        <w:lastRenderedPageBreak/>
        <w:t>Annexe N° 02</w:t>
      </w:r>
      <w:r>
        <w:rPr>
          <w:rFonts w:asciiTheme="majorBidi" w:hAnsiTheme="majorBidi" w:cstheme="majorBidi"/>
          <w:b/>
          <w:bCs/>
          <w:sz w:val="24"/>
          <w:szCs w:val="24"/>
          <w:lang w:bidi="ar-DZ"/>
        </w:rPr>
        <w:t xml:space="preserve"> Les courbes d’étalon </w:t>
      </w:r>
    </w:p>
    <w:p w14:paraId="2866EC7B" w14:textId="77777777" w:rsidR="003E3FB4" w:rsidRDefault="00385ED0">
      <w:pPr>
        <w:tabs>
          <w:tab w:val="left" w:pos="6173"/>
        </w:tabs>
        <w:spacing w:line="360" w:lineRule="auto"/>
        <w:jc w:val="both"/>
        <w:rPr>
          <w:rFonts w:asciiTheme="majorBidi" w:hAnsiTheme="majorBidi" w:cstheme="majorBidi"/>
          <w:b/>
          <w:bCs/>
          <w:sz w:val="24"/>
          <w:szCs w:val="24"/>
          <w:lang w:bidi="ar-DZ"/>
        </w:rPr>
      </w:pPr>
      <w:r>
        <w:rPr>
          <w:rFonts w:asciiTheme="majorBidi" w:hAnsiTheme="majorBidi" w:cstheme="majorBidi"/>
          <w:b/>
          <w:bCs/>
          <w:sz w:val="24"/>
          <w:szCs w:val="24"/>
          <w:lang w:bidi="ar-DZ"/>
        </w:rPr>
        <w:t>1)- courbe d’étalon de l’acide gallique</w:t>
      </w:r>
    </w:p>
    <w:p w14:paraId="0F8AE0DC" w14:textId="77777777" w:rsidR="003E3FB4" w:rsidRDefault="00385ED0">
      <w:pPr>
        <w:tabs>
          <w:tab w:val="left" w:pos="6173"/>
        </w:tabs>
        <w:spacing w:line="360" w:lineRule="auto"/>
        <w:jc w:val="both"/>
        <w:rPr>
          <w:rFonts w:asciiTheme="majorBidi" w:hAnsiTheme="majorBidi" w:cstheme="majorBidi"/>
          <w:b/>
          <w:bCs/>
          <w:sz w:val="24"/>
          <w:szCs w:val="24"/>
          <w:lang w:bidi="ar-DZ"/>
        </w:rPr>
      </w:pPr>
      <w:r>
        <w:rPr>
          <w:noProof/>
        </w:rPr>
        <w:drawing>
          <wp:inline distT="0" distB="0" distL="0" distR="0" wp14:anchorId="660DB96E" wp14:editId="378F9285">
            <wp:extent cx="4552950" cy="2308860"/>
            <wp:effectExtent l="0" t="0" r="0" b="0"/>
            <wp:docPr id="1153639489"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3639489" name="Image 1"/>
                    <pic:cNvPicPr>
                      <a:picLocks noChangeAspect="1"/>
                    </pic:cNvPicPr>
                  </pic:nvPicPr>
                  <pic:blipFill>
                    <a:blip r:embed="rId127"/>
                    <a:stretch>
                      <a:fillRect/>
                    </a:stretch>
                  </pic:blipFill>
                  <pic:spPr>
                    <a:xfrm>
                      <a:off x="0" y="0"/>
                      <a:ext cx="4564670" cy="2314803"/>
                    </a:xfrm>
                    <a:prstGeom prst="rect">
                      <a:avLst/>
                    </a:prstGeom>
                  </pic:spPr>
                </pic:pic>
              </a:graphicData>
            </a:graphic>
          </wp:inline>
        </w:drawing>
      </w:r>
    </w:p>
    <w:p w14:paraId="5DE117E9" w14:textId="77777777" w:rsidR="003E3FB4" w:rsidRDefault="00385ED0">
      <w:pPr>
        <w:tabs>
          <w:tab w:val="left" w:pos="6173"/>
        </w:tabs>
        <w:spacing w:line="360" w:lineRule="auto"/>
        <w:jc w:val="both"/>
        <w:rPr>
          <w:rFonts w:asciiTheme="majorBidi" w:hAnsiTheme="majorBidi" w:cstheme="majorBidi"/>
          <w:b/>
          <w:bCs/>
          <w:sz w:val="24"/>
          <w:szCs w:val="24"/>
          <w:lang w:bidi="ar-DZ"/>
        </w:rPr>
      </w:pPr>
      <w:r>
        <w:rPr>
          <w:rFonts w:asciiTheme="majorBidi" w:hAnsiTheme="majorBidi" w:cstheme="majorBidi"/>
          <w:b/>
          <w:bCs/>
          <w:sz w:val="24"/>
          <w:szCs w:val="24"/>
          <w:lang w:bidi="ar-DZ"/>
        </w:rPr>
        <w:t xml:space="preserve"> 2)- Courbe d’étalon de quercétine</w:t>
      </w:r>
    </w:p>
    <w:p w14:paraId="1F5F2422" w14:textId="77777777" w:rsidR="003E3FB4" w:rsidRDefault="00385ED0">
      <w:pPr>
        <w:tabs>
          <w:tab w:val="left" w:pos="6173"/>
        </w:tabs>
        <w:spacing w:line="360" w:lineRule="auto"/>
        <w:jc w:val="both"/>
        <w:rPr>
          <w:rFonts w:asciiTheme="majorBidi" w:hAnsiTheme="majorBidi" w:cstheme="majorBidi"/>
          <w:b/>
          <w:bCs/>
          <w:sz w:val="24"/>
          <w:szCs w:val="24"/>
          <w:lang w:bidi="ar-DZ"/>
        </w:rPr>
      </w:pPr>
      <w:r>
        <w:rPr>
          <w:noProof/>
        </w:rPr>
        <w:drawing>
          <wp:inline distT="0" distB="0" distL="0" distR="0" wp14:anchorId="19F4BED4" wp14:editId="5D497B91">
            <wp:extent cx="5200650" cy="2321560"/>
            <wp:effectExtent l="0" t="0" r="0" b="2540"/>
            <wp:docPr id="1411578710"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1578710" name="Image 1"/>
                    <pic:cNvPicPr>
                      <a:picLocks noChangeAspect="1"/>
                    </pic:cNvPicPr>
                  </pic:nvPicPr>
                  <pic:blipFill>
                    <a:blip r:embed="rId128"/>
                    <a:stretch>
                      <a:fillRect/>
                    </a:stretch>
                  </pic:blipFill>
                  <pic:spPr>
                    <a:xfrm>
                      <a:off x="0" y="0"/>
                      <a:ext cx="5235842" cy="2337270"/>
                    </a:xfrm>
                    <a:prstGeom prst="rect">
                      <a:avLst/>
                    </a:prstGeom>
                  </pic:spPr>
                </pic:pic>
              </a:graphicData>
            </a:graphic>
          </wp:inline>
        </w:drawing>
      </w:r>
    </w:p>
    <w:p w14:paraId="1FF9E1B4" w14:textId="77777777" w:rsidR="003E3FB4" w:rsidRDefault="00385ED0">
      <w:pPr>
        <w:tabs>
          <w:tab w:val="left" w:pos="6173"/>
        </w:tabs>
        <w:spacing w:line="360" w:lineRule="auto"/>
        <w:jc w:val="both"/>
        <w:rPr>
          <w:rFonts w:asciiTheme="majorBidi" w:hAnsiTheme="majorBidi" w:cstheme="majorBidi"/>
          <w:b/>
          <w:bCs/>
          <w:sz w:val="28"/>
          <w:szCs w:val="28"/>
          <w:lang w:bidi="ar-DZ"/>
        </w:rPr>
      </w:pPr>
      <w:r>
        <w:rPr>
          <w:rFonts w:asciiTheme="majorBidi" w:hAnsiTheme="majorBidi" w:cstheme="majorBidi"/>
          <w:b/>
          <w:bCs/>
          <w:sz w:val="24"/>
          <w:szCs w:val="24"/>
          <w:lang w:bidi="ar-DZ"/>
        </w:rPr>
        <w:t>3)- Courbe d’étalon de Catéchine</w:t>
      </w:r>
    </w:p>
    <w:p w14:paraId="15EF228B" w14:textId="13442A9B" w:rsidR="003E3FB4" w:rsidRDefault="00385ED0" w:rsidP="004A3F2A">
      <w:pPr>
        <w:tabs>
          <w:tab w:val="left" w:pos="6173"/>
        </w:tabs>
        <w:spacing w:line="360" w:lineRule="auto"/>
        <w:jc w:val="both"/>
        <w:rPr>
          <w:rFonts w:asciiTheme="majorBidi" w:hAnsiTheme="majorBidi" w:cstheme="majorBidi"/>
          <w:sz w:val="28"/>
          <w:szCs w:val="28"/>
          <w:lang w:bidi="ar-DZ"/>
        </w:rPr>
      </w:pPr>
      <w:r>
        <w:rPr>
          <w:noProof/>
        </w:rPr>
        <w:drawing>
          <wp:inline distT="0" distB="0" distL="0" distR="0" wp14:anchorId="67165E7D" wp14:editId="6033C211">
            <wp:extent cx="4381500" cy="2214880"/>
            <wp:effectExtent l="0" t="0" r="0" b="0"/>
            <wp:docPr id="389904164"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9904164" name="Image 1"/>
                    <pic:cNvPicPr>
                      <a:picLocks noChangeAspect="1"/>
                    </pic:cNvPicPr>
                  </pic:nvPicPr>
                  <pic:blipFill>
                    <a:blip r:embed="rId129"/>
                    <a:stretch>
                      <a:fillRect/>
                    </a:stretch>
                  </pic:blipFill>
                  <pic:spPr>
                    <a:xfrm>
                      <a:off x="0" y="0"/>
                      <a:ext cx="4389632" cy="2219009"/>
                    </a:xfrm>
                    <a:prstGeom prst="rect">
                      <a:avLst/>
                    </a:prstGeom>
                  </pic:spPr>
                </pic:pic>
              </a:graphicData>
            </a:graphic>
          </wp:inline>
        </w:drawing>
      </w:r>
      <w:r>
        <w:rPr>
          <w:rFonts w:asciiTheme="majorBidi" w:hAnsiTheme="majorBidi" w:cstheme="majorBidi"/>
          <w:b/>
          <w:bCs/>
          <w:sz w:val="24"/>
          <w:szCs w:val="24"/>
          <w:lang w:bidi="ar-DZ"/>
        </w:rPr>
        <w:t xml:space="preserve"> </w:t>
      </w:r>
    </w:p>
    <w:sectPr w:rsidR="003E3FB4">
      <w:headerReference w:type="default" r:id="rId130"/>
      <w:footerReference w:type="default" r:id="rId131"/>
      <w:pgSz w:w="11906" w:h="16838"/>
      <w:pgMar w:top="1417" w:right="1417" w:bottom="1417" w:left="1417"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50B2A01" w14:textId="77777777" w:rsidR="004555B9" w:rsidRDefault="004555B9">
      <w:pPr>
        <w:spacing w:line="240" w:lineRule="auto"/>
      </w:pPr>
      <w:r>
        <w:separator/>
      </w:r>
    </w:p>
  </w:endnote>
  <w:endnote w:type="continuationSeparator" w:id="0">
    <w:p w14:paraId="26881715" w14:textId="77777777" w:rsidR="004555B9" w:rsidRDefault="004555B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DengXian">
    <w:altName w:val="等线"/>
    <w:panose1 w:val="02010600030101010101"/>
    <w:charset w:val="86"/>
    <w:family w:val="auto"/>
    <w:pitch w:val="variable"/>
    <w:sig w:usb0="A00002BF" w:usb1="38CF7CFA" w:usb2="00000016" w:usb3="00000000" w:csb0="0004000F" w:csb1="00000000"/>
  </w:font>
  <w:font w:name="Bell MT">
    <w:charset w:val="00"/>
    <w:family w:val="roman"/>
    <w:pitch w:val="variable"/>
    <w:sig w:usb0="00000003" w:usb1="00000000" w:usb2="00000000" w:usb3="00000000" w:csb0="00000001" w:csb1="00000000"/>
  </w:font>
  <w:font w:name="Calisto MT">
    <w:charset w:val="00"/>
    <w:family w:val="roman"/>
    <w:pitch w:val="variable"/>
    <w:sig w:usb0="00000003" w:usb1="00000000" w:usb2="00000000" w:usb3="00000000" w:csb0="00000001" w:csb1="00000000"/>
  </w:font>
  <w:font w:name="Monotype Corsiva">
    <w:panose1 w:val="03010101010201010101"/>
    <w:charset w:val="00"/>
    <w:family w:val="script"/>
    <w:pitch w:val="variable"/>
    <w:sig w:usb0="00000287" w:usb1="00000000" w:usb2="00000000" w:usb3="00000000" w:csb0="0000009F" w:csb1="00000000"/>
  </w:font>
  <w:font w:name="Gabriola">
    <w:panose1 w:val="04040605051002020D02"/>
    <w:charset w:val="00"/>
    <w:family w:val="decorative"/>
    <w:pitch w:val="variable"/>
    <w:sig w:usb0="E00002EF" w:usb1="5000204B" w:usb2="00000000" w:usb3="00000000" w:csb0="0000009F" w:csb1="00000000"/>
  </w:font>
  <w:font w:name="inter">
    <w:altName w:val="Cambria"/>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12Akruti Image">
    <w:altName w:val="Calibri"/>
    <w:panose1 w:val="00000400000000000000"/>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828478120"/>
    </w:sdtPr>
    <w:sdtContent>
      <w:p w14:paraId="10D42108" w14:textId="2A370851" w:rsidR="003E3FB4" w:rsidRDefault="00385ED0">
        <w:pPr>
          <w:pStyle w:val="Pieddepage"/>
          <w:jc w:val="center"/>
        </w:pPr>
        <w:r>
          <w:fldChar w:fldCharType="begin"/>
        </w:r>
        <w:r>
          <w:instrText>PAGE   \* MERGEFORMAT</w:instrText>
        </w:r>
        <w:r>
          <w:fldChar w:fldCharType="separate"/>
        </w:r>
        <w:r>
          <w:t>2</w:t>
        </w:r>
        <w:r>
          <w:fldChar w:fldCharType="end"/>
        </w:r>
      </w:p>
    </w:sdtContent>
  </w:sdt>
  <w:p w14:paraId="108C4B51" w14:textId="71321AB2" w:rsidR="001314B3" w:rsidRDefault="001314B3">
    <w:pPr>
      <w:pStyle w:val="Pieddepage"/>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736691123"/>
      <w:docPartObj>
        <w:docPartGallery w:val="Page Numbers (Bottom of Page)"/>
        <w:docPartUnique/>
      </w:docPartObj>
    </w:sdtPr>
    <w:sdtContent>
      <w:p w14:paraId="4108BE8E" w14:textId="4EE542C0" w:rsidR="00A13D03" w:rsidRDefault="00A13D03">
        <w:pPr>
          <w:pStyle w:val="Pieddepage"/>
          <w:jc w:val="center"/>
        </w:pPr>
        <w:r>
          <w:fldChar w:fldCharType="begin"/>
        </w:r>
        <w:r>
          <w:instrText>PAGE   \* MERGEFORMAT</w:instrText>
        </w:r>
        <w:r>
          <w:fldChar w:fldCharType="separate"/>
        </w:r>
        <w:r>
          <w:t>2</w:t>
        </w:r>
        <w:r>
          <w:fldChar w:fldCharType="end"/>
        </w:r>
      </w:p>
    </w:sdtContent>
  </w:sdt>
  <w:p w14:paraId="58702959" w14:textId="77777777" w:rsidR="00A13D03" w:rsidRDefault="00A13D03">
    <w:pPr>
      <w:pStyle w:val="Pieddepage"/>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74A0E1E" w14:textId="6C573FE3" w:rsidR="00A13D03" w:rsidRDefault="00A13D03">
    <w:pPr>
      <w:pStyle w:val="Pieddepage"/>
      <w:jc w:val="center"/>
    </w:pPr>
  </w:p>
  <w:p w14:paraId="7F0C7AB9" w14:textId="77777777" w:rsidR="00A13D03" w:rsidRDefault="00A13D03">
    <w:pPr>
      <w:pStyle w:val="Pieddepage"/>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658535351"/>
      <w:docPartObj>
        <w:docPartGallery w:val="Page Numbers (Bottom of Page)"/>
        <w:docPartUnique/>
      </w:docPartObj>
    </w:sdtPr>
    <w:sdtContent>
      <w:p w14:paraId="7C663B22" w14:textId="4CD2D06B" w:rsidR="003C679C" w:rsidRDefault="003C679C">
        <w:pPr>
          <w:pStyle w:val="Pieddepage"/>
          <w:jc w:val="center"/>
        </w:pPr>
        <w:r>
          <w:fldChar w:fldCharType="begin"/>
        </w:r>
        <w:r>
          <w:instrText>PAGE   \* MERGEFORMAT</w:instrText>
        </w:r>
        <w:r>
          <w:fldChar w:fldCharType="separate"/>
        </w:r>
        <w:r>
          <w:t>2</w:t>
        </w:r>
        <w:r>
          <w:fldChar w:fldCharType="end"/>
        </w:r>
      </w:p>
    </w:sdtContent>
  </w:sdt>
  <w:p w14:paraId="48AF924F" w14:textId="77777777" w:rsidR="007575EF" w:rsidRDefault="007575EF">
    <w:pPr>
      <w:pStyle w:val="Pieddepage"/>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C90D867" w14:textId="26CF2EE3" w:rsidR="003C679C" w:rsidRDefault="003C679C">
    <w:pPr>
      <w:pStyle w:val="Pieddepage"/>
      <w:jc w:val="center"/>
    </w:pPr>
  </w:p>
  <w:p w14:paraId="2BCA92BA" w14:textId="77777777" w:rsidR="003C679C" w:rsidRDefault="003C679C">
    <w:pPr>
      <w:pStyle w:val="Pieddepage"/>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20503415"/>
    </w:sdtPr>
    <w:sdtContent>
      <w:p w14:paraId="113984B4" w14:textId="77777777" w:rsidR="003E3FB4" w:rsidRDefault="00385ED0">
        <w:pPr>
          <w:pStyle w:val="Pieddepage"/>
          <w:jc w:val="center"/>
        </w:pPr>
        <w:r>
          <w:fldChar w:fldCharType="begin"/>
        </w:r>
        <w:r>
          <w:instrText>PAGE   \* MERGEFORMAT</w:instrText>
        </w:r>
        <w:r>
          <w:fldChar w:fldCharType="separate"/>
        </w:r>
        <w:r>
          <w:t>2</w:t>
        </w:r>
        <w:r>
          <w:fldChar w:fldCharType="end"/>
        </w:r>
      </w:p>
    </w:sdtContent>
  </w:sdt>
  <w:p w14:paraId="66A4A13D" w14:textId="77777777" w:rsidR="003E3FB4" w:rsidRDefault="003E3FB4">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834351236"/>
    </w:sdtPr>
    <w:sdtContent>
      <w:p w14:paraId="44B66E0C" w14:textId="77777777" w:rsidR="00B81C1B" w:rsidRDefault="00B81C1B">
        <w:pPr>
          <w:pStyle w:val="Pieddepage"/>
          <w:jc w:val="center"/>
        </w:pPr>
        <w:r>
          <w:fldChar w:fldCharType="begin"/>
        </w:r>
        <w:r>
          <w:instrText>PAGE   \* MERGEFORMAT</w:instrText>
        </w:r>
        <w:r>
          <w:fldChar w:fldCharType="separate"/>
        </w:r>
        <w:r>
          <w:t>2</w:t>
        </w:r>
        <w:r>
          <w:fldChar w:fldCharType="end"/>
        </w:r>
      </w:p>
    </w:sdtContent>
  </w:sdt>
  <w:p w14:paraId="25A8959B" w14:textId="77777777" w:rsidR="00B81C1B" w:rsidRDefault="00B81C1B">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6525A85" w14:textId="77777777" w:rsidR="001314B3" w:rsidRDefault="001314B3">
    <w:pPr>
      <w:pStyle w:val="Pieddepage"/>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99910999"/>
      <w:docPartObj>
        <w:docPartGallery w:val="Page Numbers (Bottom of Page)"/>
        <w:docPartUnique/>
      </w:docPartObj>
    </w:sdtPr>
    <w:sdtContent>
      <w:p w14:paraId="549D8DAC" w14:textId="2823F186" w:rsidR="00325792" w:rsidRDefault="00325792">
        <w:pPr>
          <w:pStyle w:val="Pieddepage"/>
          <w:jc w:val="center"/>
        </w:pPr>
        <w:r>
          <w:fldChar w:fldCharType="begin"/>
        </w:r>
        <w:r>
          <w:instrText>PAGE   \* MERGEFORMAT</w:instrText>
        </w:r>
        <w:r>
          <w:fldChar w:fldCharType="separate"/>
        </w:r>
        <w:r>
          <w:t>2</w:t>
        </w:r>
        <w:r>
          <w:fldChar w:fldCharType="end"/>
        </w:r>
      </w:p>
    </w:sdtContent>
  </w:sdt>
  <w:p w14:paraId="716A2B06" w14:textId="77777777" w:rsidR="001314B3" w:rsidRDefault="001314B3">
    <w:pPr>
      <w:pStyle w:val="Pieddepage"/>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3EC755A" w14:textId="538B6702" w:rsidR="005F518F" w:rsidRDefault="005F518F">
    <w:pPr>
      <w:pStyle w:val="Pieddepage"/>
      <w:jc w:val="center"/>
    </w:pPr>
  </w:p>
  <w:p w14:paraId="615EC52D" w14:textId="77777777" w:rsidR="005F518F" w:rsidRDefault="005F518F">
    <w:pPr>
      <w:pStyle w:val="Pieddepage"/>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987905897"/>
      <w:docPartObj>
        <w:docPartGallery w:val="Page Numbers (Bottom of Page)"/>
        <w:docPartUnique/>
      </w:docPartObj>
    </w:sdtPr>
    <w:sdtContent>
      <w:p w14:paraId="3ABA88D7" w14:textId="76BF2167" w:rsidR="00405959" w:rsidRDefault="00405959">
        <w:pPr>
          <w:pStyle w:val="Pieddepage"/>
          <w:jc w:val="center"/>
        </w:pPr>
        <w:r>
          <w:fldChar w:fldCharType="begin"/>
        </w:r>
        <w:r>
          <w:instrText>PAGE   \* MERGEFORMAT</w:instrText>
        </w:r>
        <w:r>
          <w:fldChar w:fldCharType="separate"/>
        </w:r>
        <w:r>
          <w:t>2</w:t>
        </w:r>
        <w:r>
          <w:fldChar w:fldCharType="end"/>
        </w:r>
      </w:p>
    </w:sdtContent>
  </w:sdt>
  <w:p w14:paraId="02041629" w14:textId="77777777" w:rsidR="00405959" w:rsidRDefault="00405959">
    <w:pPr>
      <w:pStyle w:val="Pieddepage"/>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39A4339" w14:textId="70EBF3A6" w:rsidR="00EA4575" w:rsidRDefault="00EA4575">
    <w:pPr>
      <w:pStyle w:val="Pieddepage"/>
      <w:jc w:val="center"/>
    </w:pPr>
  </w:p>
  <w:p w14:paraId="3011CD61" w14:textId="77777777" w:rsidR="00EA4575" w:rsidRDefault="00EA4575">
    <w:pPr>
      <w:pStyle w:val="Pieddepage"/>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318378353"/>
      <w:docPartObj>
        <w:docPartGallery w:val="Page Numbers (Bottom of Page)"/>
        <w:docPartUnique/>
      </w:docPartObj>
    </w:sdtPr>
    <w:sdtContent>
      <w:p w14:paraId="00CDA718" w14:textId="6916B5D4" w:rsidR="00EA4575" w:rsidRDefault="00EA4575">
        <w:pPr>
          <w:pStyle w:val="Pieddepage"/>
          <w:jc w:val="center"/>
        </w:pPr>
        <w:r>
          <w:fldChar w:fldCharType="begin"/>
        </w:r>
        <w:r>
          <w:instrText>PAGE   \* MERGEFORMAT</w:instrText>
        </w:r>
        <w:r>
          <w:fldChar w:fldCharType="separate"/>
        </w:r>
        <w:r>
          <w:t>2</w:t>
        </w:r>
        <w:r>
          <w:fldChar w:fldCharType="end"/>
        </w:r>
      </w:p>
    </w:sdtContent>
  </w:sdt>
  <w:p w14:paraId="36D36506" w14:textId="77777777" w:rsidR="00EA4575" w:rsidRDefault="00EA4575">
    <w:pPr>
      <w:pStyle w:val="Pieddepage"/>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FD2FEDD" w14:textId="1E06743C" w:rsidR="001C5165" w:rsidRDefault="001C5165">
    <w:pPr>
      <w:pStyle w:val="Pieddepage"/>
      <w:jc w:val="center"/>
    </w:pPr>
  </w:p>
  <w:p w14:paraId="5C8869CE" w14:textId="77777777" w:rsidR="001C5165" w:rsidRDefault="001C5165">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497E4A0" w14:textId="77777777" w:rsidR="004555B9" w:rsidRDefault="004555B9">
      <w:pPr>
        <w:spacing w:after="0"/>
      </w:pPr>
      <w:r>
        <w:separator/>
      </w:r>
    </w:p>
  </w:footnote>
  <w:footnote w:type="continuationSeparator" w:id="0">
    <w:p w14:paraId="3D7132C0" w14:textId="77777777" w:rsidR="004555B9" w:rsidRDefault="004555B9">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58B3CB0" w14:textId="77777777" w:rsidR="00B81C1B" w:rsidRPr="00561123" w:rsidRDefault="00B81C1B" w:rsidP="00B81C1B">
    <w:pPr>
      <w:pStyle w:val="En-tte"/>
      <w:pBdr>
        <w:bottom w:val="thickThinSmallGap" w:sz="24" w:space="1" w:color="823B0B" w:themeColor="accent2" w:themeShade="7F"/>
      </w:pBdr>
      <w:bidi/>
      <w:rPr>
        <w:rFonts w:asciiTheme="majorBidi" w:eastAsiaTheme="majorEastAsia" w:hAnsiTheme="majorBidi" w:cstheme="majorBidi"/>
        <w:b/>
        <w:bCs/>
        <w:sz w:val="24"/>
        <w:szCs w:val="24"/>
      </w:rPr>
    </w:pPr>
    <w:r w:rsidRPr="00561123">
      <w:rPr>
        <w:rFonts w:asciiTheme="majorBidi" w:eastAsiaTheme="majorEastAsia" w:hAnsiTheme="majorBidi" w:cstheme="majorBidi"/>
        <w:b/>
        <w:bCs/>
        <w:sz w:val="24"/>
        <w:szCs w:val="24"/>
      </w:rPr>
      <w:t>Introduction générale</w:t>
    </w:r>
  </w:p>
  <w:p w14:paraId="02F073C8" w14:textId="77777777" w:rsidR="00B81C1B" w:rsidRDefault="00B81C1B">
    <w:pPr>
      <w:pStyle w:val="En-tte"/>
    </w:pPr>
  </w:p>
  <w:p w14:paraId="60813005" w14:textId="77777777" w:rsidR="00906D1A" w:rsidRDefault="00906D1A"/>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6BC0FAE" w14:textId="1CCD05A4" w:rsidR="00A13D03" w:rsidRPr="00A13D03" w:rsidRDefault="00A13D03" w:rsidP="00A13D03">
    <w:pPr>
      <w:pStyle w:val="En-tte"/>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B0D0F67" w14:textId="56B84C98" w:rsidR="007575EF" w:rsidRPr="003C679C" w:rsidRDefault="003C679C" w:rsidP="003C679C">
    <w:pPr>
      <w:pStyle w:val="En-tte"/>
      <w:pBdr>
        <w:bottom w:val="thickThinSmallGap" w:sz="24" w:space="1" w:color="823B0B" w:themeColor="accent2" w:themeShade="7F"/>
      </w:pBdr>
      <w:jc w:val="right"/>
      <w:rPr>
        <w:rFonts w:asciiTheme="majorBidi" w:eastAsiaTheme="majorEastAsia" w:hAnsiTheme="majorBidi" w:cstheme="majorBidi"/>
        <w:b/>
        <w:bCs/>
        <w:sz w:val="20"/>
        <w:szCs w:val="20"/>
      </w:rPr>
    </w:pPr>
    <w:proofErr w:type="gramStart"/>
    <w:r>
      <w:rPr>
        <w:rFonts w:asciiTheme="majorBidi" w:eastAsiaTheme="majorEastAsia" w:hAnsiTheme="majorBidi" w:cstheme="majorBidi"/>
        <w:b/>
        <w:bCs/>
        <w:sz w:val="20"/>
        <w:szCs w:val="20"/>
      </w:rPr>
      <w:t>Références bibliographique</w:t>
    </w:r>
    <w:proofErr w:type="gramEnd"/>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B81EFA0" w14:textId="42D2C9E1" w:rsidR="003C679C" w:rsidRPr="003C679C" w:rsidRDefault="003C679C" w:rsidP="003C679C">
    <w:pPr>
      <w:pStyle w:val="En-tte"/>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2AC1FB1" w14:textId="77777777" w:rsidR="003E3FB4" w:rsidRDefault="00385ED0">
    <w:pPr>
      <w:pStyle w:val="En-tte"/>
      <w:rPr>
        <w:lang w:val="en-US"/>
      </w:rPr>
    </w:pPr>
    <w:r>
      <w:rPr>
        <w:rFonts w:ascii="12Akruti Image" w:hAnsi="12Akruti Image"/>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28CCE4F" w14:textId="77777777" w:rsidR="001314B3" w:rsidRPr="001314B3" w:rsidRDefault="001314B3" w:rsidP="001314B3">
    <w:pPr>
      <w:pStyle w:val="En-tt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87B1D36" w14:textId="100E6C43" w:rsidR="00325792" w:rsidRPr="00325792" w:rsidRDefault="00325792" w:rsidP="00325792">
    <w:pPr>
      <w:spacing w:after="0" w:line="360" w:lineRule="auto"/>
      <w:ind w:left="-30"/>
      <w:rPr>
        <w:rFonts w:asciiTheme="majorBidi" w:hAnsiTheme="majorBidi" w:cstheme="majorBidi"/>
        <w:b/>
        <w:sz w:val="24"/>
        <w:szCs w:val="24"/>
      </w:rPr>
    </w:pPr>
    <w:r w:rsidRPr="00325792">
      <w:rPr>
        <w:rFonts w:asciiTheme="majorBidi" w:eastAsia="inter" w:hAnsiTheme="majorBidi" w:cstheme="majorBidi"/>
        <w:b/>
        <w:color w:val="000000"/>
        <w:sz w:val="24"/>
        <w:szCs w:val="24"/>
      </w:rPr>
      <w:t xml:space="preserve">Chapitre I :       </w:t>
    </w:r>
    <w:r>
      <w:rPr>
        <w:rFonts w:asciiTheme="majorBidi" w:eastAsia="inter" w:hAnsiTheme="majorBidi" w:cstheme="majorBidi"/>
        <w:b/>
        <w:color w:val="000000"/>
        <w:sz w:val="24"/>
        <w:szCs w:val="24"/>
      </w:rPr>
      <w:t xml:space="preserve">        </w:t>
    </w:r>
    <w:r w:rsidRPr="00325792">
      <w:rPr>
        <w:rFonts w:asciiTheme="majorBidi" w:eastAsia="inter" w:hAnsiTheme="majorBidi" w:cstheme="majorBidi"/>
        <w:b/>
        <w:color w:val="000000"/>
        <w:sz w:val="24"/>
        <w:szCs w:val="24"/>
      </w:rPr>
      <w:t xml:space="preserve">      </w:t>
    </w:r>
    <w:r w:rsidR="0093420B">
      <w:rPr>
        <w:rFonts w:asciiTheme="majorBidi" w:eastAsia="inter" w:hAnsiTheme="majorBidi" w:cstheme="majorBidi"/>
        <w:b/>
        <w:color w:val="000000"/>
        <w:sz w:val="24"/>
        <w:szCs w:val="24"/>
      </w:rPr>
      <w:t xml:space="preserve">          </w:t>
    </w:r>
    <w:r w:rsidRPr="00325792">
      <w:rPr>
        <w:rFonts w:asciiTheme="majorBidi" w:eastAsia="inter" w:hAnsiTheme="majorBidi" w:cstheme="majorBidi"/>
        <w:b/>
        <w:color w:val="000000"/>
        <w:sz w:val="24"/>
        <w:szCs w:val="24"/>
      </w:rPr>
      <w:t xml:space="preserve"> </w:t>
    </w:r>
    <w:r w:rsidRPr="00325792">
      <w:rPr>
        <w:rFonts w:asciiTheme="majorBidi" w:hAnsiTheme="majorBidi" w:cstheme="majorBidi"/>
        <w:b/>
        <w:bCs/>
        <w:sz w:val="24"/>
        <w:szCs w:val="24"/>
        <w:lang w:bidi="ar-DZ"/>
      </w:rPr>
      <w:t>Trigonella foenum-graecum L. et ses activités biologiques</w:t>
    </w:r>
  </w:p>
  <w:p w14:paraId="061C955C" w14:textId="77777777" w:rsidR="00325792" w:rsidRPr="0029145B" w:rsidRDefault="00325792" w:rsidP="00325792">
    <w:pPr>
      <w:pStyle w:val="En-tte"/>
      <w:pBdr>
        <w:bottom w:val="thickThinSmallGap" w:sz="24" w:space="1" w:color="823B0B" w:themeColor="accent2" w:themeShade="7F"/>
      </w:pBdr>
      <w:bidi/>
      <w:rPr>
        <w:rFonts w:asciiTheme="majorBidi" w:eastAsiaTheme="majorEastAsia" w:hAnsiTheme="majorBidi" w:cstheme="majorBidi"/>
        <w:b/>
        <w:bCs/>
        <w:sz w:val="4"/>
        <w:szCs w:val="4"/>
      </w:rPr>
    </w:pPr>
  </w:p>
  <w:p w14:paraId="119A9DC0" w14:textId="77777777" w:rsidR="00325792" w:rsidRPr="007C7DCA" w:rsidRDefault="00325792" w:rsidP="00325792">
    <w:pPr>
      <w:spacing w:line="14" w:lineRule="auto"/>
      <w:rPr>
        <w:b/>
        <w:bCs/>
        <w:sz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45FED6F" w14:textId="77777777" w:rsidR="005F518F" w:rsidRPr="007C7DCA" w:rsidRDefault="005F518F" w:rsidP="00325792">
    <w:pPr>
      <w:spacing w:line="14" w:lineRule="auto"/>
      <w:rPr>
        <w:b/>
        <w:bCs/>
        <w:sz w:val="2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8B70A0D" w14:textId="2D561470" w:rsidR="00405959" w:rsidRPr="00BE457B" w:rsidRDefault="00405959" w:rsidP="00405959">
    <w:pPr>
      <w:pStyle w:val="En-tte"/>
      <w:pBdr>
        <w:bottom w:val="thickThinSmallGap" w:sz="24" w:space="1" w:color="823B0B" w:themeColor="accent2" w:themeShade="7F"/>
      </w:pBdr>
      <w:bidi/>
      <w:rPr>
        <w:rFonts w:asciiTheme="majorBidi" w:eastAsiaTheme="majorEastAsia" w:hAnsiTheme="majorBidi" w:cstheme="majorBidi"/>
        <w:b/>
        <w:bCs/>
        <w:sz w:val="20"/>
        <w:szCs w:val="20"/>
      </w:rPr>
    </w:pPr>
    <w:bookmarkStart w:id="31" w:name="_Hlk200958344"/>
    <w:r w:rsidRPr="00BE457B">
      <w:rPr>
        <w:rFonts w:asciiTheme="majorBidi" w:eastAsiaTheme="majorEastAsia" w:hAnsiTheme="majorBidi" w:cstheme="majorBidi"/>
        <w:b/>
        <w:bCs/>
        <w:sz w:val="20"/>
        <w:szCs w:val="20"/>
      </w:rPr>
      <w:t>C</w:t>
    </w:r>
    <w:r>
      <w:rPr>
        <w:rFonts w:asciiTheme="majorBidi" w:eastAsiaTheme="majorEastAsia" w:hAnsiTheme="majorBidi" w:cstheme="majorBidi"/>
        <w:b/>
        <w:bCs/>
        <w:sz w:val="20"/>
        <w:szCs w:val="20"/>
      </w:rPr>
      <w:t>hapitre</w:t>
    </w:r>
    <w:r w:rsidRPr="00BE457B">
      <w:rPr>
        <w:rFonts w:asciiTheme="majorBidi" w:eastAsiaTheme="majorEastAsia" w:hAnsiTheme="majorBidi" w:cstheme="majorBidi"/>
        <w:b/>
        <w:bCs/>
        <w:sz w:val="20"/>
        <w:szCs w:val="20"/>
      </w:rPr>
      <w:t xml:space="preserve"> II :</w:t>
    </w:r>
    <w:r>
      <w:rPr>
        <w:rFonts w:asciiTheme="majorBidi" w:eastAsiaTheme="majorEastAsia" w:hAnsiTheme="majorBidi" w:cstheme="majorBidi"/>
        <w:b/>
        <w:bCs/>
        <w:sz w:val="20"/>
        <w:szCs w:val="20"/>
      </w:rPr>
      <w:t xml:space="preserve">                                                                                                                 </w:t>
    </w:r>
    <w:r w:rsidRPr="00BE457B">
      <w:rPr>
        <w:rFonts w:asciiTheme="majorBidi" w:hAnsiTheme="majorBidi" w:cstheme="majorBidi"/>
        <w:b/>
        <w:bCs/>
        <w:sz w:val="20"/>
        <w:szCs w:val="20"/>
      </w:rPr>
      <w:t xml:space="preserve"> </w:t>
    </w:r>
    <w:r w:rsidRPr="00405959">
      <w:rPr>
        <w:rFonts w:asciiTheme="majorBidi" w:eastAsiaTheme="majorEastAsia" w:hAnsiTheme="majorBidi" w:cstheme="majorBidi"/>
        <w:b/>
        <w:bCs/>
        <w:sz w:val="20"/>
        <w:szCs w:val="20"/>
      </w:rPr>
      <w:t>Matériel et méthodes</w:t>
    </w:r>
    <w:bookmarkEnd w:id="31"/>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49DFDEB" w14:textId="5C22D532" w:rsidR="00EA4575" w:rsidRPr="00EA4575" w:rsidRDefault="00EA4575" w:rsidP="00EA4575">
    <w:pPr>
      <w:pStyle w:val="En-tte"/>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A5BAACA" w14:textId="7253BD7E" w:rsidR="00EA4575" w:rsidRPr="003217EE" w:rsidRDefault="00EA4575" w:rsidP="00EA4575">
    <w:pPr>
      <w:pStyle w:val="En-tte"/>
      <w:pBdr>
        <w:bottom w:val="thickThinSmallGap" w:sz="24" w:space="1" w:color="823B0B" w:themeColor="accent2" w:themeShade="7F"/>
      </w:pBdr>
      <w:rPr>
        <w:rFonts w:asciiTheme="majorBidi" w:eastAsiaTheme="majorEastAsia" w:hAnsiTheme="majorBidi" w:cstheme="majorBidi"/>
        <w:b/>
        <w:bCs/>
        <w:sz w:val="20"/>
        <w:szCs w:val="20"/>
      </w:rPr>
    </w:pPr>
    <w:r w:rsidRPr="003217EE">
      <w:rPr>
        <w:rFonts w:asciiTheme="majorBidi" w:eastAsiaTheme="majorEastAsia" w:hAnsiTheme="majorBidi" w:cstheme="majorBidi"/>
        <w:b/>
        <w:bCs/>
        <w:sz w:val="20"/>
        <w:szCs w:val="20"/>
      </w:rPr>
      <w:t xml:space="preserve">Chapitre III                </w:t>
    </w:r>
    <w:r>
      <w:rPr>
        <w:rFonts w:asciiTheme="majorBidi" w:eastAsiaTheme="majorEastAsia" w:hAnsiTheme="majorBidi" w:cstheme="majorBidi"/>
        <w:b/>
        <w:bCs/>
        <w:sz w:val="20"/>
        <w:szCs w:val="20"/>
      </w:rPr>
      <w:t xml:space="preserve">                                                                                                   </w:t>
    </w:r>
    <w:r w:rsidRPr="003217EE">
      <w:rPr>
        <w:rFonts w:asciiTheme="majorBidi" w:eastAsiaTheme="majorEastAsia" w:hAnsiTheme="majorBidi" w:cstheme="majorBidi"/>
        <w:b/>
        <w:bCs/>
        <w:sz w:val="20"/>
        <w:szCs w:val="20"/>
      </w:rPr>
      <w:t xml:space="preserve">   </w:t>
    </w:r>
    <w:r w:rsidRPr="00EA4575">
      <w:rPr>
        <w:rFonts w:asciiTheme="majorBidi" w:eastAsiaTheme="majorEastAsia" w:hAnsiTheme="majorBidi" w:cstheme="majorBidi"/>
        <w:b/>
        <w:bCs/>
        <w:sz w:val="20"/>
        <w:szCs w:val="20"/>
      </w:rPr>
      <w:t>Résultats et discussion</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0A38D00" w14:textId="7D651D2D" w:rsidR="001C5165" w:rsidRPr="001C5165" w:rsidRDefault="001C5165" w:rsidP="001C5165">
    <w:pPr>
      <w:pStyle w:val="En-tte"/>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9B888B" w14:textId="77777777" w:rsidR="00A13D03" w:rsidRPr="00D64457" w:rsidRDefault="00A13D03" w:rsidP="00A13D03">
    <w:pPr>
      <w:pStyle w:val="En-tte"/>
      <w:pBdr>
        <w:bottom w:val="thickThinSmallGap" w:sz="24" w:space="1" w:color="823B0B" w:themeColor="accent2" w:themeShade="7F"/>
      </w:pBdr>
      <w:jc w:val="right"/>
      <w:rPr>
        <w:rFonts w:asciiTheme="majorBidi" w:eastAsiaTheme="majorEastAsia" w:hAnsiTheme="majorBidi" w:cstheme="majorBidi"/>
        <w:b/>
        <w:bCs/>
        <w:sz w:val="20"/>
        <w:szCs w:val="20"/>
      </w:rPr>
    </w:pPr>
    <w:r w:rsidRPr="00D64457">
      <w:rPr>
        <w:rFonts w:asciiTheme="majorBidi" w:eastAsiaTheme="majorEastAsia" w:hAnsiTheme="majorBidi" w:cstheme="majorBidi"/>
        <w:b/>
        <w:bCs/>
        <w:sz w:val="20"/>
        <w:szCs w:val="20"/>
      </w:rPr>
      <w:t>CONCLUSION</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1.15pt;height:11.15pt;visibility:visible;mso-wrap-style:square" o:bullet="t">
        <v:imagedata r:id="rId1" o:title=""/>
      </v:shape>
    </w:pict>
  </w:numPicBullet>
  <w:abstractNum w:abstractNumId="0" w15:restartNumberingAfterBreak="0">
    <w:nsid w:val="00F8639F"/>
    <w:multiLevelType w:val="multilevel"/>
    <w:tmpl w:val="00F8639F"/>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5A66755"/>
    <w:multiLevelType w:val="multilevel"/>
    <w:tmpl w:val="05A66755"/>
    <w:lvl w:ilvl="0">
      <w:numFmt w:val="bullet"/>
      <w:lvlText w:val="•"/>
      <w:lvlJc w:val="left"/>
      <w:pPr>
        <w:ind w:left="720" w:hanging="360"/>
      </w:pPr>
      <w:rPr>
        <w:rFonts w:hint="default"/>
        <w:lang w:val="fr-FR" w:eastAsia="en-US" w:bidi="ar-SA"/>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15:restartNumberingAfterBreak="0">
    <w:nsid w:val="06D247EC"/>
    <w:multiLevelType w:val="multilevel"/>
    <w:tmpl w:val="06D247EC"/>
    <w:lvl w:ilvl="0">
      <w:start w:val="1"/>
      <w:numFmt w:val="decimal"/>
      <w:lvlText w:val="%1."/>
      <w:lvlJc w:val="left"/>
      <w:pPr>
        <w:ind w:left="502" w:hanging="360"/>
      </w:pPr>
      <w:rPr>
        <w:b/>
        <w:bCs/>
        <w:i w:val="0"/>
        <w:iCs w:val="0"/>
      </w:rPr>
    </w:lvl>
    <w:lvl w:ilvl="1">
      <w:start w:val="1"/>
      <w:numFmt w:val="lowerLetter"/>
      <w:lvlText w:val="%2."/>
      <w:lvlJc w:val="left"/>
      <w:pPr>
        <w:ind w:left="731" w:hanging="360"/>
      </w:pPr>
    </w:lvl>
    <w:lvl w:ilvl="2">
      <w:start w:val="1"/>
      <w:numFmt w:val="lowerRoman"/>
      <w:lvlText w:val="%3."/>
      <w:lvlJc w:val="right"/>
      <w:pPr>
        <w:ind w:left="1451" w:hanging="180"/>
      </w:pPr>
    </w:lvl>
    <w:lvl w:ilvl="3">
      <w:start w:val="1"/>
      <w:numFmt w:val="decimal"/>
      <w:lvlText w:val="%4."/>
      <w:lvlJc w:val="left"/>
      <w:pPr>
        <w:ind w:left="2171" w:hanging="360"/>
      </w:pPr>
    </w:lvl>
    <w:lvl w:ilvl="4">
      <w:start w:val="1"/>
      <w:numFmt w:val="lowerLetter"/>
      <w:lvlText w:val="%5."/>
      <w:lvlJc w:val="left"/>
      <w:pPr>
        <w:ind w:left="2891" w:hanging="360"/>
      </w:pPr>
    </w:lvl>
    <w:lvl w:ilvl="5">
      <w:start w:val="1"/>
      <w:numFmt w:val="lowerRoman"/>
      <w:lvlText w:val="%6."/>
      <w:lvlJc w:val="right"/>
      <w:pPr>
        <w:ind w:left="3611" w:hanging="180"/>
      </w:pPr>
    </w:lvl>
    <w:lvl w:ilvl="6">
      <w:start w:val="1"/>
      <w:numFmt w:val="decimal"/>
      <w:lvlText w:val="%7."/>
      <w:lvlJc w:val="left"/>
      <w:pPr>
        <w:ind w:left="4331" w:hanging="360"/>
      </w:pPr>
    </w:lvl>
    <w:lvl w:ilvl="7">
      <w:start w:val="1"/>
      <w:numFmt w:val="lowerLetter"/>
      <w:lvlText w:val="%8."/>
      <w:lvlJc w:val="left"/>
      <w:pPr>
        <w:ind w:left="5051" w:hanging="360"/>
      </w:pPr>
    </w:lvl>
    <w:lvl w:ilvl="8">
      <w:start w:val="1"/>
      <w:numFmt w:val="lowerRoman"/>
      <w:lvlText w:val="%9."/>
      <w:lvlJc w:val="right"/>
      <w:pPr>
        <w:ind w:left="5771" w:hanging="180"/>
      </w:pPr>
    </w:lvl>
  </w:abstractNum>
  <w:abstractNum w:abstractNumId="3" w15:restartNumberingAfterBreak="0">
    <w:nsid w:val="0FA862B3"/>
    <w:multiLevelType w:val="hybridMultilevel"/>
    <w:tmpl w:val="AA74CF6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126E404F"/>
    <w:multiLevelType w:val="multilevel"/>
    <w:tmpl w:val="126E404F"/>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15:restartNumberingAfterBreak="0">
    <w:nsid w:val="20A33F89"/>
    <w:multiLevelType w:val="multilevel"/>
    <w:tmpl w:val="20A33F89"/>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59AE34F9"/>
    <w:multiLevelType w:val="multilevel"/>
    <w:tmpl w:val="59AE34F9"/>
    <w:lvl w:ilvl="0">
      <w:start w:val="1"/>
      <w:numFmt w:val="bullet"/>
      <w:lvlText w:val=""/>
      <w:lvlPicBulletId w:val="0"/>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 w15:restartNumberingAfterBreak="0">
    <w:nsid w:val="70577AB6"/>
    <w:multiLevelType w:val="multilevel"/>
    <w:tmpl w:val="70577AB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 w15:restartNumberingAfterBreak="0">
    <w:nsid w:val="751D36C9"/>
    <w:multiLevelType w:val="multilevel"/>
    <w:tmpl w:val="751D36C9"/>
    <w:lvl w:ilvl="0">
      <w:start w:val="1"/>
      <w:numFmt w:val="bullet"/>
      <w:lvlText w:val=""/>
      <w:lvlJc w:val="left"/>
      <w:pPr>
        <w:ind w:left="705" w:hanging="360"/>
      </w:pPr>
      <w:rPr>
        <w:rFonts w:ascii="Symbol" w:hAnsi="Symbol" w:hint="default"/>
      </w:rPr>
    </w:lvl>
    <w:lvl w:ilvl="1">
      <w:start w:val="1"/>
      <w:numFmt w:val="bullet"/>
      <w:lvlText w:val="o"/>
      <w:lvlJc w:val="left"/>
      <w:pPr>
        <w:ind w:left="1425" w:hanging="360"/>
      </w:pPr>
      <w:rPr>
        <w:rFonts w:ascii="Courier New" w:hAnsi="Courier New" w:cs="Courier New" w:hint="default"/>
      </w:rPr>
    </w:lvl>
    <w:lvl w:ilvl="2">
      <w:start w:val="1"/>
      <w:numFmt w:val="bullet"/>
      <w:lvlText w:val=""/>
      <w:lvlJc w:val="left"/>
      <w:pPr>
        <w:ind w:left="2145" w:hanging="360"/>
      </w:pPr>
      <w:rPr>
        <w:rFonts w:ascii="Wingdings" w:hAnsi="Wingdings" w:hint="default"/>
      </w:rPr>
    </w:lvl>
    <w:lvl w:ilvl="3">
      <w:start w:val="1"/>
      <w:numFmt w:val="bullet"/>
      <w:lvlText w:val=""/>
      <w:lvlJc w:val="left"/>
      <w:pPr>
        <w:ind w:left="2865" w:hanging="360"/>
      </w:pPr>
      <w:rPr>
        <w:rFonts w:ascii="Symbol" w:hAnsi="Symbol" w:hint="default"/>
      </w:rPr>
    </w:lvl>
    <w:lvl w:ilvl="4">
      <w:start w:val="1"/>
      <w:numFmt w:val="bullet"/>
      <w:lvlText w:val="o"/>
      <w:lvlJc w:val="left"/>
      <w:pPr>
        <w:ind w:left="3585" w:hanging="360"/>
      </w:pPr>
      <w:rPr>
        <w:rFonts w:ascii="Courier New" w:hAnsi="Courier New" w:cs="Courier New" w:hint="default"/>
      </w:rPr>
    </w:lvl>
    <w:lvl w:ilvl="5">
      <w:start w:val="1"/>
      <w:numFmt w:val="bullet"/>
      <w:lvlText w:val=""/>
      <w:lvlJc w:val="left"/>
      <w:pPr>
        <w:ind w:left="4305" w:hanging="360"/>
      </w:pPr>
      <w:rPr>
        <w:rFonts w:ascii="Wingdings" w:hAnsi="Wingdings" w:hint="default"/>
      </w:rPr>
    </w:lvl>
    <w:lvl w:ilvl="6">
      <w:start w:val="1"/>
      <w:numFmt w:val="bullet"/>
      <w:lvlText w:val=""/>
      <w:lvlJc w:val="left"/>
      <w:pPr>
        <w:ind w:left="5025" w:hanging="360"/>
      </w:pPr>
      <w:rPr>
        <w:rFonts w:ascii="Symbol" w:hAnsi="Symbol" w:hint="default"/>
      </w:rPr>
    </w:lvl>
    <w:lvl w:ilvl="7">
      <w:start w:val="1"/>
      <w:numFmt w:val="bullet"/>
      <w:lvlText w:val="o"/>
      <w:lvlJc w:val="left"/>
      <w:pPr>
        <w:ind w:left="5745" w:hanging="360"/>
      </w:pPr>
      <w:rPr>
        <w:rFonts w:ascii="Courier New" w:hAnsi="Courier New" w:cs="Courier New" w:hint="default"/>
      </w:rPr>
    </w:lvl>
    <w:lvl w:ilvl="8">
      <w:start w:val="1"/>
      <w:numFmt w:val="bullet"/>
      <w:lvlText w:val=""/>
      <w:lvlJc w:val="left"/>
      <w:pPr>
        <w:ind w:left="6465" w:hanging="360"/>
      </w:pPr>
      <w:rPr>
        <w:rFonts w:ascii="Wingdings" w:hAnsi="Wingdings" w:hint="default"/>
      </w:rPr>
    </w:lvl>
  </w:abstractNum>
  <w:abstractNum w:abstractNumId="9" w15:restartNumberingAfterBreak="0">
    <w:nsid w:val="770D6EB2"/>
    <w:multiLevelType w:val="multilevel"/>
    <w:tmpl w:val="770D6EB2"/>
    <w:lvl w:ilvl="0">
      <w:start w:val="1"/>
      <w:numFmt w:val="bullet"/>
      <w:lvlText w:val=""/>
      <w:lvlPicBulletId w:val="0"/>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0" w15:restartNumberingAfterBreak="0">
    <w:nsid w:val="7915792B"/>
    <w:multiLevelType w:val="multilevel"/>
    <w:tmpl w:val="7915792B"/>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num w:numId="1" w16cid:durableId="813569664">
    <w:abstractNumId w:val="6"/>
  </w:num>
  <w:num w:numId="2" w16cid:durableId="1210455546">
    <w:abstractNumId w:val="0"/>
  </w:num>
  <w:num w:numId="3" w16cid:durableId="1795638715">
    <w:abstractNumId w:val="4"/>
  </w:num>
  <w:num w:numId="4" w16cid:durableId="618683027">
    <w:abstractNumId w:val="1"/>
  </w:num>
  <w:num w:numId="5" w16cid:durableId="1196498908">
    <w:abstractNumId w:val="10"/>
  </w:num>
  <w:num w:numId="6" w16cid:durableId="1098211842">
    <w:abstractNumId w:val="7"/>
  </w:num>
  <w:num w:numId="7" w16cid:durableId="1742679804">
    <w:abstractNumId w:val="8"/>
  </w:num>
  <w:num w:numId="8" w16cid:durableId="863442573">
    <w:abstractNumId w:val="9"/>
  </w:num>
  <w:num w:numId="9" w16cid:durableId="886263482">
    <w:abstractNumId w:val="5"/>
  </w:num>
  <w:num w:numId="10" w16cid:durableId="1504127415">
    <w:abstractNumId w:val="2"/>
  </w:num>
  <w:num w:numId="11" w16cid:durableId="71219266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58"/>
  <w:proofState w:spelling="clean" w:grammar="clean"/>
  <w:defaultTabStop w:val="708"/>
  <w:hyphenationZone w:val="425"/>
  <w:characterSpacingControl w:val="doNotCompress"/>
  <w:hdrShapeDefaults>
    <o:shapedefaults v:ext="edit" spidmax="2050" fillcolor="white">
      <v:fill color="white"/>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50C2C"/>
    <w:rsid w:val="000050ED"/>
    <w:rsid w:val="00005EC7"/>
    <w:rsid w:val="00007474"/>
    <w:rsid w:val="00011703"/>
    <w:rsid w:val="00015026"/>
    <w:rsid w:val="00015B68"/>
    <w:rsid w:val="000218E5"/>
    <w:rsid w:val="000238BE"/>
    <w:rsid w:val="00027613"/>
    <w:rsid w:val="00027748"/>
    <w:rsid w:val="00030A8C"/>
    <w:rsid w:val="00033522"/>
    <w:rsid w:val="0003500F"/>
    <w:rsid w:val="00035670"/>
    <w:rsid w:val="00037232"/>
    <w:rsid w:val="0004018B"/>
    <w:rsid w:val="00040DCE"/>
    <w:rsid w:val="00041D18"/>
    <w:rsid w:val="000462FC"/>
    <w:rsid w:val="00046CBC"/>
    <w:rsid w:val="00054E12"/>
    <w:rsid w:val="000557BD"/>
    <w:rsid w:val="00062D7B"/>
    <w:rsid w:val="000644F6"/>
    <w:rsid w:val="00064DF6"/>
    <w:rsid w:val="000674E1"/>
    <w:rsid w:val="0007064C"/>
    <w:rsid w:val="00070834"/>
    <w:rsid w:val="00071A97"/>
    <w:rsid w:val="00073B63"/>
    <w:rsid w:val="00076326"/>
    <w:rsid w:val="00083282"/>
    <w:rsid w:val="000931A9"/>
    <w:rsid w:val="000946B4"/>
    <w:rsid w:val="00095CF4"/>
    <w:rsid w:val="00096CC7"/>
    <w:rsid w:val="000A07A8"/>
    <w:rsid w:val="000A3468"/>
    <w:rsid w:val="000A60EA"/>
    <w:rsid w:val="000A658A"/>
    <w:rsid w:val="000A7D3D"/>
    <w:rsid w:val="000B257D"/>
    <w:rsid w:val="000B53D9"/>
    <w:rsid w:val="000B5600"/>
    <w:rsid w:val="000C0454"/>
    <w:rsid w:val="000C0555"/>
    <w:rsid w:val="000C0715"/>
    <w:rsid w:val="000C16EF"/>
    <w:rsid w:val="000C2DAF"/>
    <w:rsid w:val="000C360C"/>
    <w:rsid w:val="000C39D6"/>
    <w:rsid w:val="000C65E8"/>
    <w:rsid w:val="000C693D"/>
    <w:rsid w:val="000D3E50"/>
    <w:rsid w:val="000D4035"/>
    <w:rsid w:val="000D42E7"/>
    <w:rsid w:val="000D475C"/>
    <w:rsid w:val="000D674A"/>
    <w:rsid w:val="000E3D8F"/>
    <w:rsid w:val="000E4F92"/>
    <w:rsid w:val="000E666D"/>
    <w:rsid w:val="000F104D"/>
    <w:rsid w:val="000F2D2A"/>
    <w:rsid w:val="000F3344"/>
    <w:rsid w:val="000F3E5E"/>
    <w:rsid w:val="000F40CD"/>
    <w:rsid w:val="000F4321"/>
    <w:rsid w:val="000F47D9"/>
    <w:rsid w:val="00100EC2"/>
    <w:rsid w:val="00112C3A"/>
    <w:rsid w:val="00114747"/>
    <w:rsid w:val="001147B3"/>
    <w:rsid w:val="00125DC2"/>
    <w:rsid w:val="001314B3"/>
    <w:rsid w:val="0013598A"/>
    <w:rsid w:val="00135CEE"/>
    <w:rsid w:val="00136193"/>
    <w:rsid w:val="00136EA0"/>
    <w:rsid w:val="00136F93"/>
    <w:rsid w:val="00140962"/>
    <w:rsid w:val="00141EAE"/>
    <w:rsid w:val="00142A33"/>
    <w:rsid w:val="00142C84"/>
    <w:rsid w:val="00145169"/>
    <w:rsid w:val="00145265"/>
    <w:rsid w:val="001472A6"/>
    <w:rsid w:val="00150DED"/>
    <w:rsid w:val="0015127B"/>
    <w:rsid w:val="00151EE9"/>
    <w:rsid w:val="00153B69"/>
    <w:rsid w:val="00154398"/>
    <w:rsid w:val="00161629"/>
    <w:rsid w:val="0016247D"/>
    <w:rsid w:val="001649F1"/>
    <w:rsid w:val="00164BBB"/>
    <w:rsid w:val="00167540"/>
    <w:rsid w:val="001707C9"/>
    <w:rsid w:val="00170895"/>
    <w:rsid w:val="001721DA"/>
    <w:rsid w:val="00172890"/>
    <w:rsid w:val="00176A08"/>
    <w:rsid w:val="00177FA5"/>
    <w:rsid w:val="001806C8"/>
    <w:rsid w:val="001826DD"/>
    <w:rsid w:val="00184913"/>
    <w:rsid w:val="001864E4"/>
    <w:rsid w:val="001872F0"/>
    <w:rsid w:val="00187304"/>
    <w:rsid w:val="00194E55"/>
    <w:rsid w:val="00195B6F"/>
    <w:rsid w:val="001970EA"/>
    <w:rsid w:val="001A249A"/>
    <w:rsid w:val="001A353B"/>
    <w:rsid w:val="001A62A6"/>
    <w:rsid w:val="001B0B26"/>
    <w:rsid w:val="001B6182"/>
    <w:rsid w:val="001B7950"/>
    <w:rsid w:val="001C5165"/>
    <w:rsid w:val="001C6C07"/>
    <w:rsid w:val="001C6CA5"/>
    <w:rsid w:val="001D26F7"/>
    <w:rsid w:val="001D3141"/>
    <w:rsid w:val="001D43B9"/>
    <w:rsid w:val="001D4494"/>
    <w:rsid w:val="001D5059"/>
    <w:rsid w:val="001D52F4"/>
    <w:rsid w:val="001D5362"/>
    <w:rsid w:val="001D54E0"/>
    <w:rsid w:val="001D5706"/>
    <w:rsid w:val="001D6AA4"/>
    <w:rsid w:val="001E1206"/>
    <w:rsid w:val="001E12BE"/>
    <w:rsid w:val="001E30BC"/>
    <w:rsid w:val="001E36A5"/>
    <w:rsid w:val="001E7D0E"/>
    <w:rsid w:val="001F0D13"/>
    <w:rsid w:val="001F1602"/>
    <w:rsid w:val="001F25EC"/>
    <w:rsid w:val="001F2BC3"/>
    <w:rsid w:val="001F7460"/>
    <w:rsid w:val="002015F1"/>
    <w:rsid w:val="00203F60"/>
    <w:rsid w:val="002062D1"/>
    <w:rsid w:val="0021032F"/>
    <w:rsid w:val="00210334"/>
    <w:rsid w:val="00215743"/>
    <w:rsid w:val="00217F30"/>
    <w:rsid w:val="00221A13"/>
    <w:rsid w:val="00222EAE"/>
    <w:rsid w:val="00223240"/>
    <w:rsid w:val="002235FA"/>
    <w:rsid w:val="002236C4"/>
    <w:rsid w:val="002248E3"/>
    <w:rsid w:val="0022791F"/>
    <w:rsid w:val="00233573"/>
    <w:rsid w:val="00234B7E"/>
    <w:rsid w:val="002374FF"/>
    <w:rsid w:val="002404C1"/>
    <w:rsid w:val="00247F8E"/>
    <w:rsid w:val="00250007"/>
    <w:rsid w:val="002531BE"/>
    <w:rsid w:val="002554C1"/>
    <w:rsid w:val="0025597F"/>
    <w:rsid w:val="00257031"/>
    <w:rsid w:val="00257466"/>
    <w:rsid w:val="002646AE"/>
    <w:rsid w:val="00270F55"/>
    <w:rsid w:val="002747B3"/>
    <w:rsid w:val="00275BC7"/>
    <w:rsid w:val="002805C1"/>
    <w:rsid w:val="0028080C"/>
    <w:rsid w:val="002823EF"/>
    <w:rsid w:val="002824EE"/>
    <w:rsid w:val="002829F4"/>
    <w:rsid w:val="0029217E"/>
    <w:rsid w:val="00295334"/>
    <w:rsid w:val="002971BF"/>
    <w:rsid w:val="002A5DA6"/>
    <w:rsid w:val="002A7F52"/>
    <w:rsid w:val="002B142B"/>
    <w:rsid w:val="002B31C4"/>
    <w:rsid w:val="002B3DA0"/>
    <w:rsid w:val="002B52F5"/>
    <w:rsid w:val="002B749F"/>
    <w:rsid w:val="002C14BC"/>
    <w:rsid w:val="002C2898"/>
    <w:rsid w:val="002C3BA2"/>
    <w:rsid w:val="002C52E7"/>
    <w:rsid w:val="002C5C69"/>
    <w:rsid w:val="002C691A"/>
    <w:rsid w:val="002D01BF"/>
    <w:rsid w:val="002D26C2"/>
    <w:rsid w:val="002D3808"/>
    <w:rsid w:val="002D3BB3"/>
    <w:rsid w:val="002D6336"/>
    <w:rsid w:val="002D6A62"/>
    <w:rsid w:val="002E11B7"/>
    <w:rsid w:val="002E3B43"/>
    <w:rsid w:val="002E4F2A"/>
    <w:rsid w:val="002E5B26"/>
    <w:rsid w:val="002E65C9"/>
    <w:rsid w:val="002F0F92"/>
    <w:rsid w:val="002F19C8"/>
    <w:rsid w:val="002F2984"/>
    <w:rsid w:val="002F67A6"/>
    <w:rsid w:val="00301CFF"/>
    <w:rsid w:val="00304266"/>
    <w:rsid w:val="00304E20"/>
    <w:rsid w:val="00307B49"/>
    <w:rsid w:val="0031176A"/>
    <w:rsid w:val="00313A79"/>
    <w:rsid w:val="00313E93"/>
    <w:rsid w:val="00314F75"/>
    <w:rsid w:val="00315591"/>
    <w:rsid w:val="003157B5"/>
    <w:rsid w:val="00320AF4"/>
    <w:rsid w:val="00321AF8"/>
    <w:rsid w:val="00321F33"/>
    <w:rsid w:val="003239E7"/>
    <w:rsid w:val="00324D9B"/>
    <w:rsid w:val="00325792"/>
    <w:rsid w:val="00325BD3"/>
    <w:rsid w:val="003261AB"/>
    <w:rsid w:val="00327353"/>
    <w:rsid w:val="0033133B"/>
    <w:rsid w:val="00337616"/>
    <w:rsid w:val="003377E5"/>
    <w:rsid w:val="0034018D"/>
    <w:rsid w:val="0034315F"/>
    <w:rsid w:val="00344A47"/>
    <w:rsid w:val="00345969"/>
    <w:rsid w:val="003514AD"/>
    <w:rsid w:val="00351DBE"/>
    <w:rsid w:val="00364EA0"/>
    <w:rsid w:val="00365593"/>
    <w:rsid w:val="0036774E"/>
    <w:rsid w:val="00370B61"/>
    <w:rsid w:val="00371F92"/>
    <w:rsid w:val="00372359"/>
    <w:rsid w:val="00373DE3"/>
    <w:rsid w:val="003749B6"/>
    <w:rsid w:val="00380834"/>
    <w:rsid w:val="003839CE"/>
    <w:rsid w:val="00384CFF"/>
    <w:rsid w:val="0038568D"/>
    <w:rsid w:val="00385ED0"/>
    <w:rsid w:val="003868B4"/>
    <w:rsid w:val="00392B7F"/>
    <w:rsid w:val="00396472"/>
    <w:rsid w:val="003A462F"/>
    <w:rsid w:val="003A5D58"/>
    <w:rsid w:val="003B048C"/>
    <w:rsid w:val="003B1A81"/>
    <w:rsid w:val="003B4AEC"/>
    <w:rsid w:val="003B6634"/>
    <w:rsid w:val="003C1C5B"/>
    <w:rsid w:val="003C3455"/>
    <w:rsid w:val="003C3DE7"/>
    <w:rsid w:val="003C679C"/>
    <w:rsid w:val="003D02CE"/>
    <w:rsid w:val="003D1222"/>
    <w:rsid w:val="003D314F"/>
    <w:rsid w:val="003D5E45"/>
    <w:rsid w:val="003E15C0"/>
    <w:rsid w:val="003E245E"/>
    <w:rsid w:val="003E3FB4"/>
    <w:rsid w:val="003E5817"/>
    <w:rsid w:val="003F09ED"/>
    <w:rsid w:val="003F245C"/>
    <w:rsid w:val="003F6F11"/>
    <w:rsid w:val="0040031B"/>
    <w:rsid w:val="004004D8"/>
    <w:rsid w:val="0040121C"/>
    <w:rsid w:val="00402571"/>
    <w:rsid w:val="004032E1"/>
    <w:rsid w:val="00405959"/>
    <w:rsid w:val="004119F8"/>
    <w:rsid w:val="004148DB"/>
    <w:rsid w:val="00414D6E"/>
    <w:rsid w:val="004168BA"/>
    <w:rsid w:val="004174ED"/>
    <w:rsid w:val="00420D1A"/>
    <w:rsid w:val="00420EEE"/>
    <w:rsid w:val="0042141D"/>
    <w:rsid w:val="00424344"/>
    <w:rsid w:val="00426A71"/>
    <w:rsid w:val="00426BD3"/>
    <w:rsid w:val="00427A87"/>
    <w:rsid w:val="00431106"/>
    <w:rsid w:val="004318E8"/>
    <w:rsid w:val="00432DA4"/>
    <w:rsid w:val="00435B5C"/>
    <w:rsid w:val="00436554"/>
    <w:rsid w:val="00437095"/>
    <w:rsid w:val="0044013F"/>
    <w:rsid w:val="00443675"/>
    <w:rsid w:val="00444675"/>
    <w:rsid w:val="00444B16"/>
    <w:rsid w:val="00445CC5"/>
    <w:rsid w:val="00445FDA"/>
    <w:rsid w:val="00446FB8"/>
    <w:rsid w:val="0045201E"/>
    <w:rsid w:val="00453311"/>
    <w:rsid w:val="00453FCF"/>
    <w:rsid w:val="004554E7"/>
    <w:rsid w:val="004555B9"/>
    <w:rsid w:val="00463C0D"/>
    <w:rsid w:val="00465642"/>
    <w:rsid w:val="00465D2F"/>
    <w:rsid w:val="00467A00"/>
    <w:rsid w:val="00473486"/>
    <w:rsid w:val="004741EB"/>
    <w:rsid w:val="00480B82"/>
    <w:rsid w:val="00480FA6"/>
    <w:rsid w:val="004817CC"/>
    <w:rsid w:val="00481EF6"/>
    <w:rsid w:val="00482814"/>
    <w:rsid w:val="00482E12"/>
    <w:rsid w:val="00483111"/>
    <w:rsid w:val="00491217"/>
    <w:rsid w:val="004934F8"/>
    <w:rsid w:val="00495C39"/>
    <w:rsid w:val="004962FD"/>
    <w:rsid w:val="004A0963"/>
    <w:rsid w:val="004A168F"/>
    <w:rsid w:val="004A3E25"/>
    <w:rsid w:val="004A3F2A"/>
    <w:rsid w:val="004A5983"/>
    <w:rsid w:val="004A5C7E"/>
    <w:rsid w:val="004B5729"/>
    <w:rsid w:val="004C0ECA"/>
    <w:rsid w:val="004C4D54"/>
    <w:rsid w:val="004C783C"/>
    <w:rsid w:val="004D0601"/>
    <w:rsid w:val="004D2642"/>
    <w:rsid w:val="004D31A0"/>
    <w:rsid w:val="004D331A"/>
    <w:rsid w:val="004D485A"/>
    <w:rsid w:val="004E019A"/>
    <w:rsid w:val="004E0CB0"/>
    <w:rsid w:val="004E29FA"/>
    <w:rsid w:val="004E434E"/>
    <w:rsid w:val="004E5854"/>
    <w:rsid w:val="004E6001"/>
    <w:rsid w:val="004E66A5"/>
    <w:rsid w:val="004F12D2"/>
    <w:rsid w:val="004F4879"/>
    <w:rsid w:val="004F4E55"/>
    <w:rsid w:val="00501437"/>
    <w:rsid w:val="00501677"/>
    <w:rsid w:val="005036AB"/>
    <w:rsid w:val="00506183"/>
    <w:rsid w:val="005119E4"/>
    <w:rsid w:val="005124AC"/>
    <w:rsid w:val="00512F16"/>
    <w:rsid w:val="00514CC5"/>
    <w:rsid w:val="00514D3D"/>
    <w:rsid w:val="00520B2B"/>
    <w:rsid w:val="00523D5A"/>
    <w:rsid w:val="00525A73"/>
    <w:rsid w:val="005268A3"/>
    <w:rsid w:val="00531606"/>
    <w:rsid w:val="005369B5"/>
    <w:rsid w:val="00537DE7"/>
    <w:rsid w:val="00541FBD"/>
    <w:rsid w:val="0054340C"/>
    <w:rsid w:val="005469EB"/>
    <w:rsid w:val="00550AD5"/>
    <w:rsid w:val="00553502"/>
    <w:rsid w:val="005535D3"/>
    <w:rsid w:val="0055398B"/>
    <w:rsid w:val="005557BE"/>
    <w:rsid w:val="0055612B"/>
    <w:rsid w:val="00556EC8"/>
    <w:rsid w:val="0056005F"/>
    <w:rsid w:val="00561123"/>
    <w:rsid w:val="0056782C"/>
    <w:rsid w:val="00567D27"/>
    <w:rsid w:val="00570858"/>
    <w:rsid w:val="0057298C"/>
    <w:rsid w:val="00574711"/>
    <w:rsid w:val="0057726B"/>
    <w:rsid w:val="005777CC"/>
    <w:rsid w:val="00581581"/>
    <w:rsid w:val="0058275F"/>
    <w:rsid w:val="0058606A"/>
    <w:rsid w:val="00586A2F"/>
    <w:rsid w:val="0058730E"/>
    <w:rsid w:val="005908A1"/>
    <w:rsid w:val="0059166F"/>
    <w:rsid w:val="00591C8E"/>
    <w:rsid w:val="00592733"/>
    <w:rsid w:val="005928CC"/>
    <w:rsid w:val="005957A6"/>
    <w:rsid w:val="005964E2"/>
    <w:rsid w:val="00597F04"/>
    <w:rsid w:val="005A03C6"/>
    <w:rsid w:val="005A27F3"/>
    <w:rsid w:val="005A506E"/>
    <w:rsid w:val="005A54B2"/>
    <w:rsid w:val="005B3306"/>
    <w:rsid w:val="005B35B2"/>
    <w:rsid w:val="005B3B53"/>
    <w:rsid w:val="005B47DD"/>
    <w:rsid w:val="005B57E4"/>
    <w:rsid w:val="005B675A"/>
    <w:rsid w:val="005C40C0"/>
    <w:rsid w:val="005C6CFE"/>
    <w:rsid w:val="005C7080"/>
    <w:rsid w:val="005C7757"/>
    <w:rsid w:val="005C7BA7"/>
    <w:rsid w:val="005C7BC1"/>
    <w:rsid w:val="005C7CB0"/>
    <w:rsid w:val="005D0432"/>
    <w:rsid w:val="005D0F22"/>
    <w:rsid w:val="005D40E0"/>
    <w:rsid w:val="005D7171"/>
    <w:rsid w:val="005E4238"/>
    <w:rsid w:val="005E4A02"/>
    <w:rsid w:val="005E7F23"/>
    <w:rsid w:val="005F029B"/>
    <w:rsid w:val="005F4303"/>
    <w:rsid w:val="005F518F"/>
    <w:rsid w:val="005F6ACA"/>
    <w:rsid w:val="00600697"/>
    <w:rsid w:val="006007E8"/>
    <w:rsid w:val="006007F4"/>
    <w:rsid w:val="0060099D"/>
    <w:rsid w:val="00600A04"/>
    <w:rsid w:val="006028BC"/>
    <w:rsid w:val="00602ACB"/>
    <w:rsid w:val="00605042"/>
    <w:rsid w:val="00610DD9"/>
    <w:rsid w:val="00611962"/>
    <w:rsid w:val="00611C2F"/>
    <w:rsid w:val="006125C9"/>
    <w:rsid w:val="00615539"/>
    <w:rsid w:val="0061772C"/>
    <w:rsid w:val="00622E4D"/>
    <w:rsid w:val="00624E78"/>
    <w:rsid w:val="00626179"/>
    <w:rsid w:val="006315B7"/>
    <w:rsid w:val="0063382D"/>
    <w:rsid w:val="006366E0"/>
    <w:rsid w:val="006367D5"/>
    <w:rsid w:val="00636C6A"/>
    <w:rsid w:val="00641899"/>
    <w:rsid w:val="00644661"/>
    <w:rsid w:val="00645B7F"/>
    <w:rsid w:val="00647866"/>
    <w:rsid w:val="006501AA"/>
    <w:rsid w:val="00651F6E"/>
    <w:rsid w:val="0065434E"/>
    <w:rsid w:val="00654CAA"/>
    <w:rsid w:val="00657748"/>
    <w:rsid w:val="00661900"/>
    <w:rsid w:val="00662843"/>
    <w:rsid w:val="00664FFD"/>
    <w:rsid w:val="00667590"/>
    <w:rsid w:val="006704D8"/>
    <w:rsid w:val="00670AC9"/>
    <w:rsid w:val="006724FF"/>
    <w:rsid w:val="00674CDF"/>
    <w:rsid w:val="00677B22"/>
    <w:rsid w:val="006809E6"/>
    <w:rsid w:val="00682B5D"/>
    <w:rsid w:val="00684CDD"/>
    <w:rsid w:val="0068653F"/>
    <w:rsid w:val="0069110F"/>
    <w:rsid w:val="006956C3"/>
    <w:rsid w:val="00697680"/>
    <w:rsid w:val="00697C37"/>
    <w:rsid w:val="006A28BC"/>
    <w:rsid w:val="006A3C5E"/>
    <w:rsid w:val="006A4980"/>
    <w:rsid w:val="006B4081"/>
    <w:rsid w:val="006B5618"/>
    <w:rsid w:val="006B575F"/>
    <w:rsid w:val="006B5809"/>
    <w:rsid w:val="006B73A7"/>
    <w:rsid w:val="006C1555"/>
    <w:rsid w:val="006C211D"/>
    <w:rsid w:val="006C2292"/>
    <w:rsid w:val="006C29A1"/>
    <w:rsid w:val="006C6D3A"/>
    <w:rsid w:val="006C7784"/>
    <w:rsid w:val="006C7B33"/>
    <w:rsid w:val="006D6D0E"/>
    <w:rsid w:val="006E5031"/>
    <w:rsid w:val="006E634C"/>
    <w:rsid w:val="006E7107"/>
    <w:rsid w:val="006F0B48"/>
    <w:rsid w:val="006F2888"/>
    <w:rsid w:val="006F3220"/>
    <w:rsid w:val="006F4B07"/>
    <w:rsid w:val="0070366D"/>
    <w:rsid w:val="00703A42"/>
    <w:rsid w:val="00710CE4"/>
    <w:rsid w:val="00711FFC"/>
    <w:rsid w:val="007149FD"/>
    <w:rsid w:val="00715A2F"/>
    <w:rsid w:val="007165AD"/>
    <w:rsid w:val="00716BEA"/>
    <w:rsid w:val="00717724"/>
    <w:rsid w:val="0072169E"/>
    <w:rsid w:val="00722E5D"/>
    <w:rsid w:val="007240EB"/>
    <w:rsid w:val="007245FC"/>
    <w:rsid w:val="00725D9C"/>
    <w:rsid w:val="0073049E"/>
    <w:rsid w:val="00731225"/>
    <w:rsid w:val="0073126C"/>
    <w:rsid w:val="007316EC"/>
    <w:rsid w:val="007348F8"/>
    <w:rsid w:val="00740468"/>
    <w:rsid w:val="00741AF6"/>
    <w:rsid w:val="0074483F"/>
    <w:rsid w:val="007457B5"/>
    <w:rsid w:val="00751247"/>
    <w:rsid w:val="00751BDB"/>
    <w:rsid w:val="00752C66"/>
    <w:rsid w:val="00756AA1"/>
    <w:rsid w:val="007575EF"/>
    <w:rsid w:val="00757B18"/>
    <w:rsid w:val="00762681"/>
    <w:rsid w:val="00773BA3"/>
    <w:rsid w:val="00774959"/>
    <w:rsid w:val="00775BDA"/>
    <w:rsid w:val="00777D8F"/>
    <w:rsid w:val="00780DCC"/>
    <w:rsid w:val="007810EE"/>
    <w:rsid w:val="00781AB2"/>
    <w:rsid w:val="00784459"/>
    <w:rsid w:val="00784573"/>
    <w:rsid w:val="007848D4"/>
    <w:rsid w:val="007912B5"/>
    <w:rsid w:val="00794D50"/>
    <w:rsid w:val="00796075"/>
    <w:rsid w:val="007A2D75"/>
    <w:rsid w:val="007A3594"/>
    <w:rsid w:val="007A44A8"/>
    <w:rsid w:val="007A56E6"/>
    <w:rsid w:val="007B0BE8"/>
    <w:rsid w:val="007B507D"/>
    <w:rsid w:val="007B650A"/>
    <w:rsid w:val="007C37D2"/>
    <w:rsid w:val="007C3CF0"/>
    <w:rsid w:val="007C44B6"/>
    <w:rsid w:val="007C5192"/>
    <w:rsid w:val="007D146F"/>
    <w:rsid w:val="007D1ACD"/>
    <w:rsid w:val="007D2C17"/>
    <w:rsid w:val="007D444A"/>
    <w:rsid w:val="007D7123"/>
    <w:rsid w:val="007E09BA"/>
    <w:rsid w:val="007E0D09"/>
    <w:rsid w:val="007E36F2"/>
    <w:rsid w:val="007F397A"/>
    <w:rsid w:val="007F4635"/>
    <w:rsid w:val="007F67DA"/>
    <w:rsid w:val="007F772A"/>
    <w:rsid w:val="00805853"/>
    <w:rsid w:val="008075A4"/>
    <w:rsid w:val="00811186"/>
    <w:rsid w:val="00812248"/>
    <w:rsid w:val="00813A21"/>
    <w:rsid w:val="00830524"/>
    <w:rsid w:val="0083140C"/>
    <w:rsid w:val="0083398C"/>
    <w:rsid w:val="00835502"/>
    <w:rsid w:val="00835EA1"/>
    <w:rsid w:val="00837964"/>
    <w:rsid w:val="008430B2"/>
    <w:rsid w:val="008437AF"/>
    <w:rsid w:val="00843BFF"/>
    <w:rsid w:val="00845711"/>
    <w:rsid w:val="0085135A"/>
    <w:rsid w:val="008520CA"/>
    <w:rsid w:val="00857733"/>
    <w:rsid w:val="00863560"/>
    <w:rsid w:val="008636EE"/>
    <w:rsid w:val="00863CAE"/>
    <w:rsid w:val="00866491"/>
    <w:rsid w:val="008668F8"/>
    <w:rsid w:val="008726D9"/>
    <w:rsid w:val="008741AE"/>
    <w:rsid w:val="0087437F"/>
    <w:rsid w:val="00875871"/>
    <w:rsid w:val="00881A12"/>
    <w:rsid w:val="008835C9"/>
    <w:rsid w:val="00884D99"/>
    <w:rsid w:val="00886947"/>
    <w:rsid w:val="008879EB"/>
    <w:rsid w:val="00890A57"/>
    <w:rsid w:val="00890B79"/>
    <w:rsid w:val="00890D5A"/>
    <w:rsid w:val="008935DF"/>
    <w:rsid w:val="008939E9"/>
    <w:rsid w:val="00893A24"/>
    <w:rsid w:val="00894B53"/>
    <w:rsid w:val="00896867"/>
    <w:rsid w:val="00897B16"/>
    <w:rsid w:val="008A1D54"/>
    <w:rsid w:val="008A56CA"/>
    <w:rsid w:val="008B4E32"/>
    <w:rsid w:val="008B544B"/>
    <w:rsid w:val="008C061A"/>
    <w:rsid w:val="008C395B"/>
    <w:rsid w:val="008C4515"/>
    <w:rsid w:val="008C6F9C"/>
    <w:rsid w:val="008D3942"/>
    <w:rsid w:val="008D3C84"/>
    <w:rsid w:val="008D638A"/>
    <w:rsid w:val="008E0258"/>
    <w:rsid w:val="008E1D31"/>
    <w:rsid w:val="008E3155"/>
    <w:rsid w:val="008E5EFF"/>
    <w:rsid w:val="008E6D55"/>
    <w:rsid w:val="008F1F7E"/>
    <w:rsid w:val="008F56D8"/>
    <w:rsid w:val="00900851"/>
    <w:rsid w:val="009021DA"/>
    <w:rsid w:val="00902383"/>
    <w:rsid w:val="00903A67"/>
    <w:rsid w:val="00906D1A"/>
    <w:rsid w:val="00913798"/>
    <w:rsid w:val="00921D59"/>
    <w:rsid w:val="00922698"/>
    <w:rsid w:val="009264D8"/>
    <w:rsid w:val="009271F8"/>
    <w:rsid w:val="00927C59"/>
    <w:rsid w:val="009331EA"/>
    <w:rsid w:val="00934181"/>
    <w:rsid w:val="0093420B"/>
    <w:rsid w:val="009347FE"/>
    <w:rsid w:val="009367F6"/>
    <w:rsid w:val="00937D49"/>
    <w:rsid w:val="00942F86"/>
    <w:rsid w:val="00945805"/>
    <w:rsid w:val="0095000B"/>
    <w:rsid w:val="00951D64"/>
    <w:rsid w:val="00955EE0"/>
    <w:rsid w:val="00957E5F"/>
    <w:rsid w:val="00963B36"/>
    <w:rsid w:val="00963C59"/>
    <w:rsid w:val="00966EA2"/>
    <w:rsid w:val="00966EEF"/>
    <w:rsid w:val="00966F9C"/>
    <w:rsid w:val="00967F8C"/>
    <w:rsid w:val="009715CA"/>
    <w:rsid w:val="009749F4"/>
    <w:rsid w:val="00974CE8"/>
    <w:rsid w:val="00975AB2"/>
    <w:rsid w:val="009817DB"/>
    <w:rsid w:val="00984B33"/>
    <w:rsid w:val="00985DB0"/>
    <w:rsid w:val="0098645C"/>
    <w:rsid w:val="00987612"/>
    <w:rsid w:val="00987864"/>
    <w:rsid w:val="0099204A"/>
    <w:rsid w:val="00992D4E"/>
    <w:rsid w:val="009A1AAB"/>
    <w:rsid w:val="009B1863"/>
    <w:rsid w:val="009B28C2"/>
    <w:rsid w:val="009B2EFA"/>
    <w:rsid w:val="009B31BA"/>
    <w:rsid w:val="009C222F"/>
    <w:rsid w:val="009C3801"/>
    <w:rsid w:val="009C5844"/>
    <w:rsid w:val="009C72BE"/>
    <w:rsid w:val="009D4BAF"/>
    <w:rsid w:val="009D681D"/>
    <w:rsid w:val="009E08A2"/>
    <w:rsid w:val="009E1257"/>
    <w:rsid w:val="009E20AC"/>
    <w:rsid w:val="009E2495"/>
    <w:rsid w:val="009E28DD"/>
    <w:rsid w:val="009E2A03"/>
    <w:rsid w:val="009F5E1A"/>
    <w:rsid w:val="009F6E98"/>
    <w:rsid w:val="00A00691"/>
    <w:rsid w:val="00A02DB2"/>
    <w:rsid w:val="00A06AA1"/>
    <w:rsid w:val="00A11AF3"/>
    <w:rsid w:val="00A12A1C"/>
    <w:rsid w:val="00A13B26"/>
    <w:rsid w:val="00A13D03"/>
    <w:rsid w:val="00A149EA"/>
    <w:rsid w:val="00A15345"/>
    <w:rsid w:val="00A34D95"/>
    <w:rsid w:val="00A353AE"/>
    <w:rsid w:val="00A35810"/>
    <w:rsid w:val="00A36319"/>
    <w:rsid w:val="00A36B84"/>
    <w:rsid w:val="00A403D0"/>
    <w:rsid w:val="00A4045F"/>
    <w:rsid w:val="00A41310"/>
    <w:rsid w:val="00A413E1"/>
    <w:rsid w:val="00A42D29"/>
    <w:rsid w:val="00A432DA"/>
    <w:rsid w:val="00A433EA"/>
    <w:rsid w:val="00A456BC"/>
    <w:rsid w:val="00A47186"/>
    <w:rsid w:val="00A5020A"/>
    <w:rsid w:val="00A50C71"/>
    <w:rsid w:val="00A5624A"/>
    <w:rsid w:val="00A56868"/>
    <w:rsid w:val="00A57073"/>
    <w:rsid w:val="00A57458"/>
    <w:rsid w:val="00A6011C"/>
    <w:rsid w:val="00A60DE0"/>
    <w:rsid w:val="00A67F12"/>
    <w:rsid w:val="00A711B4"/>
    <w:rsid w:val="00A711C3"/>
    <w:rsid w:val="00A71538"/>
    <w:rsid w:val="00A7383B"/>
    <w:rsid w:val="00A73878"/>
    <w:rsid w:val="00A74BE0"/>
    <w:rsid w:val="00A76426"/>
    <w:rsid w:val="00A779AD"/>
    <w:rsid w:val="00A82272"/>
    <w:rsid w:val="00A82576"/>
    <w:rsid w:val="00A82838"/>
    <w:rsid w:val="00A832D6"/>
    <w:rsid w:val="00A83675"/>
    <w:rsid w:val="00A868BF"/>
    <w:rsid w:val="00A901D3"/>
    <w:rsid w:val="00A90E02"/>
    <w:rsid w:val="00A91CA6"/>
    <w:rsid w:val="00A92C63"/>
    <w:rsid w:val="00A92DB0"/>
    <w:rsid w:val="00A96189"/>
    <w:rsid w:val="00A964A9"/>
    <w:rsid w:val="00A9657D"/>
    <w:rsid w:val="00A977D7"/>
    <w:rsid w:val="00AA2618"/>
    <w:rsid w:val="00AA2EF8"/>
    <w:rsid w:val="00AA336A"/>
    <w:rsid w:val="00AA44E4"/>
    <w:rsid w:val="00AA4F2C"/>
    <w:rsid w:val="00AA6EA7"/>
    <w:rsid w:val="00AB4204"/>
    <w:rsid w:val="00AB4628"/>
    <w:rsid w:val="00AB551B"/>
    <w:rsid w:val="00AB700C"/>
    <w:rsid w:val="00AB744C"/>
    <w:rsid w:val="00AC61BE"/>
    <w:rsid w:val="00AC6F1E"/>
    <w:rsid w:val="00AC78CF"/>
    <w:rsid w:val="00AD0B17"/>
    <w:rsid w:val="00AD0F7F"/>
    <w:rsid w:val="00AD1ECB"/>
    <w:rsid w:val="00AD43D0"/>
    <w:rsid w:val="00AD592F"/>
    <w:rsid w:val="00AE4A41"/>
    <w:rsid w:val="00AE6D7B"/>
    <w:rsid w:val="00AE7283"/>
    <w:rsid w:val="00AF0B5A"/>
    <w:rsid w:val="00AF1B36"/>
    <w:rsid w:val="00AF49D9"/>
    <w:rsid w:val="00AF586B"/>
    <w:rsid w:val="00AF6049"/>
    <w:rsid w:val="00B01DC6"/>
    <w:rsid w:val="00B03E7B"/>
    <w:rsid w:val="00B0439E"/>
    <w:rsid w:val="00B04BA4"/>
    <w:rsid w:val="00B068EF"/>
    <w:rsid w:val="00B06AA8"/>
    <w:rsid w:val="00B079C8"/>
    <w:rsid w:val="00B07C67"/>
    <w:rsid w:val="00B10503"/>
    <w:rsid w:val="00B13EFA"/>
    <w:rsid w:val="00B142B7"/>
    <w:rsid w:val="00B1502B"/>
    <w:rsid w:val="00B17B83"/>
    <w:rsid w:val="00B24C96"/>
    <w:rsid w:val="00B259C3"/>
    <w:rsid w:val="00B26A0D"/>
    <w:rsid w:val="00B26EE1"/>
    <w:rsid w:val="00B30FC1"/>
    <w:rsid w:val="00B33CB6"/>
    <w:rsid w:val="00B351B3"/>
    <w:rsid w:val="00B35B50"/>
    <w:rsid w:val="00B35D2E"/>
    <w:rsid w:val="00B40F70"/>
    <w:rsid w:val="00B45BF4"/>
    <w:rsid w:val="00B47758"/>
    <w:rsid w:val="00B47EF6"/>
    <w:rsid w:val="00B50C2C"/>
    <w:rsid w:val="00B51486"/>
    <w:rsid w:val="00B514CA"/>
    <w:rsid w:val="00B53496"/>
    <w:rsid w:val="00B54B74"/>
    <w:rsid w:val="00B55408"/>
    <w:rsid w:val="00B62620"/>
    <w:rsid w:val="00B635F1"/>
    <w:rsid w:val="00B6676D"/>
    <w:rsid w:val="00B749D2"/>
    <w:rsid w:val="00B775EA"/>
    <w:rsid w:val="00B81710"/>
    <w:rsid w:val="00B81C1B"/>
    <w:rsid w:val="00B83BFD"/>
    <w:rsid w:val="00B8536B"/>
    <w:rsid w:val="00B92277"/>
    <w:rsid w:val="00B94483"/>
    <w:rsid w:val="00B94C22"/>
    <w:rsid w:val="00B96E79"/>
    <w:rsid w:val="00BA1504"/>
    <w:rsid w:val="00BA6218"/>
    <w:rsid w:val="00BA78ED"/>
    <w:rsid w:val="00BB021F"/>
    <w:rsid w:val="00BB0C97"/>
    <w:rsid w:val="00BB2CD2"/>
    <w:rsid w:val="00BB2E67"/>
    <w:rsid w:val="00BB3E24"/>
    <w:rsid w:val="00BB4B42"/>
    <w:rsid w:val="00BB673D"/>
    <w:rsid w:val="00BC1432"/>
    <w:rsid w:val="00BC15F4"/>
    <w:rsid w:val="00BD0212"/>
    <w:rsid w:val="00BD78D0"/>
    <w:rsid w:val="00BE418E"/>
    <w:rsid w:val="00BE4DBE"/>
    <w:rsid w:val="00BE4FA1"/>
    <w:rsid w:val="00BE571D"/>
    <w:rsid w:val="00C0052A"/>
    <w:rsid w:val="00C0146B"/>
    <w:rsid w:val="00C021B2"/>
    <w:rsid w:val="00C06AC1"/>
    <w:rsid w:val="00C13DC6"/>
    <w:rsid w:val="00C161C3"/>
    <w:rsid w:val="00C16ADB"/>
    <w:rsid w:val="00C17FC0"/>
    <w:rsid w:val="00C2120A"/>
    <w:rsid w:val="00C2237A"/>
    <w:rsid w:val="00C258FA"/>
    <w:rsid w:val="00C30817"/>
    <w:rsid w:val="00C318DE"/>
    <w:rsid w:val="00C34768"/>
    <w:rsid w:val="00C372A0"/>
    <w:rsid w:val="00C4074B"/>
    <w:rsid w:val="00C40D73"/>
    <w:rsid w:val="00C41F14"/>
    <w:rsid w:val="00C41F44"/>
    <w:rsid w:val="00C41F93"/>
    <w:rsid w:val="00C426C4"/>
    <w:rsid w:val="00C42784"/>
    <w:rsid w:val="00C50E91"/>
    <w:rsid w:val="00C51245"/>
    <w:rsid w:val="00C54C2F"/>
    <w:rsid w:val="00C63C86"/>
    <w:rsid w:val="00C63CEF"/>
    <w:rsid w:val="00C642E7"/>
    <w:rsid w:val="00C65AF0"/>
    <w:rsid w:val="00C752A5"/>
    <w:rsid w:val="00C75C8E"/>
    <w:rsid w:val="00C760BC"/>
    <w:rsid w:val="00C763FD"/>
    <w:rsid w:val="00C846FB"/>
    <w:rsid w:val="00C901D3"/>
    <w:rsid w:val="00CA770D"/>
    <w:rsid w:val="00CB0368"/>
    <w:rsid w:val="00CB188C"/>
    <w:rsid w:val="00CB1C6D"/>
    <w:rsid w:val="00CB46CE"/>
    <w:rsid w:val="00CB46F3"/>
    <w:rsid w:val="00CC51A3"/>
    <w:rsid w:val="00CC58CC"/>
    <w:rsid w:val="00CC67AC"/>
    <w:rsid w:val="00CD056A"/>
    <w:rsid w:val="00CD7697"/>
    <w:rsid w:val="00CD7FF8"/>
    <w:rsid w:val="00CE1DE3"/>
    <w:rsid w:val="00CE31A6"/>
    <w:rsid w:val="00CE4F19"/>
    <w:rsid w:val="00CE7193"/>
    <w:rsid w:val="00CF6E16"/>
    <w:rsid w:val="00CF7478"/>
    <w:rsid w:val="00D02013"/>
    <w:rsid w:val="00D06EFE"/>
    <w:rsid w:val="00D07CDB"/>
    <w:rsid w:val="00D115A8"/>
    <w:rsid w:val="00D116BB"/>
    <w:rsid w:val="00D1319E"/>
    <w:rsid w:val="00D16410"/>
    <w:rsid w:val="00D173E5"/>
    <w:rsid w:val="00D21D2A"/>
    <w:rsid w:val="00D22D08"/>
    <w:rsid w:val="00D3047C"/>
    <w:rsid w:val="00D31511"/>
    <w:rsid w:val="00D342D3"/>
    <w:rsid w:val="00D47EC0"/>
    <w:rsid w:val="00D50BFD"/>
    <w:rsid w:val="00D54551"/>
    <w:rsid w:val="00D551B3"/>
    <w:rsid w:val="00D60645"/>
    <w:rsid w:val="00D619D5"/>
    <w:rsid w:val="00D67E6F"/>
    <w:rsid w:val="00D702ED"/>
    <w:rsid w:val="00D73900"/>
    <w:rsid w:val="00D7446C"/>
    <w:rsid w:val="00D875EF"/>
    <w:rsid w:val="00D91819"/>
    <w:rsid w:val="00D93E1D"/>
    <w:rsid w:val="00D94521"/>
    <w:rsid w:val="00D97D94"/>
    <w:rsid w:val="00DA12F9"/>
    <w:rsid w:val="00DB0AF8"/>
    <w:rsid w:val="00DB198A"/>
    <w:rsid w:val="00DB43D3"/>
    <w:rsid w:val="00DC1530"/>
    <w:rsid w:val="00DC4FE1"/>
    <w:rsid w:val="00DC5591"/>
    <w:rsid w:val="00DC70FE"/>
    <w:rsid w:val="00DD15C2"/>
    <w:rsid w:val="00DD1EF4"/>
    <w:rsid w:val="00DD2DEA"/>
    <w:rsid w:val="00DD56F9"/>
    <w:rsid w:val="00DD5B1D"/>
    <w:rsid w:val="00DD6DA9"/>
    <w:rsid w:val="00DE1B16"/>
    <w:rsid w:val="00DE2002"/>
    <w:rsid w:val="00DE3026"/>
    <w:rsid w:val="00DE6713"/>
    <w:rsid w:val="00DE6BFA"/>
    <w:rsid w:val="00DF241B"/>
    <w:rsid w:val="00E0406A"/>
    <w:rsid w:val="00E05F30"/>
    <w:rsid w:val="00E070E0"/>
    <w:rsid w:val="00E12465"/>
    <w:rsid w:val="00E127EA"/>
    <w:rsid w:val="00E14D42"/>
    <w:rsid w:val="00E20919"/>
    <w:rsid w:val="00E25537"/>
    <w:rsid w:val="00E256AE"/>
    <w:rsid w:val="00E34162"/>
    <w:rsid w:val="00E35F3D"/>
    <w:rsid w:val="00E37858"/>
    <w:rsid w:val="00E37FFE"/>
    <w:rsid w:val="00E41D09"/>
    <w:rsid w:val="00E42391"/>
    <w:rsid w:val="00E4260F"/>
    <w:rsid w:val="00E42705"/>
    <w:rsid w:val="00E42A46"/>
    <w:rsid w:val="00E44DA9"/>
    <w:rsid w:val="00E5133A"/>
    <w:rsid w:val="00E520D2"/>
    <w:rsid w:val="00E526AE"/>
    <w:rsid w:val="00E54018"/>
    <w:rsid w:val="00E54070"/>
    <w:rsid w:val="00E57546"/>
    <w:rsid w:val="00E6680F"/>
    <w:rsid w:val="00E6787B"/>
    <w:rsid w:val="00E67898"/>
    <w:rsid w:val="00E6791C"/>
    <w:rsid w:val="00E67F9B"/>
    <w:rsid w:val="00E75680"/>
    <w:rsid w:val="00E76A4F"/>
    <w:rsid w:val="00E76E9B"/>
    <w:rsid w:val="00E83EE2"/>
    <w:rsid w:val="00E85941"/>
    <w:rsid w:val="00E8685A"/>
    <w:rsid w:val="00E9071C"/>
    <w:rsid w:val="00E90813"/>
    <w:rsid w:val="00E9146A"/>
    <w:rsid w:val="00E93183"/>
    <w:rsid w:val="00E932FB"/>
    <w:rsid w:val="00E93BF5"/>
    <w:rsid w:val="00E940A4"/>
    <w:rsid w:val="00E951BD"/>
    <w:rsid w:val="00EA0720"/>
    <w:rsid w:val="00EA4575"/>
    <w:rsid w:val="00EA7380"/>
    <w:rsid w:val="00EB15EE"/>
    <w:rsid w:val="00EB6693"/>
    <w:rsid w:val="00EC2367"/>
    <w:rsid w:val="00EC638A"/>
    <w:rsid w:val="00EC734E"/>
    <w:rsid w:val="00ED0EB9"/>
    <w:rsid w:val="00ED17BC"/>
    <w:rsid w:val="00ED273E"/>
    <w:rsid w:val="00ED5B5F"/>
    <w:rsid w:val="00EE0AEE"/>
    <w:rsid w:val="00EE11ED"/>
    <w:rsid w:val="00EE1CF3"/>
    <w:rsid w:val="00EE29A9"/>
    <w:rsid w:val="00EE4195"/>
    <w:rsid w:val="00EE6F6B"/>
    <w:rsid w:val="00EF0D66"/>
    <w:rsid w:val="00EF127F"/>
    <w:rsid w:val="00EF4A48"/>
    <w:rsid w:val="00EF4DBC"/>
    <w:rsid w:val="00EF4EE9"/>
    <w:rsid w:val="00EF5491"/>
    <w:rsid w:val="00F00B2A"/>
    <w:rsid w:val="00F01DFC"/>
    <w:rsid w:val="00F07BDB"/>
    <w:rsid w:val="00F10E11"/>
    <w:rsid w:val="00F1183F"/>
    <w:rsid w:val="00F11B56"/>
    <w:rsid w:val="00F1254C"/>
    <w:rsid w:val="00F12FD9"/>
    <w:rsid w:val="00F14032"/>
    <w:rsid w:val="00F14674"/>
    <w:rsid w:val="00F16463"/>
    <w:rsid w:val="00F166CF"/>
    <w:rsid w:val="00F166FF"/>
    <w:rsid w:val="00F17946"/>
    <w:rsid w:val="00F22734"/>
    <w:rsid w:val="00F2432F"/>
    <w:rsid w:val="00F269C2"/>
    <w:rsid w:val="00F27A3F"/>
    <w:rsid w:val="00F33659"/>
    <w:rsid w:val="00F36099"/>
    <w:rsid w:val="00F420F0"/>
    <w:rsid w:val="00F43EE6"/>
    <w:rsid w:val="00F46BA2"/>
    <w:rsid w:val="00F5671C"/>
    <w:rsid w:val="00F61251"/>
    <w:rsid w:val="00F61682"/>
    <w:rsid w:val="00F66AC6"/>
    <w:rsid w:val="00F7218D"/>
    <w:rsid w:val="00F7437D"/>
    <w:rsid w:val="00F75CD2"/>
    <w:rsid w:val="00F76259"/>
    <w:rsid w:val="00F8078D"/>
    <w:rsid w:val="00F81F85"/>
    <w:rsid w:val="00F83F5F"/>
    <w:rsid w:val="00F91915"/>
    <w:rsid w:val="00FA4738"/>
    <w:rsid w:val="00FA4E5D"/>
    <w:rsid w:val="00FA56AF"/>
    <w:rsid w:val="00FA596A"/>
    <w:rsid w:val="00FA64FD"/>
    <w:rsid w:val="00FB06EA"/>
    <w:rsid w:val="00FB67C1"/>
    <w:rsid w:val="00FC2111"/>
    <w:rsid w:val="00FC2BDF"/>
    <w:rsid w:val="00FC4440"/>
    <w:rsid w:val="00FC4E66"/>
    <w:rsid w:val="00FD1717"/>
    <w:rsid w:val="00FD1A64"/>
    <w:rsid w:val="00FD20C1"/>
    <w:rsid w:val="00FD3905"/>
    <w:rsid w:val="00FD545B"/>
    <w:rsid w:val="00FD7305"/>
    <w:rsid w:val="00FE1CD6"/>
    <w:rsid w:val="00FE37B5"/>
    <w:rsid w:val="00FE660F"/>
    <w:rsid w:val="00FE6AC3"/>
    <w:rsid w:val="00FF0334"/>
    <w:rsid w:val="00FF1611"/>
    <w:rsid w:val="00FF4461"/>
    <w:rsid w:val="00FF72CD"/>
    <w:rsid w:val="02040604"/>
    <w:rsid w:val="0E7A71B7"/>
    <w:rsid w:val="10275760"/>
    <w:rsid w:val="4F473648"/>
    <w:rsid w:val="535542FD"/>
    <w:rsid w:val="7CCC03A3"/>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fillcolor="white">
      <v:fill color="white"/>
    </o:shapedefaults>
    <o:shapelayout v:ext="edit">
      <o:idmap v:ext="edit" data="2"/>
    </o:shapelayout>
  </w:shapeDefaults>
  <w:decimalSymbol w:val=","/>
  <w:listSeparator w:val=";"/>
  <w14:docId w14:val="7283B73C"/>
  <w15:docId w15:val="{7340DDE3-0E6F-43A4-80E0-E99B1DC0E5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lang w:val="fr-FR" w:eastAsia="fr-F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unhideWhenUsed="1" w:qFormat="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uiPriority="34" w:qFormat="1"/>
    <w:lsdException w:name="Quote" w:semiHidden="1" w:unhideWhenUsed="1"/>
    <w:lsdException w:name="Intense Quote" w:semiHidden="1" w:unhideWhenUsed="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kern w:val="2"/>
      <w:sz w:val="22"/>
      <w:szCs w:val="22"/>
      <w:lang w:eastAsia="en-US"/>
      <w14:ligatures w14:val="standardContextual"/>
    </w:rPr>
  </w:style>
  <w:style w:type="paragraph" w:styleId="Titre1">
    <w:name w:val="heading 1"/>
    <w:basedOn w:val="Normal"/>
    <w:next w:val="Normal"/>
    <w:link w:val="Titre1Car"/>
    <w:uiPriority w:val="9"/>
    <w:qFormat/>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itre2">
    <w:name w:val="heading 2"/>
    <w:basedOn w:val="Normal"/>
    <w:next w:val="Normal"/>
    <w:link w:val="Titre2Car"/>
    <w:uiPriority w:val="9"/>
    <w:semiHidden/>
    <w:unhideWhenUsed/>
    <w:qFormat/>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itre3">
    <w:name w:val="heading 3"/>
    <w:next w:val="Normal"/>
    <w:link w:val="Titre3Car"/>
    <w:uiPriority w:val="9"/>
    <w:unhideWhenUsed/>
    <w:qFormat/>
    <w:pPr>
      <w:keepNext/>
      <w:keepLines/>
      <w:spacing w:after="177" w:line="259" w:lineRule="auto"/>
      <w:ind w:left="10" w:right="62" w:hanging="10"/>
      <w:outlineLvl w:val="2"/>
    </w:pPr>
    <w:rPr>
      <w:rFonts w:ascii="Times New Roman" w:eastAsia="Times New Roman" w:hAnsi="Times New Roman" w:cs="Times New Roman"/>
      <w:b/>
      <w:color w:val="000000"/>
      <w:sz w:val="24"/>
      <w:szCs w:val="24"/>
      <w14:ligatures w14:val="standardContextual"/>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qFormat/>
    <w:rPr>
      <w:color w:val="0563C1" w:themeColor="hyperlink"/>
      <w:u w:val="single"/>
    </w:rPr>
  </w:style>
  <w:style w:type="character" w:styleId="Appeldenotedefin">
    <w:name w:val="endnote reference"/>
    <w:basedOn w:val="Policepardfaut"/>
    <w:uiPriority w:val="99"/>
    <w:semiHidden/>
    <w:unhideWhenUsed/>
    <w:qFormat/>
    <w:rPr>
      <w:vertAlign w:val="superscript"/>
    </w:rPr>
  </w:style>
  <w:style w:type="character" w:styleId="Marquedecommentaire">
    <w:name w:val="annotation reference"/>
    <w:basedOn w:val="Policepardfaut"/>
    <w:uiPriority w:val="99"/>
    <w:semiHidden/>
    <w:unhideWhenUsed/>
    <w:qFormat/>
    <w:rPr>
      <w:sz w:val="16"/>
      <w:szCs w:val="16"/>
    </w:rPr>
  </w:style>
  <w:style w:type="paragraph" w:styleId="Notedefin">
    <w:name w:val="endnote text"/>
    <w:basedOn w:val="Normal"/>
    <w:link w:val="NotedefinCar"/>
    <w:uiPriority w:val="99"/>
    <w:semiHidden/>
    <w:unhideWhenUsed/>
    <w:qFormat/>
    <w:pPr>
      <w:spacing w:after="0" w:line="240" w:lineRule="auto"/>
    </w:pPr>
    <w:rPr>
      <w:sz w:val="20"/>
      <w:szCs w:val="20"/>
    </w:rPr>
  </w:style>
  <w:style w:type="paragraph" w:styleId="Objetducommentaire">
    <w:name w:val="annotation subject"/>
    <w:basedOn w:val="Commentaire"/>
    <w:next w:val="Commentaire"/>
    <w:link w:val="ObjetducommentaireCar"/>
    <w:uiPriority w:val="99"/>
    <w:semiHidden/>
    <w:unhideWhenUsed/>
    <w:qFormat/>
    <w:rPr>
      <w:b/>
      <w:bCs/>
    </w:rPr>
  </w:style>
  <w:style w:type="paragraph" w:styleId="Commentaire">
    <w:name w:val="annotation text"/>
    <w:basedOn w:val="Normal"/>
    <w:link w:val="CommentaireCar"/>
    <w:uiPriority w:val="99"/>
    <w:semiHidden/>
    <w:unhideWhenUsed/>
    <w:qFormat/>
    <w:pPr>
      <w:spacing w:line="240" w:lineRule="auto"/>
    </w:pPr>
    <w:rPr>
      <w:sz w:val="20"/>
      <w:szCs w:val="20"/>
    </w:rPr>
  </w:style>
  <w:style w:type="paragraph" w:styleId="Pieddepage">
    <w:name w:val="footer"/>
    <w:basedOn w:val="Normal"/>
    <w:link w:val="PieddepageCar"/>
    <w:uiPriority w:val="99"/>
    <w:unhideWhenUsed/>
    <w:qFormat/>
    <w:pPr>
      <w:tabs>
        <w:tab w:val="center" w:pos="4536"/>
        <w:tab w:val="right" w:pos="9072"/>
      </w:tabs>
      <w:spacing w:after="0" w:line="240" w:lineRule="auto"/>
    </w:pPr>
  </w:style>
  <w:style w:type="paragraph" w:styleId="En-tte">
    <w:name w:val="header"/>
    <w:basedOn w:val="Normal"/>
    <w:link w:val="En-tteCar"/>
    <w:uiPriority w:val="99"/>
    <w:unhideWhenUsed/>
    <w:qFormat/>
    <w:pPr>
      <w:tabs>
        <w:tab w:val="center" w:pos="4536"/>
        <w:tab w:val="right" w:pos="9072"/>
      </w:tabs>
      <w:spacing w:after="0" w:line="240" w:lineRule="auto"/>
    </w:pPr>
  </w:style>
  <w:style w:type="paragraph" w:styleId="Paragraphedeliste">
    <w:name w:val="List Paragraph"/>
    <w:basedOn w:val="Normal"/>
    <w:uiPriority w:val="34"/>
    <w:qFormat/>
    <w:pPr>
      <w:ind w:left="720"/>
      <w:contextualSpacing/>
    </w:pPr>
  </w:style>
  <w:style w:type="character" w:customStyle="1" w:styleId="En-tteCar">
    <w:name w:val="En-tête Car"/>
    <w:basedOn w:val="Policepardfaut"/>
    <w:link w:val="En-tte"/>
    <w:uiPriority w:val="99"/>
    <w:qFormat/>
  </w:style>
  <w:style w:type="character" w:customStyle="1" w:styleId="PieddepageCar">
    <w:name w:val="Pied de page Car"/>
    <w:basedOn w:val="Policepardfaut"/>
    <w:link w:val="Pieddepage"/>
    <w:uiPriority w:val="99"/>
    <w:qFormat/>
  </w:style>
  <w:style w:type="character" w:customStyle="1" w:styleId="NotedefinCar">
    <w:name w:val="Note de fin Car"/>
    <w:basedOn w:val="Policepardfaut"/>
    <w:link w:val="Notedefin"/>
    <w:uiPriority w:val="99"/>
    <w:semiHidden/>
    <w:qFormat/>
    <w:rPr>
      <w:sz w:val="20"/>
      <w:szCs w:val="20"/>
    </w:rPr>
  </w:style>
  <w:style w:type="character" w:customStyle="1" w:styleId="Mentionnonrsolue1">
    <w:name w:val="Mention non résolue1"/>
    <w:basedOn w:val="Policepardfaut"/>
    <w:uiPriority w:val="99"/>
    <w:semiHidden/>
    <w:unhideWhenUsed/>
    <w:qFormat/>
    <w:rPr>
      <w:color w:val="605E5C"/>
      <w:shd w:val="clear" w:color="auto" w:fill="E1DFDD"/>
    </w:rPr>
  </w:style>
  <w:style w:type="table" w:styleId="Grilledutableau">
    <w:name w:val="Table Grid"/>
    <w:basedOn w:val="TableauNormal"/>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ausimple11">
    <w:name w:val="Tableau simple 11"/>
    <w:basedOn w:val="TableauNormal"/>
    <w:uiPriority w:val="41"/>
    <w:qFormat/>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eausimple41">
    <w:name w:val="Tableau simple 41"/>
    <w:basedOn w:val="TableauNormal"/>
    <w:uiPriority w:val="44"/>
    <w:qFormat/>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eauGrille6Couleur1">
    <w:name w:val="Tableau Grille 6 Couleur1"/>
    <w:basedOn w:val="TableauNormal"/>
    <w:uiPriority w:val="51"/>
    <w:qFormat/>
    <w:rPr>
      <w:color w:val="000000" w:themeColor="text1"/>
    </w:rPr>
    <w:tblPr>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eausimple21">
    <w:name w:val="Tableau simple 21"/>
    <w:basedOn w:val="TableauNormal"/>
    <w:uiPriority w:val="42"/>
    <w:qFormat/>
    <w:tblPr>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TableauGrille2-Accentuation31">
    <w:name w:val="Tableau Grille 2 - Accentuation 31"/>
    <w:basedOn w:val="TableauNormal"/>
    <w:uiPriority w:val="47"/>
    <w:qFormat/>
    <w:tblPr>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Tableausimple31">
    <w:name w:val="Tableau simple 31"/>
    <w:basedOn w:val="TableauNormal"/>
    <w:uiPriority w:val="43"/>
    <w:qFormat/>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character" w:customStyle="1" w:styleId="Titre3Car">
    <w:name w:val="Titre 3 Car"/>
    <w:basedOn w:val="Policepardfaut"/>
    <w:link w:val="Titre3"/>
    <w:uiPriority w:val="9"/>
    <w:qFormat/>
    <w:rPr>
      <w:rFonts w:ascii="Times New Roman" w:eastAsia="Times New Roman" w:hAnsi="Times New Roman" w:cs="Times New Roman"/>
      <w:b/>
      <w:color w:val="000000"/>
      <w:kern w:val="0"/>
      <w:sz w:val="24"/>
      <w:szCs w:val="24"/>
      <w:lang w:eastAsia="fr-FR"/>
    </w:rPr>
  </w:style>
  <w:style w:type="character" w:customStyle="1" w:styleId="Titre2Car">
    <w:name w:val="Titre 2 Car"/>
    <w:basedOn w:val="Policepardfaut"/>
    <w:link w:val="Titre2"/>
    <w:uiPriority w:val="9"/>
    <w:semiHidden/>
    <w:qFormat/>
    <w:rPr>
      <w:rFonts w:asciiTheme="majorHAnsi" w:eastAsiaTheme="majorEastAsia" w:hAnsiTheme="majorHAnsi" w:cstheme="majorBidi"/>
      <w:color w:val="2F5496" w:themeColor="accent1" w:themeShade="BF"/>
      <w:sz w:val="26"/>
      <w:szCs w:val="26"/>
    </w:rPr>
  </w:style>
  <w:style w:type="paragraph" w:customStyle="1" w:styleId="Paragraphedeliste1">
    <w:name w:val="Paragraphe de liste1"/>
    <w:basedOn w:val="Normal"/>
    <w:qFormat/>
    <w:pPr>
      <w:spacing w:before="100" w:beforeAutospacing="1" w:after="100" w:afterAutospacing="1" w:line="254" w:lineRule="auto"/>
      <w:contextualSpacing/>
    </w:pPr>
    <w:rPr>
      <w:rFonts w:ascii="Calibri" w:eastAsia="Times New Roman" w:hAnsi="Calibri" w:cs="Arial"/>
      <w:kern w:val="0"/>
      <w:sz w:val="24"/>
      <w:szCs w:val="24"/>
      <w:lang w:eastAsia="fr-FR"/>
      <w14:ligatures w14:val="none"/>
    </w:rPr>
  </w:style>
  <w:style w:type="table" w:customStyle="1" w:styleId="TableauGrille1Clair1">
    <w:name w:val="Tableau Grille 1 Clair1"/>
    <w:basedOn w:val="TableauNormal"/>
    <w:uiPriority w:val="46"/>
    <w:qFormat/>
    <w:tblPr>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Titre1Car">
    <w:name w:val="Titre 1 Car"/>
    <w:basedOn w:val="Policepardfaut"/>
    <w:link w:val="Titre1"/>
    <w:uiPriority w:val="9"/>
    <w:qFormat/>
    <w:rPr>
      <w:rFonts w:asciiTheme="majorHAnsi" w:eastAsiaTheme="majorEastAsia" w:hAnsiTheme="majorHAnsi" w:cstheme="majorBidi"/>
      <w:color w:val="2F5496" w:themeColor="accent1" w:themeShade="BF"/>
      <w:sz w:val="32"/>
      <w:szCs w:val="32"/>
    </w:rPr>
  </w:style>
  <w:style w:type="paragraph" w:customStyle="1" w:styleId="En-ttedetabledesmatires1">
    <w:name w:val="En-tête de table des matières1"/>
    <w:basedOn w:val="Titre1"/>
    <w:next w:val="Normal"/>
    <w:uiPriority w:val="39"/>
    <w:unhideWhenUsed/>
    <w:qFormat/>
    <w:pPr>
      <w:spacing w:before="480" w:line="480" w:lineRule="auto"/>
      <w:outlineLvl w:val="9"/>
    </w:pPr>
    <w:rPr>
      <w:rFonts w:asciiTheme="majorBidi" w:hAnsiTheme="majorBidi"/>
      <w:b/>
      <w:bCs/>
      <w:color w:val="000000" w:themeColor="text1"/>
      <w:kern w:val="0"/>
      <w:sz w:val="28"/>
      <w:szCs w:val="28"/>
      <w14:ligatures w14:val="none"/>
    </w:rPr>
  </w:style>
  <w:style w:type="paragraph" w:styleId="Sansinterligne">
    <w:name w:val="No Spacing"/>
    <w:link w:val="SansinterligneCar"/>
    <w:uiPriority w:val="1"/>
    <w:qFormat/>
    <w:rPr>
      <w:rFonts w:eastAsiaTheme="minorEastAsia"/>
      <w:sz w:val="22"/>
      <w:szCs w:val="22"/>
    </w:rPr>
  </w:style>
  <w:style w:type="character" w:customStyle="1" w:styleId="SansinterligneCar">
    <w:name w:val="Sans interligne Car"/>
    <w:basedOn w:val="Policepardfaut"/>
    <w:link w:val="Sansinterligne"/>
    <w:uiPriority w:val="1"/>
    <w:qFormat/>
    <w:rPr>
      <w:rFonts w:eastAsiaTheme="minorEastAsia"/>
      <w:kern w:val="0"/>
      <w:lang w:eastAsia="fr-FR"/>
      <w14:ligatures w14:val="none"/>
    </w:rPr>
  </w:style>
  <w:style w:type="character" w:customStyle="1" w:styleId="CommentaireCar">
    <w:name w:val="Commentaire Car"/>
    <w:basedOn w:val="Policepardfaut"/>
    <w:link w:val="Commentaire"/>
    <w:uiPriority w:val="99"/>
    <w:semiHidden/>
    <w:qFormat/>
    <w:rPr>
      <w:sz w:val="20"/>
      <w:szCs w:val="20"/>
    </w:rPr>
  </w:style>
  <w:style w:type="character" w:customStyle="1" w:styleId="ObjetducommentaireCar">
    <w:name w:val="Objet du commentaire Car"/>
    <w:basedOn w:val="CommentaireCar"/>
    <w:link w:val="Objetducommentaire"/>
    <w:uiPriority w:val="99"/>
    <w:semiHidden/>
    <w:qFormat/>
    <w:rPr>
      <w:b/>
      <w:bCs/>
      <w:sz w:val="20"/>
      <w:szCs w:val="20"/>
    </w:rPr>
  </w:style>
  <w:style w:type="table" w:customStyle="1" w:styleId="TableauGrille2-Accentuation51">
    <w:name w:val="Tableau Grille 2 - Accentuation 51"/>
    <w:basedOn w:val="TableauNormal"/>
    <w:uiPriority w:val="47"/>
    <w:qFormat/>
    <w:tblPr>
      <w:tblBorders>
        <w:top w:val="single" w:sz="2" w:space="0" w:color="9CC2E5" w:themeColor="accent5" w:themeTint="99"/>
        <w:bottom w:val="single" w:sz="2" w:space="0" w:color="9CC2E5" w:themeColor="accent5" w:themeTint="99"/>
        <w:insideH w:val="single" w:sz="2" w:space="0" w:color="9CC2E5" w:themeColor="accent5" w:themeTint="99"/>
        <w:insideV w:val="single" w:sz="2" w:space="0" w:color="9CC2E5" w:themeColor="accent5" w:themeTint="99"/>
      </w:tblBorders>
    </w:tblPr>
    <w:tblStylePr w:type="firstRow">
      <w:rPr>
        <w:b/>
        <w:bCs/>
      </w:rPr>
      <w:tblPr/>
      <w:tcPr>
        <w:tcBorders>
          <w:top w:val="nil"/>
          <w:bottom w:val="single" w:sz="12" w:space="0" w:color="9CC2E5" w:themeColor="accent5" w:themeTint="99"/>
          <w:insideH w:val="nil"/>
          <w:insideV w:val="nil"/>
        </w:tcBorders>
        <w:shd w:val="clear" w:color="auto" w:fill="FFFFFF" w:themeFill="background1"/>
      </w:tcPr>
    </w:tblStylePr>
    <w:tblStylePr w:type="lastRow">
      <w:rPr>
        <w:b/>
        <w:bCs/>
      </w:rPr>
      <w:tblPr/>
      <w:tcPr>
        <w:tcBorders>
          <w:top w:val="double" w:sz="2" w:space="0" w:color="9CC2E5"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customStyle="1" w:styleId="TableauGrille3-Accentuation61">
    <w:name w:val="Tableau Grille 3 - Accentuation 61"/>
    <w:basedOn w:val="TableauNormal"/>
    <w:uiPriority w:val="48"/>
    <w:qFormat/>
    <w:tblPr>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bottom w:val="single" w:sz="4" w:space="0" w:color="A8D08D" w:themeColor="accent6" w:themeTint="99"/>
        </w:tcBorders>
      </w:tcPr>
    </w:tblStylePr>
    <w:tblStylePr w:type="nwCell">
      <w:tblPr/>
      <w:tcPr>
        <w:tcBorders>
          <w:bottom w:val="single" w:sz="4" w:space="0" w:color="A8D08D" w:themeColor="accent6" w:themeTint="99"/>
        </w:tcBorders>
      </w:tcPr>
    </w:tblStylePr>
    <w:tblStylePr w:type="seCell">
      <w:tblPr/>
      <w:tcPr>
        <w:tcBorders>
          <w:top w:val="single" w:sz="4" w:space="0" w:color="A8D08D" w:themeColor="accent6" w:themeTint="99"/>
        </w:tcBorders>
      </w:tcPr>
    </w:tblStylePr>
    <w:tblStylePr w:type="swCell">
      <w:tblPr/>
      <w:tcPr>
        <w:tcBorders>
          <w:top w:val="single" w:sz="4" w:space="0" w:color="A8D08D" w:themeColor="accent6" w:themeTint="99"/>
        </w:tcBorders>
      </w:tcPr>
    </w:tblStylePr>
  </w:style>
  <w:style w:type="table" w:customStyle="1" w:styleId="TableauGrille4-Accentuation31">
    <w:name w:val="Tableau Grille 4 - Accentuation 31"/>
    <w:basedOn w:val="TableauNormal"/>
    <w:uiPriority w:val="49"/>
    <w:qFormat/>
    <w:tblPr>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TableauGrille4-Accentuation11">
    <w:name w:val="Tableau Grille 4 - Accentuation 11"/>
    <w:basedOn w:val="TableauNormal"/>
    <w:uiPriority w:val="49"/>
    <w:qFormat/>
    <w:tblPr>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customStyle="1" w:styleId="TableauGrille6Couleur-Accentuation31">
    <w:name w:val="Tableau Grille 6 Couleur - Accentuation 31"/>
    <w:basedOn w:val="TableauNormal"/>
    <w:uiPriority w:val="51"/>
    <w:qFormat/>
    <w:rPr>
      <w:color w:val="7B7B7B" w:themeColor="accent3" w:themeShade="BF"/>
    </w:rPr>
    <w:tblPr>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TableauGrille5Fonc-Accentuation51">
    <w:name w:val="Tableau Grille 5 Foncé - Accentuation 51"/>
    <w:basedOn w:val="TableauNormal"/>
    <w:uiPriority w:val="50"/>
    <w:qFormat/>
    <w:tblP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5"/>
      </w:tcPr>
    </w:tblStylePr>
    <w:tblStylePr w:type="band1Vert">
      <w:tblPr/>
      <w:tcPr>
        <w:shd w:val="clear" w:color="auto" w:fill="BDD6EE" w:themeFill="accent5" w:themeFillTint="66"/>
      </w:tcPr>
    </w:tblStylePr>
    <w:tblStylePr w:type="band1Horz">
      <w:tblPr/>
      <w:tcPr>
        <w:shd w:val="clear" w:color="auto" w:fill="BDD6EE" w:themeFill="accent5" w:themeFillTint="66"/>
      </w:tcPr>
    </w:tblStylePr>
  </w:style>
  <w:style w:type="table" w:customStyle="1" w:styleId="TableauGrille1Clair-Accentuation31">
    <w:name w:val="Tableau Grille 1 Clair - Accentuation 31"/>
    <w:basedOn w:val="TableauNormal"/>
    <w:uiPriority w:val="46"/>
    <w:qFormat/>
    <w:tblPr>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table" w:customStyle="1" w:styleId="TableGrid10">
    <w:name w:val="Table Grid10"/>
    <w:basedOn w:val="TableauNormal"/>
    <w:uiPriority w:val="39"/>
    <w:qFormat/>
    <w:rPr>
      <w:kern w:val="2"/>
      <w:sz w:val="22"/>
      <w:szCs w:val="22"/>
      <w:lang w:val="en-US"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ausimple12">
    <w:name w:val="Tableau simple 12"/>
    <w:basedOn w:val="TableauNormal"/>
    <w:uiPriority w:val="41"/>
    <w:qFormat/>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Textedelespacerserv">
    <w:name w:val="Placeholder Text"/>
    <w:basedOn w:val="Policepardfaut"/>
    <w:uiPriority w:val="99"/>
    <w:unhideWhenUsed/>
    <w:qFormat/>
    <w:rPr>
      <w:color w:val="666666"/>
    </w:rPr>
  </w:style>
  <w:style w:type="table" w:customStyle="1" w:styleId="TableauNormal1">
    <w:name w:val="Tableau Normal1"/>
    <w:semiHidden/>
    <w:qFormat/>
    <w:rPr>
      <w:rFonts w:ascii="Times New Roman" w:eastAsia="Times New Roman" w:hAnsi="Times New Roman" w:cs="Times New Roman"/>
    </w:rPr>
    <w:tblPr>
      <w:tblCellMar>
        <w:top w:w="0" w:type="dxa"/>
        <w:left w:w="0" w:type="dxa"/>
        <w:bottom w:w="0" w:type="dxa"/>
        <w:right w:w="0" w:type="dxa"/>
      </w:tblCellMar>
    </w:tblPr>
  </w:style>
  <w:style w:type="character" w:customStyle="1" w:styleId="Mentionnonrsolue2">
    <w:name w:val="Mention non résolue2"/>
    <w:basedOn w:val="Policepardfaut"/>
    <w:uiPriority w:val="99"/>
    <w:semiHidden/>
    <w:unhideWhenUsed/>
    <w:rPr>
      <w:color w:val="605E5C"/>
      <w:shd w:val="clear" w:color="auto" w:fill="E1DFDD"/>
    </w:rPr>
  </w:style>
  <w:style w:type="character" w:customStyle="1" w:styleId="Mentionnonrsolue3">
    <w:name w:val="Mention non résolue3"/>
    <w:basedOn w:val="Policepardfaut"/>
    <w:uiPriority w:val="99"/>
    <w:semiHidden/>
    <w:unhideWhenUsed/>
    <w:rPr>
      <w:color w:val="605E5C"/>
      <w:shd w:val="clear" w:color="auto" w:fill="E1DFDD"/>
    </w:rPr>
  </w:style>
  <w:style w:type="character" w:styleId="Mentionnonrsolue">
    <w:name w:val="Unresolved Mention"/>
    <w:basedOn w:val="Policepardfaut"/>
    <w:uiPriority w:val="99"/>
    <w:semiHidden/>
    <w:unhideWhenUsed/>
    <w:rsid w:val="008668F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117" Type="http://schemas.openxmlformats.org/officeDocument/2006/relationships/hyperlink" Target="https://doi.org/10.1080/10942912.2020.1825482" TargetMode="External"/><Relationship Id="rId21" Type="http://schemas.openxmlformats.org/officeDocument/2006/relationships/image" Target="media/image8.png"/><Relationship Id="rId42" Type="http://schemas.openxmlformats.org/officeDocument/2006/relationships/image" Target="media/image20.png"/><Relationship Id="rId63" Type="http://schemas.openxmlformats.org/officeDocument/2006/relationships/header" Target="header7.xml"/><Relationship Id="rId84" Type="http://schemas.openxmlformats.org/officeDocument/2006/relationships/hyperlink" Target="https://doi.org/10.15835/nbha46110996" TargetMode="External"/><Relationship Id="rId16" Type="http://schemas.openxmlformats.org/officeDocument/2006/relationships/footer" Target="footer3.xml"/><Relationship Id="rId107" Type="http://schemas.openxmlformats.org/officeDocument/2006/relationships/hyperlink" Target="https://doi.org/10.59665/rar4054" TargetMode="External"/><Relationship Id="rId11" Type="http://schemas.microsoft.com/office/2007/relationships/hdphoto" Target="media/hdphoto1.wdp"/><Relationship Id="rId32" Type="http://schemas.openxmlformats.org/officeDocument/2006/relationships/image" Target="media/image15.png"/><Relationship Id="rId37" Type="http://schemas.openxmlformats.org/officeDocument/2006/relationships/footer" Target="footer6.xml"/><Relationship Id="rId53" Type="http://schemas.openxmlformats.org/officeDocument/2006/relationships/chart" Target="charts/chart5.xml"/><Relationship Id="rId58" Type="http://schemas.openxmlformats.org/officeDocument/2006/relationships/image" Target="media/image30.png"/><Relationship Id="rId74" Type="http://schemas.openxmlformats.org/officeDocument/2006/relationships/hyperlink" Target="https://www.researchgate.net/publication/324647752" TargetMode="External"/><Relationship Id="rId79" Type="http://schemas.openxmlformats.org/officeDocument/2006/relationships/hyperlink" Target="https://doi.org/10.1111/jfbc.13463" TargetMode="External"/><Relationship Id="rId102" Type="http://schemas.openxmlformats.org/officeDocument/2006/relationships/hyperlink" Target="https://doi.org/10.1007/978-981-16-1197-1_5" TargetMode="External"/><Relationship Id="rId123" Type="http://schemas.openxmlformats.org/officeDocument/2006/relationships/header" Target="header11.xml"/><Relationship Id="rId128" Type="http://schemas.openxmlformats.org/officeDocument/2006/relationships/image" Target="media/image35.png"/><Relationship Id="rId5" Type="http://schemas.openxmlformats.org/officeDocument/2006/relationships/settings" Target="settings.xml"/><Relationship Id="rId90" Type="http://schemas.openxmlformats.org/officeDocument/2006/relationships/hyperlink" Target="https://doi.org/10.1016/S1001-0742(08)62548-6" TargetMode="External"/><Relationship Id="rId95" Type="http://schemas.openxmlformats.org/officeDocument/2006/relationships/hyperlink" Target="https://doi.org/10.18869/acadpub.nfsr.3.1.5" TargetMode="External"/><Relationship Id="rId22" Type="http://schemas.openxmlformats.org/officeDocument/2006/relationships/image" Target="media/image9.png"/><Relationship Id="rId27" Type="http://schemas.openxmlformats.org/officeDocument/2006/relationships/footer" Target="footer5.xml"/><Relationship Id="rId43" Type="http://schemas.openxmlformats.org/officeDocument/2006/relationships/image" Target="media/image21.png"/><Relationship Id="rId48" Type="http://schemas.openxmlformats.org/officeDocument/2006/relationships/image" Target="media/image26.png"/><Relationship Id="rId64" Type="http://schemas.openxmlformats.org/officeDocument/2006/relationships/footer" Target="footer8.xml"/><Relationship Id="rId69" Type="http://schemas.openxmlformats.org/officeDocument/2006/relationships/header" Target="header10.xml"/><Relationship Id="rId113" Type="http://schemas.openxmlformats.org/officeDocument/2006/relationships/hyperlink" Target="https://www.researchgate.net/publication/232715847" TargetMode="External"/><Relationship Id="rId118" Type="http://schemas.openxmlformats.org/officeDocument/2006/relationships/hyperlink" Target="https://doi.org/10.51248/.v43i02.2545" TargetMode="External"/><Relationship Id="rId80" Type="http://schemas.openxmlformats.org/officeDocument/2006/relationships/hyperlink" Target="https://www.researchgate.net/publication/327362452" TargetMode="External"/><Relationship Id="rId85" Type="http://schemas.openxmlformats.org/officeDocument/2006/relationships/hyperlink" Target="https://doi.org/10.1007/s13197-020-04380-y" TargetMode="External"/><Relationship Id="rId12" Type="http://schemas.openxmlformats.org/officeDocument/2006/relationships/footer" Target="footer1.xml"/><Relationship Id="rId17" Type="http://schemas.openxmlformats.org/officeDocument/2006/relationships/image" Target="media/image4.png"/><Relationship Id="rId33" Type="http://schemas.openxmlformats.org/officeDocument/2006/relationships/image" Target="media/image16.png"/><Relationship Id="rId38" Type="http://schemas.openxmlformats.org/officeDocument/2006/relationships/header" Target="header6.xml"/><Relationship Id="rId59" Type="http://schemas.openxmlformats.org/officeDocument/2006/relationships/chart" Target="charts/chart8.xml"/><Relationship Id="rId103" Type="http://schemas.openxmlformats.org/officeDocument/2006/relationships/hyperlink" Target="https://ejmm.journals.ekb.eg/article_304790.html" TargetMode="External"/><Relationship Id="rId108" Type="http://schemas.openxmlformats.org/officeDocument/2006/relationships/hyperlink" Target="https://doi.org/10.3923/rjmp.2011.695.705" TargetMode="External"/><Relationship Id="rId124" Type="http://schemas.openxmlformats.org/officeDocument/2006/relationships/footer" Target="footer12.xml"/><Relationship Id="rId129" Type="http://schemas.openxmlformats.org/officeDocument/2006/relationships/image" Target="media/image36.png"/><Relationship Id="rId54" Type="http://schemas.openxmlformats.org/officeDocument/2006/relationships/chart" Target="charts/chart6.xml"/><Relationship Id="rId70" Type="http://schemas.openxmlformats.org/officeDocument/2006/relationships/footer" Target="footer11.xml"/><Relationship Id="rId75" Type="http://schemas.openxmlformats.org/officeDocument/2006/relationships/hyperlink" Target="https://doi.org/10.1111/1750-3841.16970" TargetMode="External"/><Relationship Id="rId91" Type="http://schemas.openxmlformats.org/officeDocument/2006/relationships/hyperlink" Target="http://www.globalresearchonline.net" TargetMode="External"/><Relationship Id="rId96" Type="http://schemas.openxmlformats.org/officeDocument/2006/relationships/hyperlink" Target="https://doi.org/10.1007/978-981-16-1197-1_18" TargetMode="External"/><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image" Target="media/image10.png"/><Relationship Id="rId28" Type="http://schemas.openxmlformats.org/officeDocument/2006/relationships/image" Target="media/image11.png"/><Relationship Id="rId49" Type="http://schemas.openxmlformats.org/officeDocument/2006/relationships/image" Target="media/image27.png"/><Relationship Id="rId114" Type="http://schemas.openxmlformats.org/officeDocument/2006/relationships/hyperlink" Target="https://doi.org/10.55544/jrasb.3.5.8" TargetMode="External"/><Relationship Id="rId119" Type="http://schemas.openxmlformats.org/officeDocument/2006/relationships/hyperlink" Target="https://doi.org/10.31254/phyto.2024.13203" TargetMode="External"/><Relationship Id="rId44" Type="http://schemas.openxmlformats.org/officeDocument/2006/relationships/image" Target="media/image22.png"/><Relationship Id="rId60" Type="http://schemas.openxmlformats.org/officeDocument/2006/relationships/image" Target="media/image31.png"/><Relationship Id="rId65" Type="http://schemas.openxmlformats.org/officeDocument/2006/relationships/header" Target="header8.xml"/><Relationship Id="rId81" Type="http://schemas.openxmlformats.org/officeDocument/2006/relationships/hyperlink" Target="https://doi.org/10.1177/2156587215583405" TargetMode="External"/><Relationship Id="rId86" Type="http://schemas.openxmlformats.org/officeDocument/2006/relationships/hyperlink" Target="https://doi.org/10.5281/zenodo.11521023" TargetMode="External"/><Relationship Id="rId130" Type="http://schemas.openxmlformats.org/officeDocument/2006/relationships/header" Target="header13.xml"/><Relationship Id="rId13" Type="http://schemas.openxmlformats.org/officeDocument/2006/relationships/header" Target="header1.xml"/><Relationship Id="rId18" Type="http://schemas.openxmlformats.org/officeDocument/2006/relationships/image" Target="media/image5.png"/><Relationship Id="rId39" Type="http://schemas.openxmlformats.org/officeDocument/2006/relationships/footer" Target="footer7.xml"/><Relationship Id="rId109" Type="http://schemas.openxmlformats.org/officeDocument/2006/relationships/hyperlink" Target="http://www.herbmedpharmacol.com" TargetMode="External"/><Relationship Id="rId34" Type="http://schemas.openxmlformats.org/officeDocument/2006/relationships/image" Target="media/image17.png"/><Relationship Id="rId50" Type="http://schemas.openxmlformats.org/officeDocument/2006/relationships/chart" Target="charts/chart2.xml"/><Relationship Id="rId55" Type="http://schemas.openxmlformats.org/officeDocument/2006/relationships/chart" Target="charts/chart7.xml"/><Relationship Id="rId76" Type="http://schemas.openxmlformats.org/officeDocument/2006/relationships/hyperlink" Target="https://www.researchgate.net/publication/366669866" TargetMode="External"/><Relationship Id="rId97" Type="http://schemas.openxmlformats.org/officeDocument/2006/relationships/hyperlink" Target="https://www.researchgate.net/publication/357241330" TargetMode="External"/><Relationship Id="rId104" Type="http://schemas.openxmlformats.org/officeDocument/2006/relationships/hyperlink" Target="https://www.researchgate.net/publication/358285835" TargetMode="External"/><Relationship Id="rId120" Type="http://schemas.openxmlformats.org/officeDocument/2006/relationships/hyperlink" Target="https://doi.org/10.51470" TargetMode="External"/><Relationship Id="rId125" Type="http://schemas.openxmlformats.org/officeDocument/2006/relationships/header" Target="header12.xml"/><Relationship Id="rId7" Type="http://schemas.openxmlformats.org/officeDocument/2006/relationships/footnotes" Target="footnotes.xml"/><Relationship Id="rId71" Type="http://schemas.openxmlformats.org/officeDocument/2006/relationships/hyperlink" Target="https://doi.org/10.1007/978-3-319-77776-4_12" TargetMode="External"/><Relationship Id="rId92" Type="http://schemas.openxmlformats.org/officeDocument/2006/relationships/hyperlink" Target="https://doi.org/10.30574/ijsra.2024.13.1.1679" TargetMode="External"/><Relationship Id="rId2" Type="http://schemas.openxmlformats.org/officeDocument/2006/relationships/customXml" Target="../customXml/item2.xml"/><Relationship Id="rId29" Type="http://schemas.openxmlformats.org/officeDocument/2006/relationships/image" Target="media/image12.png"/><Relationship Id="rId24" Type="http://schemas.openxmlformats.org/officeDocument/2006/relationships/header" Target="header3.xml"/><Relationship Id="rId40" Type="http://schemas.openxmlformats.org/officeDocument/2006/relationships/chart" Target="charts/chart1.xml"/><Relationship Id="rId45" Type="http://schemas.openxmlformats.org/officeDocument/2006/relationships/image" Target="media/image23.png"/><Relationship Id="rId66" Type="http://schemas.openxmlformats.org/officeDocument/2006/relationships/footer" Target="footer9.xml"/><Relationship Id="rId87" Type="http://schemas.openxmlformats.org/officeDocument/2006/relationships/hyperlink" Target="https://www.researchgate.net/publication/324648029" TargetMode="External"/><Relationship Id="rId110" Type="http://schemas.openxmlformats.org/officeDocument/2006/relationships/hyperlink" Target="http://dx.doi.org/10.14715/cmb/2018.64.9.9" TargetMode="External"/><Relationship Id="rId115" Type="http://schemas.openxmlformats.org/officeDocument/2006/relationships/hyperlink" Target="https://doi.org/10.7759/cureus.47659" TargetMode="External"/><Relationship Id="rId131" Type="http://schemas.openxmlformats.org/officeDocument/2006/relationships/footer" Target="footer14.xml"/><Relationship Id="rId61" Type="http://schemas.openxmlformats.org/officeDocument/2006/relationships/image" Target="media/image32.png"/><Relationship Id="rId82" Type="http://schemas.openxmlformats.org/officeDocument/2006/relationships/hyperlink" Target="https://doi.org/10.18805/LR-511" TargetMode="External"/><Relationship Id="rId19" Type="http://schemas.openxmlformats.org/officeDocument/2006/relationships/image" Target="media/image6.png"/><Relationship Id="rId14" Type="http://schemas.openxmlformats.org/officeDocument/2006/relationships/footer" Target="footer2.xml"/><Relationship Id="rId30" Type="http://schemas.openxmlformats.org/officeDocument/2006/relationships/image" Target="media/image13.png"/><Relationship Id="rId35" Type="http://schemas.openxmlformats.org/officeDocument/2006/relationships/image" Target="media/image18.png"/><Relationship Id="rId56" Type="http://schemas.openxmlformats.org/officeDocument/2006/relationships/image" Target="media/image28.png"/><Relationship Id="rId77" Type="http://schemas.openxmlformats.org/officeDocument/2006/relationships/hyperlink" Target="https://doi.org/10.5281/zenodo.11114968" TargetMode="External"/><Relationship Id="rId100" Type="http://schemas.openxmlformats.org/officeDocument/2006/relationships/hyperlink" Target="http://gssrr.org/index.php?journal=JournalOfBasicAndApplied" TargetMode="External"/><Relationship Id="rId105" Type="http://schemas.openxmlformats.org/officeDocument/2006/relationships/hyperlink" Target="https://doi.org/10.2478/ans-2019-0020" TargetMode="External"/><Relationship Id="rId126" Type="http://schemas.openxmlformats.org/officeDocument/2006/relationships/footer" Target="footer13.xml"/><Relationship Id="rId8" Type="http://schemas.openxmlformats.org/officeDocument/2006/relationships/endnotes" Target="endnotes.xml"/><Relationship Id="rId51" Type="http://schemas.openxmlformats.org/officeDocument/2006/relationships/chart" Target="charts/chart3.xml"/><Relationship Id="rId72" Type="http://schemas.openxmlformats.org/officeDocument/2006/relationships/hyperlink" Target="https://doi.org/10.1016/j.sjbs.2015.09.015" TargetMode="External"/><Relationship Id="rId93" Type="http://schemas.openxmlformats.org/officeDocument/2006/relationships/hyperlink" Target="https://doi.org/10.1007/978-3-030-27165-7" TargetMode="External"/><Relationship Id="rId98" Type="http://schemas.openxmlformats.org/officeDocument/2006/relationships/hyperlink" Target="https://doi.org/10.55544/jrasb.2.1.37" TargetMode="External"/><Relationship Id="rId121" Type="http://schemas.openxmlformats.org/officeDocument/2006/relationships/hyperlink" Target="https://doi.org/10.1016/j.foodchem.2005.08.034" TargetMode="External"/><Relationship Id="rId3" Type="http://schemas.openxmlformats.org/officeDocument/2006/relationships/numbering" Target="numbering.xml"/><Relationship Id="rId25" Type="http://schemas.openxmlformats.org/officeDocument/2006/relationships/footer" Target="footer4.xml"/><Relationship Id="rId46" Type="http://schemas.openxmlformats.org/officeDocument/2006/relationships/image" Target="media/image24.png"/><Relationship Id="rId67" Type="http://schemas.openxmlformats.org/officeDocument/2006/relationships/header" Target="header9.xml"/><Relationship Id="rId116" Type="http://schemas.openxmlformats.org/officeDocument/2006/relationships/hyperlink" Target="https://doi.org/10.1016/j.lwt.2024.116011" TargetMode="External"/><Relationship Id="rId20" Type="http://schemas.openxmlformats.org/officeDocument/2006/relationships/image" Target="media/image7.png"/><Relationship Id="rId41" Type="http://schemas.openxmlformats.org/officeDocument/2006/relationships/image" Target="media/image19.png"/><Relationship Id="rId62" Type="http://schemas.openxmlformats.org/officeDocument/2006/relationships/image" Target="media/image33.png"/><Relationship Id="rId83" Type="http://schemas.openxmlformats.org/officeDocument/2006/relationships/hyperlink" Target="https://doi.org/10.15413/ajmr.2016.0117" TargetMode="External"/><Relationship Id="rId88" Type="http://schemas.openxmlformats.org/officeDocument/2006/relationships/hyperlink" Target="https://doi.org/10.52866/esj.2022.02.19.13" TargetMode="External"/><Relationship Id="rId111" Type="http://schemas.openxmlformats.org/officeDocument/2006/relationships/hyperlink" Target="https://doi.org/10.1016/j.sajb.2022.04.014" TargetMode="External"/><Relationship Id="rId132" Type="http://schemas.openxmlformats.org/officeDocument/2006/relationships/fontTable" Target="fontTable.xml"/><Relationship Id="rId15" Type="http://schemas.openxmlformats.org/officeDocument/2006/relationships/header" Target="header2.xml"/><Relationship Id="rId36" Type="http://schemas.openxmlformats.org/officeDocument/2006/relationships/header" Target="header5.xml"/><Relationship Id="rId57" Type="http://schemas.openxmlformats.org/officeDocument/2006/relationships/image" Target="media/image29.png"/><Relationship Id="rId106" Type="http://schemas.openxmlformats.org/officeDocument/2006/relationships/hyperlink" Target="https://doi.org/10.1007/978-981-16-1197-1_9" TargetMode="External"/><Relationship Id="rId127" Type="http://schemas.openxmlformats.org/officeDocument/2006/relationships/image" Target="media/image34.png"/><Relationship Id="rId10" Type="http://schemas.openxmlformats.org/officeDocument/2006/relationships/image" Target="media/image3.png"/><Relationship Id="rId31" Type="http://schemas.openxmlformats.org/officeDocument/2006/relationships/image" Target="media/image14.png"/><Relationship Id="rId52" Type="http://schemas.openxmlformats.org/officeDocument/2006/relationships/chart" Target="charts/chart4.xml"/><Relationship Id="rId73" Type="http://schemas.openxmlformats.org/officeDocument/2006/relationships/hyperlink" Target="http://www.ijppr.com/" TargetMode="External"/><Relationship Id="rId78" Type="http://schemas.openxmlformats.org/officeDocument/2006/relationships/hyperlink" Target="https://doi.org/10.1016/B978-0-323-90794-1.00009-6" TargetMode="External"/><Relationship Id="rId94" Type="http://schemas.openxmlformats.org/officeDocument/2006/relationships/hyperlink" Target="https://www.jetir.org/view?paper=JETIR1908B40" TargetMode="External"/><Relationship Id="rId99" Type="http://schemas.openxmlformats.org/officeDocument/2006/relationships/hyperlink" Target="https://doi.org/10.3390/d14010007" TargetMode="External"/><Relationship Id="rId101" Type="http://schemas.openxmlformats.org/officeDocument/2006/relationships/hyperlink" Target="https://www.researchgate.net/publication/355091101_Historical_Background_Origin_Distribution_and_Economic_Importance_of_Fenugreek" TargetMode="External"/><Relationship Id="rId122" Type="http://schemas.openxmlformats.org/officeDocument/2006/relationships/hyperlink" Target="https://doi.org/10.5772/66506" TargetMode="External"/><Relationship Id="rId4" Type="http://schemas.openxmlformats.org/officeDocument/2006/relationships/styles" Target="styles.xml"/><Relationship Id="rId9" Type="http://schemas.openxmlformats.org/officeDocument/2006/relationships/image" Target="media/image2.png"/><Relationship Id="rId26" Type="http://schemas.openxmlformats.org/officeDocument/2006/relationships/header" Target="header4.xml"/><Relationship Id="rId47" Type="http://schemas.openxmlformats.org/officeDocument/2006/relationships/image" Target="media/image25.png"/><Relationship Id="rId68" Type="http://schemas.openxmlformats.org/officeDocument/2006/relationships/footer" Target="footer10.xml"/><Relationship Id="rId89" Type="http://schemas.openxmlformats.org/officeDocument/2006/relationships/hyperlink" Target="https://doi.org/10.14303/irjps.2023.27" TargetMode="External"/><Relationship Id="rId112" Type="http://schemas.openxmlformats.org/officeDocument/2006/relationships/hyperlink" Target="https://doi.org/10.1016/B978-0-08-102659-5.00020-3" TargetMode="External"/><Relationship Id="rId133"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chartUserShapes" Target="../drawings/drawing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chartUserShapes" Target="../drawings/drawing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chartUserShapes" Target="../drawings/drawing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chartUserShapes" Target="../drawings/drawing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8.xml"/><Relationship Id="rId1" Type="http://schemas.microsoft.com/office/2011/relationships/chartStyle" Target="style8.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Pt>
            <c:idx val="1"/>
            <c:invertIfNegative val="0"/>
            <c:bubble3D val="0"/>
            <c:spPr>
              <a:solidFill>
                <a:srgbClr val="C00000"/>
              </a:solidFill>
              <a:ln>
                <a:noFill/>
              </a:ln>
              <a:effectLst/>
            </c:spPr>
            <c:extLst>
              <c:ext xmlns:c16="http://schemas.microsoft.com/office/drawing/2014/chart" uri="{C3380CC4-5D6E-409C-BE32-E72D297353CC}">
                <c16:uniqueId val="{00000001-DC3C-409A-9C6D-C3C2ADEA34DF}"/>
              </c:ext>
            </c:extLst>
          </c:dPt>
          <c:errBars>
            <c:errBarType val="both"/>
            <c:errValType val="cust"/>
            <c:noEndCap val="0"/>
            <c:plus>
              <c:numRef>
                <c:f>fenugrec!$F$74:$G$74</c:f>
                <c:numCache>
                  <c:formatCode>General</c:formatCode>
                  <c:ptCount val="2"/>
                  <c:pt idx="0">
                    <c:v>0.12615000000000001</c:v>
                  </c:pt>
                  <c:pt idx="1">
                    <c:v>2.88666666666667E-2</c:v>
                  </c:pt>
                </c:numCache>
              </c:numRef>
            </c:plus>
            <c:minus>
              <c:numRef>
                <c:f>fenugrec!$F$74:$G$74</c:f>
                <c:numCache>
                  <c:formatCode>General</c:formatCode>
                  <c:ptCount val="2"/>
                  <c:pt idx="0">
                    <c:v>0.12615000000000001</c:v>
                  </c:pt>
                  <c:pt idx="1">
                    <c:v>2.88666666666667E-2</c:v>
                  </c:pt>
                </c:numCache>
              </c:numRef>
            </c:minus>
            <c:spPr>
              <a:noFill/>
              <a:ln w="19050" cap="flat" cmpd="sng" algn="ctr">
                <a:solidFill>
                  <a:schemeClr val="tx1">
                    <a:lumMod val="65000"/>
                    <a:lumOff val="35000"/>
                  </a:schemeClr>
                </a:solidFill>
                <a:round/>
              </a:ln>
              <a:effectLst/>
            </c:spPr>
          </c:errBars>
          <c:cat>
            <c:strRef>
              <c:f>fenugrec!$F$85:$G$85</c:f>
              <c:strCache>
                <c:ptCount val="2"/>
                <c:pt idx="0">
                  <c:v>Extrait aqueux</c:v>
                </c:pt>
                <c:pt idx="1">
                  <c:v>Extrait éthanolique </c:v>
                </c:pt>
              </c:strCache>
            </c:strRef>
          </c:cat>
          <c:val>
            <c:numRef>
              <c:f>fenugrec!$F$86:$G$86</c:f>
              <c:numCache>
                <c:formatCode>General</c:formatCode>
                <c:ptCount val="2"/>
                <c:pt idx="0">
                  <c:v>3.4433333333333098</c:v>
                </c:pt>
                <c:pt idx="1">
                  <c:v>11.734166666666701</c:v>
                </c:pt>
              </c:numCache>
            </c:numRef>
          </c:val>
          <c:extLst>
            <c:ext xmlns:c16="http://schemas.microsoft.com/office/drawing/2014/chart" uri="{C3380CC4-5D6E-409C-BE32-E72D297353CC}">
              <c16:uniqueId val="{00000002-DC3C-409A-9C6D-C3C2ADEA34DF}"/>
            </c:ext>
          </c:extLst>
        </c:ser>
        <c:dLbls>
          <c:showLegendKey val="0"/>
          <c:showVal val="0"/>
          <c:showCatName val="0"/>
          <c:showSerName val="0"/>
          <c:showPercent val="0"/>
          <c:showBubbleSize val="0"/>
        </c:dLbls>
        <c:gapWidth val="449"/>
        <c:axId val="1106174224"/>
        <c:axId val="1106176624"/>
      </c:barChart>
      <c:catAx>
        <c:axId val="11061742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fr-FR" sz="1100" b="1" i="0" u="none" strike="noStrike" kern="1200" baseline="0">
                <a:solidFill>
                  <a:sysClr val="windowText" lastClr="000000"/>
                </a:solidFill>
                <a:latin typeface="Times New Roman" panose="02020603050405020304" charset="0"/>
                <a:ea typeface="+mn-ea"/>
                <a:cs typeface="Times New Roman" panose="02020603050405020304" charset="0"/>
              </a:defRPr>
            </a:pPr>
            <a:endParaRPr lang="fr-FR"/>
          </a:p>
        </c:txPr>
        <c:crossAx val="1106176624"/>
        <c:crosses val="autoZero"/>
        <c:auto val="1"/>
        <c:lblAlgn val="ctr"/>
        <c:lblOffset val="100"/>
        <c:noMultiLvlLbl val="0"/>
      </c:catAx>
      <c:valAx>
        <c:axId val="1106176624"/>
        <c:scaling>
          <c:orientation val="minMax"/>
          <c:max val="20"/>
        </c:scaling>
        <c:delete val="0"/>
        <c:axPos val="l"/>
        <c:title>
          <c:tx>
            <c:rich>
              <a:bodyPr rot="-5400000" spcFirstLastPara="1" vertOverflow="ellipsis" vert="horz" wrap="square" anchor="ctr" anchorCtr="1"/>
              <a:lstStyle/>
              <a:p>
                <a:pPr>
                  <a:defRPr lang="fr-FR" sz="1100" b="1" i="0" u="none" strike="noStrike" kern="1200" baseline="0">
                    <a:solidFill>
                      <a:sysClr val="windowText" lastClr="000000"/>
                    </a:solidFill>
                    <a:latin typeface="Times New Roman" panose="02020603050405020304" charset="0"/>
                    <a:ea typeface="+mn-ea"/>
                    <a:cs typeface="Times New Roman" panose="02020603050405020304" charset="0"/>
                  </a:defRPr>
                </a:pPr>
                <a:r>
                  <a:rPr lang="fr-FR" sz="1100" b="1">
                    <a:solidFill>
                      <a:sysClr val="windowText" lastClr="000000"/>
                    </a:solidFill>
                    <a:latin typeface="Times New Roman" panose="02020603050405020304" charset="0"/>
                    <a:cs typeface="Times New Roman" panose="02020603050405020304" charset="0"/>
                  </a:rPr>
                  <a:t>Rendement (%)</a:t>
                </a:r>
              </a:p>
            </c:rich>
          </c:tx>
          <c:overlay val="0"/>
          <c:spPr>
            <a:noFill/>
            <a:ln>
              <a:noFill/>
            </a:ln>
            <a:effectLst/>
          </c:spPr>
          <c:txPr>
            <a:bodyPr rot="-5400000" spcFirstLastPara="1" vertOverflow="ellipsis" vert="horz" wrap="square" anchor="ctr" anchorCtr="1"/>
            <a:lstStyle/>
            <a:p>
              <a:pPr>
                <a:defRPr lang="fr-FR" sz="1100" b="1" i="0" u="none" strike="noStrike" kern="1200" baseline="0">
                  <a:solidFill>
                    <a:sysClr val="windowText" lastClr="000000"/>
                  </a:solidFill>
                  <a:latin typeface="Times New Roman" panose="02020603050405020304" charset="0"/>
                  <a:ea typeface="+mn-ea"/>
                  <a:cs typeface="Times New Roman" panose="02020603050405020304" charset="0"/>
                </a:defRPr>
              </a:pPr>
              <a:endParaRPr lang="fr-FR"/>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lang="fr-FR" sz="1000" b="1" i="0" u="none" strike="noStrike" kern="1200" baseline="0">
                <a:solidFill>
                  <a:sysClr val="windowText" lastClr="000000"/>
                </a:solidFill>
                <a:latin typeface="Times New Roman" panose="02020603050405020304" charset="0"/>
                <a:ea typeface="+mn-ea"/>
                <a:cs typeface="Times New Roman" panose="02020603050405020304" charset="0"/>
              </a:defRPr>
            </a:pPr>
            <a:endParaRPr lang="fr-FR"/>
          </a:p>
        </c:txPr>
        <c:crossAx val="1106174224"/>
        <c:crosses val="autoZero"/>
        <c:crossBetween val="between"/>
      </c:valAx>
      <c:spPr>
        <a:noFill/>
        <a:ln>
          <a:noFill/>
        </a:ln>
        <a:effectLst/>
      </c:spPr>
    </c:plotArea>
    <c:plotVisOnly val="1"/>
    <c:dispBlanksAs val="gap"/>
    <c:showDLblsOverMax val="0"/>
    <c:extLst>
      <c:ext uri="{0b15fc19-7d7d-44ad-8c2d-2c3a37ce22c3}">
        <chartProps xmlns="https://web.wps.cn/et/2018/main" chartId="{ef0bd7c1-7b15-482d-9925-e5dd33e62478}"/>
      </c:ext>
    </c:extLst>
  </c:chart>
  <c:spPr>
    <a:solidFill>
      <a:schemeClr val="bg1"/>
    </a:solidFill>
    <a:ln w="9525" cap="flat" cmpd="sng" algn="ctr">
      <a:solidFill>
        <a:schemeClr val="tx1">
          <a:lumMod val="15000"/>
          <a:lumOff val="85000"/>
        </a:schemeClr>
      </a:solidFill>
      <a:round/>
    </a:ln>
    <a:effectLst/>
  </c:spPr>
  <c:txPr>
    <a:bodyPr/>
    <a:lstStyle/>
    <a:p>
      <a:pPr>
        <a:defRPr lang="fr-FR"/>
      </a:pPr>
      <a:endParaRPr lang="fr-FR"/>
    </a:p>
  </c:txPr>
  <c:externalData r:id="rId3">
    <c:autoUpdate val="0"/>
  </c:externalData>
  <c:userShapes r:id="rId4"/>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Pt>
            <c:idx val="1"/>
            <c:invertIfNegative val="0"/>
            <c:bubble3D val="0"/>
            <c:spPr>
              <a:solidFill>
                <a:srgbClr val="C00000"/>
              </a:solidFill>
              <a:ln>
                <a:noFill/>
              </a:ln>
              <a:effectLst/>
            </c:spPr>
            <c:extLst>
              <c:ext xmlns:c16="http://schemas.microsoft.com/office/drawing/2014/chart" uri="{C3380CC4-5D6E-409C-BE32-E72D297353CC}">
                <c16:uniqueId val="{00000001-946D-44E6-A175-CFB7127F0B2D}"/>
              </c:ext>
            </c:extLst>
          </c:dPt>
          <c:errBars>
            <c:errBarType val="both"/>
            <c:errValType val="cust"/>
            <c:noEndCap val="0"/>
            <c:plus>
              <c:numRef>
                <c:f>Feuil2!$M$19:$N$19</c:f>
                <c:numCache>
                  <c:formatCode>General</c:formatCode>
                  <c:ptCount val="2"/>
                  <c:pt idx="0">
                    <c:v>1.6400262174373299</c:v>
                  </c:pt>
                  <c:pt idx="1">
                    <c:v>1.6680467658759499</c:v>
                  </c:pt>
                </c:numCache>
              </c:numRef>
            </c:plus>
            <c:minus>
              <c:numRef>
                <c:f>Feuil2!$M$19:$N$19</c:f>
                <c:numCache>
                  <c:formatCode>General</c:formatCode>
                  <c:ptCount val="2"/>
                  <c:pt idx="0">
                    <c:v>1.6400262174373299</c:v>
                  </c:pt>
                  <c:pt idx="1">
                    <c:v>1.6680467658759499</c:v>
                  </c:pt>
                </c:numCache>
              </c:numRef>
            </c:minus>
            <c:spPr>
              <a:noFill/>
              <a:ln w="19050" cap="flat" cmpd="sng" algn="ctr">
                <a:solidFill>
                  <a:schemeClr val="tx1">
                    <a:lumMod val="65000"/>
                    <a:lumOff val="35000"/>
                  </a:schemeClr>
                </a:solidFill>
                <a:round/>
              </a:ln>
              <a:effectLst/>
            </c:spPr>
          </c:errBars>
          <c:cat>
            <c:strRef>
              <c:f>Feuil2!$M$8:$N$8</c:f>
              <c:strCache>
                <c:ptCount val="2"/>
                <c:pt idx="0">
                  <c:v>Extrait aqueux </c:v>
                </c:pt>
                <c:pt idx="1">
                  <c:v>extrait éthanolique</c:v>
                </c:pt>
              </c:strCache>
            </c:strRef>
          </c:cat>
          <c:val>
            <c:numRef>
              <c:f>Feuil2!$M$11:$N$11</c:f>
              <c:numCache>
                <c:formatCode>General</c:formatCode>
                <c:ptCount val="2"/>
                <c:pt idx="0">
                  <c:v>196.9</c:v>
                </c:pt>
                <c:pt idx="1">
                  <c:v>180.67</c:v>
                </c:pt>
              </c:numCache>
            </c:numRef>
          </c:val>
          <c:extLst>
            <c:ext xmlns:c16="http://schemas.microsoft.com/office/drawing/2014/chart" uri="{C3380CC4-5D6E-409C-BE32-E72D297353CC}">
              <c16:uniqueId val="{00000002-946D-44E6-A175-CFB7127F0B2D}"/>
            </c:ext>
          </c:extLst>
        </c:ser>
        <c:dLbls>
          <c:showLegendKey val="0"/>
          <c:showVal val="0"/>
          <c:showCatName val="0"/>
          <c:showSerName val="0"/>
          <c:showPercent val="0"/>
          <c:showBubbleSize val="0"/>
        </c:dLbls>
        <c:gapWidth val="457"/>
        <c:axId val="1128422639"/>
        <c:axId val="1128423599"/>
      </c:barChart>
      <c:catAx>
        <c:axId val="112842263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fr-FR" sz="1100" b="1" i="0" u="none" strike="noStrike" kern="1200" baseline="0">
                <a:solidFill>
                  <a:sysClr val="windowText" lastClr="000000"/>
                </a:solidFill>
                <a:latin typeface="Times New Roman" panose="02020603050405020304" charset="0"/>
                <a:ea typeface="+mn-ea"/>
                <a:cs typeface="Times New Roman" panose="02020603050405020304" charset="0"/>
              </a:defRPr>
            </a:pPr>
            <a:endParaRPr lang="fr-FR"/>
          </a:p>
        </c:txPr>
        <c:crossAx val="1128423599"/>
        <c:crosses val="autoZero"/>
        <c:auto val="1"/>
        <c:lblAlgn val="ctr"/>
        <c:lblOffset val="100"/>
        <c:noMultiLvlLbl val="0"/>
      </c:catAx>
      <c:valAx>
        <c:axId val="1128423599"/>
        <c:scaling>
          <c:orientation val="minMax"/>
          <c:max val="200"/>
        </c:scaling>
        <c:delete val="0"/>
        <c:axPos val="l"/>
        <c:title>
          <c:tx>
            <c:rich>
              <a:bodyPr rot="-5400000" spcFirstLastPara="1" vertOverflow="ellipsis" vert="horz" wrap="square" anchor="ctr" anchorCtr="1"/>
              <a:lstStyle/>
              <a:p>
                <a:pPr>
                  <a:defRPr lang="fr-FR" sz="1100" b="1" i="0" u="none" strike="noStrike" kern="1200" baseline="0">
                    <a:solidFill>
                      <a:sysClr val="windowText" lastClr="000000"/>
                    </a:solidFill>
                    <a:latin typeface="Times New Roman" panose="02020603050405020304" charset="0"/>
                    <a:ea typeface="+mn-ea"/>
                    <a:cs typeface="Times New Roman" panose="02020603050405020304" charset="0"/>
                  </a:defRPr>
                </a:pPr>
                <a:r>
                  <a:rPr lang="fr-FR" sz="1100" b="1">
                    <a:solidFill>
                      <a:sysClr val="windowText" lastClr="000000"/>
                    </a:solidFill>
                    <a:latin typeface="Times New Roman" panose="02020603050405020304" charset="0"/>
                    <a:cs typeface="Times New Roman" panose="02020603050405020304" charset="0"/>
                  </a:rPr>
                  <a:t>Teneur en polyphénols totaux (mgAG/g)</a:t>
                </a:r>
              </a:p>
            </c:rich>
          </c:tx>
          <c:layout>
            <c:manualLayout>
              <c:xMode val="edge"/>
              <c:yMode val="edge"/>
              <c:x val="2.2222222222222199E-2"/>
              <c:y val="0.101426108347335"/>
            </c:manualLayout>
          </c:layout>
          <c:overlay val="0"/>
          <c:spPr>
            <a:noFill/>
            <a:ln>
              <a:noFill/>
            </a:ln>
            <a:effectLst/>
          </c:spPr>
          <c:txPr>
            <a:bodyPr rot="-5400000" spcFirstLastPara="1" vertOverflow="ellipsis" vert="horz" wrap="square" anchor="ctr" anchorCtr="1"/>
            <a:lstStyle/>
            <a:p>
              <a:pPr>
                <a:defRPr lang="fr-FR" sz="1100" b="1" i="0" u="none" strike="noStrike" kern="1200" baseline="0">
                  <a:solidFill>
                    <a:sysClr val="windowText" lastClr="000000"/>
                  </a:solidFill>
                  <a:latin typeface="Times New Roman" panose="02020603050405020304" charset="0"/>
                  <a:ea typeface="+mn-ea"/>
                  <a:cs typeface="Times New Roman" panose="02020603050405020304" charset="0"/>
                </a:defRPr>
              </a:pPr>
              <a:endParaRPr lang="fr-FR"/>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lang="fr-FR" sz="900" b="0" i="0" u="none" strike="noStrike" kern="1200" baseline="0">
                <a:solidFill>
                  <a:schemeClr val="tx1">
                    <a:lumMod val="65000"/>
                    <a:lumOff val="35000"/>
                  </a:schemeClr>
                </a:solidFill>
                <a:latin typeface="Times New Roman" panose="02020603050405020304" charset="0"/>
                <a:ea typeface="+mn-ea"/>
                <a:cs typeface="Times New Roman" panose="02020603050405020304" charset="0"/>
              </a:defRPr>
            </a:pPr>
            <a:endParaRPr lang="fr-FR"/>
          </a:p>
        </c:txPr>
        <c:crossAx val="1128422639"/>
        <c:crosses val="autoZero"/>
        <c:crossBetween val="between"/>
      </c:valAx>
      <c:spPr>
        <a:noFill/>
        <a:ln>
          <a:noFill/>
        </a:ln>
        <a:effectLst/>
      </c:spPr>
    </c:plotArea>
    <c:plotVisOnly val="1"/>
    <c:dispBlanksAs val="gap"/>
    <c:showDLblsOverMax val="0"/>
    <c:extLst>
      <c:ext uri="{0b15fc19-7d7d-44ad-8c2d-2c3a37ce22c3}">
        <chartProps xmlns="https://web.wps.cn/et/2018/main" chartId="{12b0465f-79bb-4d7a-b1c3-9c3d62df633e}"/>
      </c:ext>
    </c:extLst>
  </c:chart>
  <c:spPr>
    <a:solidFill>
      <a:schemeClr val="bg1"/>
    </a:solidFill>
    <a:ln w="9525" cap="flat" cmpd="sng" algn="ctr">
      <a:solidFill>
        <a:schemeClr val="tx1">
          <a:lumMod val="15000"/>
          <a:lumOff val="85000"/>
        </a:schemeClr>
      </a:solidFill>
      <a:round/>
    </a:ln>
    <a:effectLst/>
  </c:spPr>
  <c:txPr>
    <a:bodyPr/>
    <a:lstStyle/>
    <a:p>
      <a:pPr>
        <a:defRPr lang="fr-FR"/>
      </a:pPr>
      <a:endParaRPr lang="fr-FR"/>
    </a:p>
  </c:txPr>
  <c:externalData r:id="rId3">
    <c:autoUpdate val="0"/>
  </c:externalData>
  <c:userShapes r:id="rId4"/>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Pt>
            <c:idx val="1"/>
            <c:invertIfNegative val="0"/>
            <c:bubble3D val="0"/>
            <c:spPr>
              <a:solidFill>
                <a:srgbClr val="C00000"/>
              </a:solidFill>
              <a:ln>
                <a:noFill/>
              </a:ln>
              <a:effectLst/>
            </c:spPr>
            <c:extLst>
              <c:ext xmlns:c16="http://schemas.microsoft.com/office/drawing/2014/chart" uri="{C3380CC4-5D6E-409C-BE32-E72D297353CC}">
                <c16:uniqueId val="{00000001-4BCF-4522-A89E-23534106910C}"/>
              </c:ext>
            </c:extLst>
          </c:dPt>
          <c:errBars>
            <c:errBarType val="both"/>
            <c:errValType val="cust"/>
            <c:noEndCap val="0"/>
            <c:plus>
              <c:numRef>
                <c:f>Feuil2!$M$26:$N$26</c:f>
                <c:numCache>
                  <c:formatCode>General</c:formatCode>
                  <c:ptCount val="2"/>
                  <c:pt idx="0">
                    <c:v>1.1687715391513001</c:v>
                  </c:pt>
                  <c:pt idx="1">
                    <c:v>0.51425947722656495</c:v>
                  </c:pt>
                </c:numCache>
              </c:numRef>
            </c:plus>
            <c:minus>
              <c:numRef>
                <c:f>Feuil2!$M$26:$N$26</c:f>
                <c:numCache>
                  <c:formatCode>General</c:formatCode>
                  <c:ptCount val="2"/>
                  <c:pt idx="0">
                    <c:v>1.1687715391513001</c:v>
                  </c:pt>
                  <c:pt idx="1">
                    <c:v>0.51425947722656495</c:v>
                  </c:pt>
                </c:numCache>
              </c:numRef>
            </c:minus>
            <c:spPr>
              <a:noFill/>
              <a:ln w="19050" cap="flat" cmpd="sng" algn="ctr">
                <a:solidFill>
                  <a:schemeClr val="tx1">
                    <a:lumMod val="65000"/>
                    <a:lumOff val="35000"/>
                  </a:schemeClr>
                </a:solidFill>
                <a:round/>
              </a:ln>
              <a:effectLst/>
            </c:spPr>
          </c:errBars>
          <c:cat>
            <c:strRef>
              <c:f>Feuil2!$M$15:$N$15</c:f>
              <c:strCache>
                <c:ptCount val="2"/>
                <c:pt idx="0">
                  <c:v>Extrait aqueux </c:v>
                </c:pt>
                <c:pt idx="1">
                  <c:v>extrait éthanolique</c:v>
                </c:pt>
              </c:strCache>
            </c:strRef>
          </c:cat>
          <c:val>
            <c:numRef>
              <c:f>Feuil2!$M$18:$N$18</c:f>
              <c:numCache>
                <c:formatCode>General</c:formatCode>
                <c:ptCount val="2"/>
                <c:pt idx="0">
                  <c:v>32.72</c:v>
                </c:pt>
                <c:pt idx="1">
                  <c:v>23.445</c:v>
                </c:pt>
              </c:numCache>
            </c:numRef>
          </c:val>
          <c:extLst>
            <c:ext xmlns:c16="http://schemas.microsoft.com/office/drawing/2014/chart" uri="{C3380CC4-5D6E-409C-BE32-E72D297353CC}">
              <c16:uniqueId val="{00000002-4BCF-4522-A89E-23534106910C}"/>
            </c:ext>
          </c:extLst>
        </c:ser>
        <c:dLbls>
          <c:showLegendKey val="0"/>
          <c:showVal val="0"/>
          <c:showCatName val="0"/>
          <c:showSerName val="0"/>
          <c:showPercent val="0"/>
          <c:showBubbleSize val="0"/>
        </c:dLbls>
        <c:gapWidth val="484"/>
        <c:axId val="874802399"/>
        <c:axId val="945055663"/>
      </c:barChart>
      <c:catAx>
        <c:axId val="87480239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fr-FR" sz="1100" b="1" i="0" u="none" strike="noStrike" kern="1200" baseline="0">
                <a:solidFill>
                  <a:schemeClr val="tx1"/>
                </a:solidFill>
                <a:latin typeface="Times New Roman" panose="02020603050405020304" charset="0"/>
                <a:ea typeface="+mn-ea"/>
                <a:cs typeface="Times New Roman" panose="02020603050405020304" charset="0"/>
              </a:defRPr>
            </a:pPr>
            <a:endParaRPr lang="fr-FR"/>
          </a:p>
        </c:txPr>
        <c:crossAx val="945055663"/>
        <c:crosses val="autoZero"/>
        <c:auto val="1"/>
        <c:lblAlgn val="ctr"/>
        <c:lblOffset val="100"/>
        <c:noMultiLvlLbl val="0"/>
      </c:catAx>
      <c:valAx>
        <c:axId val="945055663"/>
        <c:scaling>
          <c:orientation val="minMax"/>
          <c:max val="50"/>
          <c:min val="0"/>
        </c:scaling>
        <c:delete val="0"/>
        <c:axPos val="l"/>
        <c:title>
          <c:tx>
            <c:rich>
              <a:bodyPr rot="-5400000" spcFirstLastPara="1" vertOverflow="ellipsis" vert="horz" wrap="square" anchor="ctr" anchorCtr="1"/>
              <a:lstStyle/>
              <a:p>
                <a:pPr>
                  <a:defRPr lang="fr-FR" sz="1100" b="1" i="0" u="none" strike="noStrike" kern="1200" baseline="0">
                    <a:solidFill>
                      <a:schemeClr val="tx1"/>
                    </a:solidFill>
                    <a:latin typeface="Times New Roman" panose="02020603050405020304" charset="0"/>
                    <a:ea typeface="+mn-ea"/>
                    <a:cs typeface="Times New Roman" panose="02020603050405020304" charset="0"/>
                  </a:defRPr>
                </a:pPr>
                <a:r>
                  <a:rPr lang="fr-FR" sz="1100" b="1">
                    <a:solidFill>
                      <a:schemeClr val="tx1"/>
                    </a:solidFill>
                    <a:latin typeface="Times New Roman" panose="02020603050405020304" charset="0"/>
                    <a:cs typeface="Times New Roman" panose="02020603050405020304" charset="0"/>
                  </a:rPr>
                  <a:t>Taux</a:t>
                </a:r>
                <a:r>
                  <a:rPr lang="fr-FR" sz="1100" b="1" baseline="0">
                    <a:solidFill>
                      <a:schemeClr val="tx1"/>
                    </a:solidFill>
                    <a:latin typeface="Times New Roman" panose="02020603050405020304" charset="0"/>
                    <a:cs typeface="Times New Roman" panose="02020603050405020304" charset="0"/>
                  </a:rPr>
                  <a:t> des flavonoides (mgEQ/g)</a:t>
                </a:r>
                <a:endParaRPr lang="fr-FR" sz="1100" b="1">
                  <a:solidFill>
                    <a:schemeClr val="tx1"/>
                  </a:solidFill>
                  <a:latin typeface="Times New Roman" panose="02020603050405020304" charset="0"/>
                  <a:cs typeface="Times New Roman" panose="02020603050405020304" charset="0"/>
                </a:endParaRPr>
              </a:p>
            </c:rich>
          </c:tx>
          <c:layout>
            <c:manualLayout>
              <c:xMode val="edge"/>
              <c:yMode val="edge"/>
              <c:x val="1.6666666666666701E-2"/>
              <c:y val="0.15116870807815699"/>
            </c:manualLayout>
          </c:layout>
          <c:overlay val="0"/>
          <c:spPr>
            <a:noFill/>
            <a:ln>
              <a:noFill/>
            </a:ln>
            <a:effectLst/>
          </c:spPr>
          <c:txPr>
            <a:bodyPr rot="-5400000" spcFirstLastPara="1" vertOverflow="ellipsis" vert="horz" wrap="square" anchor="ctr" anchorCtr="1"/>
            <a:lstStyle/>
            <a:p>
              <a:pPr>
                <a:defRPr lang="fr-FR" sz="1100" b="1" i="0" u="none" strike="noStrike" kern="1200" baseline="0">
                  <a:solidFill>
                    <a:schemeClr val="tx1"/>
                  </a:solidFill>
                  <a:latin typeface="Times New Roman" panose="02020603050405020304" charset="0"/>
                  <a:ea typeface="+mn-ea"/>
                  <a:cs typeface="Times New Roman" panose="02020603050405020304" charset="0"/>
                </a:defRPr>
              </a:pPr>
              <a:endParaRPr lang="fr-FR"/>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lang="fr-FR" sz="900" b="1" i="0" u="none" strike="noStrike" kern="1200" baseline="0">
                <a:solidFill>
                  <a:schemeClr val="tx1">
                    <a:lumMod val="65000"/>
                    <a:lumOff val="35000"/>
                  </a:schemeClr>
                </a:solidFill>
                <a:latin typeface="Times New Roman" panose="02020603050405020304" charset="0"/>
                <a:ea typeface="+mn-ea"/>
                <a:cs typeface="Times New Roman" panose="02020603050405020304" charset="0"/>
              </a:defRPr>
            </a:pPr>
            <a:endParaRPr lang="fr-FR"/>
          </a:p>
        </c:txPr>
        <c:crossAx val="874802399"/>
        <c:crosses val="autoZero"/>
        <c:crossBetween val="between"/>
      </c:valAx>
      <c:spPr>
        <a:noFill/>
        <a:ln>
          <a:noFill/>
        </a:ln>
        <a:effectLst/>
      </c:spPr>
    </c:plotArea>
    <c:plotVisOnly val="1"/>
    <c:dispBlanksAs val="gap"/>
    <c:showDLblsOverMax val="0"/>
    <c:extLst>
      <c:ext uri="{0b15fc19-7d7d-44ad-8c2d-2c3a37ce22c3}">
        <chartProps xmlns="https://web.wps.cn/et/2018/main" chartId="{2d62e5cd-c9d0-4c8c-8135-8eff59b78546}"/>
      </c:ext>
    </c:extLst>
  </c:chart>
  <c:spPr>
    <a:solidFill>
      <a:schemeClr val="bg1"/>
    </a:solidFill>
    <a:ln w="9525" cap="flat" cmpd="sng" algn="ctr">
      <a:solidFill>
        <a:schemeClr val="tx1">
          <a:lumMod val="15000"/>
          <a:lumOff val="85000"/>
        </a:schemeClr>
      </a:solidFill>
      <a:round/>
    </a:ln>
    <a:effectLst/>
  </c:spPr>
  <c:txPr>
    <a:bodyPr/>
    <a:lstStyle/>
    <a:p>
      <a:pPr>
        <a:defRPr lang="fr-FR"/>
      </a:pPr>
      <a:endParaRPr lang="fr-FR"/>
    </a:p>
  </c:txPr>
  <c:externalData r:id="rId3">
    <c:autoUpdate val="0"/>
  </c:externalData>
  <c:userShapes r:id="rId4"/>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Pt>
            <c:idx val="1"/>
            <c:invertIfNegative val="0"/>
            <c:bubble3D val="0"/>
            <c:spPr>
              <a:solidFill>
                <a:srgbClr val="C00000"/>
              </a:solidFill>
              <a:ln>
                <a:noFill/>
              </a:ln>
              <a:effectLst/>
            </c:spPr>
            <c:extLst>
              <c:ext xmlns:c16="http://schemas.microsoft.com/office/drawing/2014/chart" uri="{C3380CC4-5D6E-409C-BE32-E72D297353CC}">
                <c16:uniqueId val="{00000001-C8D2-48FD-8485-453E216D3596}"/>
              </c:ext>
            </c:extLst>
          </c:dPt>
          <c:errBars>
            <c:errBarType val="both"/>
            <c:errValType val="cust"/>
            <c:noEndCap val="0"/>
            <c:plus>
              <c:numRef>
                <c:f>Feuil2!$M$26:$N$26</c:f>
                <c:numCache>
                  <c:formatCode>General</c:formatCode>
                  <c:ptCount val="2"/>
                  <c:pt idx="0">
                    <c:v>9.1923881554251699E-2</c:v>
                  </c:pt>
                  <c:pt idx="1">
                    <c:v>6.3639610306789204E-2</c:v>
                  </c:pt>
                </c:numCache>
              </c:numRef>
            </c:plus>
            <c:minus>
              <c:numRef>
                <c:f>Feuil2!$M$26:$N$26</c:f>
                <c:numCache>
                  <c:formatCode>General</c:formatCode>
                  <c:ptCount val="2"/>
                  <c:pt idx="0">
                    <c:v>9.1923881554251699E-2</c:v>
                  </c:pt>
                  <c:pt idx="1">
                    <c:v>6.3639610306789204E-2</c:v>
                  </c:pt>
                </c:numCache>
              </c:numRef>
            </c:minus>
            <c:spPr>
              <a:noFill/>
              <a:ln w="19050" cap="flat" cmpd="sng" algn="ctr">
                <a:solidFill>
                  <a:schemeClr val="tx1">
                    <a:lumMod val="65000"/>
                    <a:lumOff val="35000"/>
                  </a:schemeClr>
                </a:solidFill>
                <a:round/>
              </a:ln>
              <a:effectLst/>
            </c:spPr>
          </c:errBars>
          <c:cat>
            <c:strRef>
              <c:f>Feuil2!$M$22:$N$22</c:f>
              <c:strCache>
                <c:ptCount val="2"/>
                <c:pt idx="0">
                  <c:v>Extrait aqueux </c:v>
                </c:pt>
                <c:pt idx="1">
                  <c:v>extrait éthanolique</c:v>
                </c:pt>
              </c:strCache>
            </c:strRef>
          </c:cat>
          <c:val>
            <c:numRef>
              <c:f>Feuil2!$M$25:$N$25</c:f>
              <c:numCache>
                <c:formatCode>General</c:formatCode>
                <c:ptCount val="2"/>
                <c:pt idx="0">
                  <c:v>10.345000000000001</c:v>
                </c:pt>
                <c:pt idx="1">
                  <c:v>16.305</c:v>
                </c:pt>
              </c:numCache>
            </c:numRef>
          </c:val>
          <c:extLst>
            <c:ext xmlns:c16="http://schemas.microsoft.com/office/drawing/2014/chart" uri="{C3380CC4-5D6E-409C-BE32-E72D297353CC}">
              <c16:uniqueId val="{00000002-C8D2-48FD-8485-453E216D3596}"/>
            </c:ext>
          </c:extLst>
        </c:ser>
        <c:dLbls>
          <c:showLegendKey val="0"/>
          <c:showVal val="0"/>
          <c:showCatName val="0"/>
          <c:showSerName val="0"/>
          <c:showPercent val="0"/>
          <c:showBubbleSize val="0"/>
        </c:dLbls>
        <c:gapWidth val="500"/>
        <c:axId val="944956975"/>
        <c:axId val="944958415"/>
      </c:barChart>
      <c:catAx>
        <c:axId val="94495697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fr-FR" sz="1000" b="1" i="0" u="none" strike="noStrike" kern="1200" baseline="0">
                <a:solidFill>
                  <a:sysClr val="windowText" lastClr="000000"/>
                </a:solidFill>
                <a:latin typeface="Times New Roman" panose="02020603050405020304" charset="0"/>
                <a:ea typeface="+mn-ea"/>
                <a:cs typeface="Times New Roman" panose="02020603050405020304" charset="0"/>
              </a:defRPr>
            </a:pPr>
            <a:endParaRPr lang="fr-FR"/>
          </a:p>
        </c:txPr>
        <c:crossAx val="944958415"/>
        <c:crosses val="autoZero"/>
        <c:auto val="1"/>
        <c:lblAlgn val="ctr"/>
        <c:lblOffset val="100"/>
        <c:noMultiLvlLbl val="0"/>
      </c:catAx>
      <c:valAx>
        <c:axId val="944958415"/>
        <c:scaling>
          <c:orientation val="minMax"/>
          <c:max val="20"/>
        </c:scaling>
        <c:delete val="0"/>
        <c:axPos val="l"/>
        <c:title>
          <c:tx>
            <c:rich>
              <a:bodyPr rot="-5400000" spcFirstLastPara="1" vertOverflow="ellipsis" vert="horz" wrap="square" anchor="ctr" anchorCtr="1"/>
              <a:lstStyle/>
              <a:p>
                <a:pPr>
                  <a:defRPr lang="fr-FR" sz="1000" b="1" i="0" u="none" strike="noStrike" kern="1200" baseline="0">
                    <a:solidFill>
                      <a:sysClr val="windowText" lastClr="000000"/>
                    </a:solidFill>
                    <a:latin typeface="Times New Roman" panose="02020603050405020304" charset="0"/>
                    <a:ea typeface="+mn-ea"/>
                    <a:cs typeface="Times New Roman" panose="02020603050405020304" charset="0"/>
                  </a:defRPr>
                </a:pPr>
                <a:r>
                  <a:rPr lang="fr-FR" b="1">
                    <a:solidFill>
                      <a:sysClr val="windowText" lastClr="000000"/>
                    </a:solidFill>
                    <a:latin typeface="Times New Roman" panose="02020603050405020304" charset="0"/>
                    <a:cs typeface="Times New Roman" panose="02020603050405020304" charset="0"/>
                  </a:rPr>
                  <a:t>Taux des tanins (mg EC/g)</a:t>
                </a:r>
              </a:p>
            </c:rich>
          </c:tx>
          <c:overlay val="0"/>
          <c:spPr>
            <a:noFill/>
            <a:ln>
              <a:noFill/>
            </a:ln>
            <a:effectLst/>
          </c:spPr>
          <c:txPr>
            <a:bodyPr rot="-5400000" spcFirstLastPara="1" vertOverflow="ellipsis" vert="horz" wrap="square" anchor="ctr" anchorCtr="1"/>
            <a:lstStyle/>
            <a:p>
              <a:pPr>
                <a:defRPr lang="fr-FR" sz="1000" b="1" i="0" u="none" strike="noStrike" kern="1200" baseline="0">
                  <a:solidFill>
                    <a:sysClr val="windowText" lastClr="000000"/>
                  </a:solidFill>
                  <a:latin typeface="Times New Roman" panose="02020603050405020304" charset="0"/>
                  <a:ea typeface="+mn-ea"/>
                  <a:cs typeface="Times New Roman" panose="02020603050405020304" charset="0"/>
                </a:defRPr>
              </a:pPr>
              <a:endParaRPr lang="fr-FR"/>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lang="fr-FR" sz="900" b="1" i="0" u="none" strike="noStrike" kern="1200" baseline="0">
                <a:solidFill>
                  <a:schemeClr val="tx1">
                    <a:lumMod val="65000"/>
                    <a:lumOff val="35000"/>
                  </a:schemeClr>
                </a:solidFill>
                <a:latin typeface="Times New Roman" panose="02020603050405020304" charset="0"/>
                <a:ea typeface="+mn-ea"/>
                <a:cs typeface="Times New Roman" panose="02020603050405020304" charset="0"/>
              </a:defRPr>
            </a:pPr>
            <a:endParaRPr lang="fr-FR"/>
          </a:p>
        </c:txPr>
        <c:crossAx val="944956975"/>
        <c:crosses val="autoZero"/>
        <c:crossBetween val="between"/>
        <c:majorUnit val="5"/>
      </c:valAx>
      <c:spPr>
        <a:noFill/>
        <a:ln>
          <a:noFill/>
        </a:ln>
        <a:effectLst/>
      </c:spPr>
    </c:plotArea>
    <c:plotVisOnly val="1"/>
    <c:dispBlanksAs val="gap"/>
    <c:showDLblsOverMax val="0"/>
    <c:extLst>
      <c:ext uri="{0b15fc19-7d7d-44ad-8c2d-2c3a37ce22c3}">
        <chartProps xmlns="https://web.wps.cn/et/2018/main" chartId="{ce7001ff-b0b8-4030-a9a1-41203e2fa740}"/>
      </c:ext>
    </c:extLst>
  </c:chart>
  <c:spPr>
    <a:solidFill>
      <a:schemeClr val="bg1"/>
    </a:solidFill>
    <a:ln w="9525" cap="flat" cmpd="sng" algn="ctr">
      <a:solidFill>
        <a:schemeClr val="tx1">
          <a:lumMod val="15000"/>
          <a:lumOff val="85000"/>
        </a:schemeClr>
      </a:solidFill>
      <a:round/>
    </a:ln>
    <a:effectLst/>
  </c:spPr>
  <c:txPr>
    <a:bodyPr/>
    <a:lstStyle/>
    <a:p>
      <a:pPr>
        <a:defRPr lang="fr-FR"/>
      </a:pPr>
      <a:endParaRPr lang="fr-FR"/>
    </a:p>
  </c:txPr>
  <c:externalData r:id="rId3">
    <c:autoUpdate val="0"/>
  </c:externalData>
  <c:userShapes r:id="rId4"/>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strRef>
              <c:f>fenugrec!$E$6</c:f>
              <c:strCache>
                <c:ptCount val="1"/>
                <c:pt idx="0">
                  <c:v>extrait aqueux</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fenugrec!$D$7:$D$12</c:f>
              <c:numCache>
                <c:formatCode>General</c:formatCode>
                <c:ptCount val="6"/>
                <c:pt idx="0">
                  <c:v>10</c:v>
                </c:pt>
                <c:pt idx="1">
                  <c:v>20</c:v>
                </c:pt>
                <c:pt idx="2">
                  <c:v>40</c:v>
                </c:pt>
                <c:pt idx="3">
                  <c:v>60</c:v>
                </c:pt>
                <c:pt idx="4">
                  <c:v>80</c:v>
                </c:pt>
                <c:pt idx="5">
                  <c:v>100</c:v>
                </c:pt>
              </c:numCache>
            </c:numRef>
          </c:xVal>
          <c:yVal>
            <c:numRef>
              <c:f>fenugrec!$E$7:$E$12</c:f>
              <c:numCache>
                <c:formatCode>General</c:formatCode>
                <c:ptCount val="6"/>
                <c:pt idx="0">
                  <c:v>18.510000000000002</c:v>
                </c:pt>
                <c:pt idx="1">
                  <c:v>38.51</c:v>
                </c:pt>
                <c:pt idx="2">
                  <c:v>70.92</c:v>
                </c:pt>
                <c:pt idx="3">
                  <c:v>81.66</c:v>
                </c:pt>
                <c:pt idx="4">
                  <c:v>88.88</c:v>
                </c:pt>
                <c:pt idx="5">
                  <c:v>92.037000000000006</c:v>
                </c:pt>
              </c:numCache>
            </c:numRef>
          </c:yVal>
          <c:smooth val="0"/>
          <c:extLst>
            <c:ext xmlns:c16="http://schemas.microsoft.com/office/drawing/2014/chart" uri="{C3380CC4-5D6E-409C-BE32-E72D297353CC}">
              <c16:uniqueId val="{00000000-6B78-4BDF-B3A6-61BF87618EC6}"/>
            </c:ext>
          </c:extLst>
        </c:ser>
        <c:ser>
          <c:idx val="1"/>
          <c:order val="1"/>
          <c:tx>
            <c:strRef>
              <c:f>fenugrec!$F$6</c:f>
              <c:strCache>
                <c:ptCount val="1"/>
                <c:pt idx="0">
                  <c:v>extrait ethanolique</c:v>
                </c:pt>
              </c:strCache>
            </c:strRef>
          </c:tx>
          <c:spPr>
            <a:ln w="19050" cap="rnd">
              <a:solidFill>
                <a:srgbClr val="C00000"/>
              </a:solidFill>
              <a:round/>
            </a:ln>
            <a:effectLst/>
          </c:spPr>
          <c:marker>
            <c:symbol val="circle"/>
            <c:size val="5"/>
            <c:spPr>
              <a:solidFill>
                <a:srgbClr val="C00000"/>
              </a:solidFill>
              <a:ln w="9525">
                <a:solidFill>
                  <a:srgbClr val="C00000"/>
                </a:solidFill>
              </a:ln>
              <a:effectLst/>
            </c:spPr>
          </c:marker>
          <c:xVal>
            <c:numRef>
              <c:f>fenugrec!$D$7:$D$12</c:f>
              <c:numCache>
                <c:formatCode>General</c:formatCode>
                <c:ptCount val="6"/>
                <c:pt idx="0">
                  <c:v>10</c:v>
                </c:pt>
                <c:pt idx="1">
                  <c:v>20</c:v>
                </c:pt>
                <c:pt idx="2">
                  <c:v>40</c:v>
                </c:pt>
                <c:pt idx="3">
                  <c:v>60</c:v>
                </c:pt>
                <c:pt idx="4">
                  <c:v>80</c:v>
                </c:pt>
                <c:pt idx="5">
                  <c:v>100</c:v>
                </c:pt>
              </c:numCache>
            </c:numRef>
          </c:xVal>
          <c:yVal>
            <c:numRef>
              <c:f>fenugrec!$F$7:$F$12</c:f>
              <c:numCache>
                <c:formatCode>General</c:formatCode>
                <c:ptCount val="6"/>
                <c:pt idx="0">
                  <c:v>20</c:v>
                </c:pt>
                <c:pt idx="1">
                  <c:v>40.74</c:v>
                </c:pt>
                <c:pt idx="2">
                  <c:v>73.510000000000005</c:v>
                </c:pt>
                <c:pt idx="3">
                  <c:v>84.07</c:v>
                </c:pt>
                <c:pt idx="4">
                  <c:v>92.22</c:v>
                </c:pt>
                <c:pt idx="5">
                  <c:v>93.33</c:v>
                </c:pt>
              </c:numCache>
            </c:numRef>
          </c:yVal>
          <c:smooth val="0"/>
          <c:extLst>
            <c:ext xmlns:c16="http://schemas.microsoft.com/office/drawing/2014/chart" uri="{C3380CC4-5D6E-409C-BE32-E72D297353CC}">
              <c16:uniqueId val="{00000001-6B78-4BDF-B3A6-61BF87618EC6}"/>
            </c:ext>
          </c:extLst>
        </c:ser>
        <c:ser>
          <c:idx val="2"/>
          <c:order val="2"/>
          <c:tx>
            <c:strRef>
              <c:f>fenugrec!$G$6</c:f>
              <c:strCache>
                <c:ptCount val="1"/>
                <c:pt idx="0">
                  <c:v>acide ascorbique </c:v>
                </c:pt>
              </c:strCache>
            </c:strRef>
          </c:tx>
          <c:spPr>
            <a:ln w="19050" cap="rnd">
              <a:solidFill>
                <a:sysClr val="windowText" lastClr="000000"/>
              </a:solidFill>
              <a:round/>
            </a:ln>
            <a:effectLst/>
          </c:spPr>
          <c:marker>
            <c:symbol val="circle"/>
            <c:size val="5"/>
            <c:spPr>
              <a:solidFill>
                <a:schemeClr val="tx1"/>
              </a:solidFill>
              <a:ln w="9525">
                <a:solidFill>
                  <a:sysClr val="windowText" lastClr="000000"/>
                </a:solidFill>
              </a:ln>
              <a:effectLst/>
            </c:spPr>
          </c:marker>
          <c:xVal>
            <c:numRef>
              <c:f>fenugrec!$D$7:$D$12</c:f>
              <c:numCache>
                <c:formatCode>General</c:formatCode>
                <c:ptCount val="6"/>
                <c:pt idx="0">
                  <c:v>10</c:v>
                </c:pt>
                <c:pt idx="1">
                  <c:v>20</c:v>
                </c:pt>
                <c:pt idx="2">
                  <c:v>40</c:v>
                </c:pt>
                <c:pt idx="3">
                  <c:v>60</c:v>
                </c:pt>
                <c:pt idx="4">
                  <c:v>80</c:v>
                </c:pt>
                <c:pt idx="5">
                  <c:v>100</c:v>
                </c:pt>
              </c:numCache>
            </c:numRef>
          </c:xVal>
          <c:yVal>
            <c:numRef>
              <c:f>fenugrec!$G$7:$G$12</c:f>
              <c:numCache>
                <c:formatCode>General</c:formatCode>
                <c:ptCount val="6"/>
                <c:pt idx="0">
                  <c:v>30.37</c:v>
                </c:pt>
                <c:pt idx="1">
                  <c:v>50</c:v>
                </c:pt>
                <c:pt idx="2">
                  <c:v>67.22</c:v>
                </c:pt>
                <c:pt idx="3">
                  <c:v>77.959999999999994</c:v>
                </c:pt>
                <c:pt idx="4">
                  <c:v>89.62</c:v>
                </c:pt>
                <c:pt idx="5">
                  <c:v>97.96</c:v>
                </c:pt>
              </c:numCache>
            </c:numRef>
          </c:yVal>
          <c:smooth val="0"/>
          <c:extLst>
            <c:ext xmlns:c16="http://schemas.microsoft.com/office/drawing/2014/chart" uri="{C3380CC4-5D6E-409C-BE32-E72D297353CC}">
              <c16:uniqueId val="{00000002-6B78-4BDF-B3A6-61BF87618EC6}"/>
            </c:ext>
          </c:extLst>
        </c:ser>
        <c:ser>
          <c:idx val="3"/>
          <c:order val="3"/>
          <c:tx>
            <c:strRef>
              <c:f>fenugrec!$H$6</c:f>
              <c:strCache>
                <c:ptCount val="1"/>
                <c:pt idx="0">
                  <c:v>BHT</c:v>
                </c:pt>
              </c:strCache>
            </c:strRef>
          </c:tx>
          <c:spPr>
            <a:ln w="19050" cap="rnd">
              <a:solidFill>
                <a:srgbClr val="00B050"/>
              </a:solidFill>
              <a:round/>
            </a:ln>
            <a:effectLst/>
          </c:spPr>
          <c:marker>
            <c:symbol val="circle"/>
            <c:size val="5"/>
            <c:spPr>
              <a:solidFill>
                <a:srgbClr val="00B050"/>
              </a:solidFill>
              <a:ln w="9525">
                <a:solidFill>
                  <a:srgbClr val="00B050"/>
                </a:solidFill>
              </a:ln>
              <a:effectLst/>
            </c:spPr>
          </c:marker>
          <c:xVal>
            <c:numRef>
              <c:f>fenugrec!$D$7:$D$12</c:f>
              <c:numCache>
                <c:formatCode>General</c:formatCode>
                <c:ptCount val="6"/>
                <c:pt idx="0">
                  <c:v>10</c:v>
                </c:pt>
                <c:pt idx="1">
                  <c:v>20</c:v>
                </c:pt>
                <c:pt idx="2">
                  <c:v>40</c:v>
                </c:pt>
                <c:pt idx="3">
                  <c:v>60</c:v>
                </c:pt>
                <c:pt idx="4">
                  <c:v>80</c:v>
                </c:pt>
                <c:pt idx="5">
                  <c:v>100</c:v>
                </c:pt>
              </c:numCache>
            </c:numRef>
          </c:xVal>
          <c:yVal>
            <c:numRef>
              <c:f>fenugrec!$H$7:$H$12</c:f>
              <c:numCache>
                <c:formatCode>General</c:formatCode>
                <c:ptCount val="6"/>
                <c:pt idx="0">
                  <c:v>15.74</c:v>
                </c:pt>
                <c:pt idx="1">
                  <c:v>40.74</c:v>
                </c:pt>
                <c:pt idx="2">
                  <c:v>68.510000000000005</c:v>
                </c:pt>
                <c:pt idx="3">
                  <c:v>88.51</c:v>
                </c:pt>
                <c:pt idx="4">
                  <c:v>95</c:v>
                </c:pt>
                <c:pt idx="5">
                  <c:v>96.48</c:v>
                </c:pt>
              </c:numCache>
            </c:numRef>
          </c:yVal>
          <c:smooth val="0"/>
          <c:extLst>
            <c:ext xmlns:c16="http://schemas.microsoft.com/office/drawing/2014/chart" uri="{C3380CC4-5D6E-409C-BE32-E72D297353CC}">
              <c16:uniqueId val="{00000003-6B78-4BDF-B3A6-61BF87618EC6}"/>
            </c:ext>
          </c:extLst>
        </c:ser>
        <c:dLbls>
          <c:showLegendKey val="0"/>
          <c:showVal val="0"/>
          <c:showCatName val="0"/>
          <c:showSerName val="0"/>
          <c:showPercent val="0"/>
          <c:showBubbleSize val="0"/>
        </c:dLbls>
        <c:axId val="446915487"/>
        <c:axId val="446919807"/>
      </c:scatterChart>
      <c:valAx>
        <c:axId val="446915487"/>
        <c:scaling>
          <c:orientation val="minMax"/>
        </c:scaling>
        <c:delete val="0"/>
        <c:axPos val="b"/>
        <c:title>
          <c:tx>
            <c:rich>
              <a:bodyPr rot="0" spcFirstLastPara="1" vertOverflow="ellipsis" vert="horz" wrap="square" anchor="ctr" anchorCtr="1"/>
              <a:lstStyle/>
              <a:p>
                <a:pPr>
                  <a:defRPr lang="fr-FR" sz="1000" b="1" i="0" u="none" strike="noStrike" kern="1200" baseline="0">
                    <a:solidFill>
                      <a:schemeClr val="tx1"/>
                    </a:solidFill>
                    <a:latin typeface="Times New Roman" panose="02020603050405020304" charset="0"/>
                    <a:ea typeface="+mn-ea"/>
                    <a:cs typeface="Times New Roman" panose="02020603050405020304" charset="0"/>
                  </a:defRPr>
                </a:pPr>
                <a:r>
                  <a:rPr lang="fr-FR" b="1">
                    <a:solidFill>
                      <a:schemeClr val="tx1"/>
                    </a:solidFill>
                    <a:latin typeface="Times New Roman" panose="02020603050405020304" charset="0"/>
                    <a:cs typeface="Times New Roman" panose="02020603050405020304" charset="0"/>
                  </a:rPr>
                  <a:t>Concentration (µg/ml)</a:t>
                </a:r>
              </a:p>
            </c:rich>
          </c:tx>
          <c:overlay val="0"/>
          <c:spPr>
            <a:noFill/>
            <a:ln>
              <a:noFill/>
            </a:ln>
            <a:effectLst/>
          </c:spPr>
          <c:txPr>
            <a:bodyPr rot="0" spcFirstLastPara="1" vertOverflow="ellipsis" vert="horz" wrap="square" anchor="ctr" anchorCtr="1"/>
            <a:lstStyle/>
            <a:p>
              <a:pPr>
                <a:defRPr lang="fr-FR" sz="1000" b="1" i="0" u="none" strike="noStrike" kern="1200" baseline="0">
                  <a:solidFill>
                    <a:schemeClr val="tx1"/>
                  </a:solidFill>
                  <a:latin typeface="Times New Roman" panose="02020603050405020304" charset="0"/>
                  <a:ea typeface="+mn-ea"/>
                  <a:cs typeface="Times New Roman" panose="02020603050405020304" charset="0"/>
                </a:defRPr>
              </a:pPr>
              <a:endParaRPr lang="fr-FR"/>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fr-FR" sz="900" b="0" i="0" u="none" strike="noStrike" kern="1200" baseline="0">
                <a:solidFill>
                  <a:schemeClr val="tx1">
                    <a:lumMod val="65000"/>
                    <a:lumOff val="35000"/>
                  </a:schemeClr>
                </a:solidFill>
                <a:latin typeface="Times New Roman" panose="02020603050405020304" charset="0"/>
                <a:ea typeface="+mn-ea"/>
                <a:cs typeface="Times New Roman" panose="02020603050405020304" charset="0"/>
              </a:defRPr>
            </a:pPr>
            <a:endParaRPr lang="fr-FR"/>
          </a:p>
        </c:txPr>
        <c:crossAx val="446919807"/>
        <c:crosses val="autoZero"/>
        <c:crossBetween val="midCat"/>
      </c:valAx>
      <c:valAx>
        <c:axId val="446919807"/>
        <c:scaling>
          <c:orientation val="minMax"/>
          <c:max val="100"/>
        </c:scaling>
        <c:delete val="0"/>
        <c:axPos val="l"/>
        <c:title>
          <c:tx>
            <c:rich>
              <a:bodyPr rot="-5400000" spcFirstLastPara="1" vertOverflow="ellipsis" vert="horz" wrap="square" anchor="ctr" anchorCtr="1"/>
              <a:lstStyle/>
              <a:p>
                <a:pPr>
                  <a:defRPr lang="fr-FR" sz="1000" b="1" i="0" u="none" strike="noStrike" kern="1200" baseline="0">
                    <a:solidFill>
                      <a:schemeClr val="tx1"/>
                    </a:solidFill>
                    <a:latin typeface="Times New Roman" panose="02020603050405020304" charset="0"/>
                    <a:ea typeface="+mn-ea"/>
                    <a:cs typeface="Times New Roman" panose="02020603050405020304" charset="0"/>
                  </a:defRPr>
                </a:pPr>
                <a:r>
                  <a:rPr lang="fr-FR" b="1">
                    <a:solidFill>
                      <a:schemeClr val="tx1"/>
                    </a:solidFill>
                    <a:latin typeface="Times New Roman" panose="02020603050405020304" charset="0"/>
                    <a:cs typeface="Times New Roman" panose="02020603050405020304" charset="0"/>
                  </a:rPr>
                  <a:t>Pourcentage d'inhibition (%)</a:t>
                </a:r>
              </a:p>
            </c:rich>
          </c:tx>
          <c:overlay val="0"/>
          <c:spPr>
            <a:noFill/>
            <a:ln>
              <a:noFill/>
            </a:ln>
            <a:effectLst/>
          </c:spPr>
          <c:txPr>
            <a:bodyPr rot="-5400000" spcFirstLastPara="1" vertOverflow="ellipsis" vert="horz" wrap="square" anchor="ctr" anchorCtr="1"/>
            <a:lstStyle/>
            <a:p>
              <a:pPr>
                <a:defRPr lang="fr-FR" sz="1000" b="1" i="0" u="none" strike="noStrike" kern="1200" baseline="0">
                  <a:solidFill>
                    <a:schemeClr val="tx1"/>
                  </a:solidFill>
                  <a:latin typeface="Times New Roman" panose="02020603050405020304" charset="0"/>
                  <a:ea typeface="+mn-ea"/>
                  <a:cs typeface="Times New Roman" panose="02020603050405020304" charset="0"/>
                </a:defRPr>
              </a:pPr>
              <a:endParaRPr lang="fr-FR"/>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fr-FR" sz="1000" b="0" i="0" u="none" strike="noStrike" kern="1200" baseline="0">
                <a:solidFill>
                  <a:schemeClr val="tx1">
                    <a:lumMod val="65000"/>
                    <a:lumOff val="35000"/>
                  </a:schemeClr>
                </a:solidFill>
                <a:latin typeface="Times New Roman" panose="02020603050405020304" charset="0"/>
                <a:ea typeface="+mn-ea"/>
                <a:cs typeface="Times New Roman" panose="02020603050405020304" charset="0"/>
              </a:defRPr>
            </a:pPr>
            <a:endParaRPr lang="fr-FR"/>
          </a:p>
        </c:txPr>
        <c:crossAx val="446915487"/>
        <c:crosses val="autoZero"/>
        <c:crossBetween val="midCat"/>
      </c:valAx>
      <c:spPr>
        <a:noFill/>
        <a:ln>
          <a:noFill/>
        </a:ln>
        <a:effectLst/>
      </c:spPr>
    </c:plotArea>
    <c:legend>
      <c:legendPos val="r"/>
      <c:layout>
        <c:manualLayout>
          <c:xMode val="edge"/>
          <c:yMode val="edge"/>
          <c:x val="0.65330424321959801"/>
          <c:y val="0.184417468649752"/>
          <c:w val="0.33002909011373599"/>
          <c:h val="0.33486876640419899"/>
        </c:manualLayout>
      </c:layout>
      <c:overlay val="0"/>
      <c:spPr>
        <a:noFill/>
        <a:ln>
          <a:noFill/>
        </a:ln>
        <a:effectLst/>
      </c:spPr>
      <c:txPr>
        <a:bodyPr rot="0" spcFirstLastPara="1" vertOverflow="ellipsis" vert="horz" wrap="square" anchor="ctr" anchorCtr="1"/>
        <a:lstStyle/>
        <a:p>
          <a:pPr>
            <a:defRPr lang="fr-FR" sz="1100" b="1" i="0" u="none" strike="noStrike" kern="1200" baseline="0">
              <a:solidFill>
                <a:schemeClr val="tx1"/>
              </a:solidFill>
              <a:latin typeface="Times New Roman" panose="02020603050405020304" charset="0"/>
              <a:ea typeface="+mn-ea"/>
              <a:cs typeface="Times New Roman" panose="02020603050405020304" charset="0"/>
            </a:defRPr>
          </a:pPr>
          <a:endParaRPr lang="fr-FR"/>
        </a:p>
      </c:txPr>
    </c:legend>
    <c:plotVisOnly val="1"/>
    <c:dispBlanksAs val="gap"/>
    <c:showDLblsOverMax val="0"/>
    <c:extLst>
      <c:ext uri="{0b15fc19-7d7d-44ad-8c2d-2c3a37ce22c3}">
        <chartProps xmlns="https://web.wps.cn/et/2018/main" chartId="{79038232-80dc-4077-ba22-5ba145ff03b3}"/>
      </c:ext>
    </c:extLst>
  </c:chart>
  <c:spPr>
    <a:solidFill>
      <a:schemeClr val="bg1"/>
    </a:solidFill>
    <a:ln w="9525" cap="flat" cmpd="sng" algn="ctr">
      <a:solidFill>
        <a:schemeClr val="tx1">
          <a:lumMod val="15000"/>
          <a:lumOff val="85000"/>
        </a:schemeClr>
      </a:solidFill>
      <a:round/>
    </a:ln>
    <a:effectLst/>
  </c:spPr>
  <c:txPr>
    <a:bodyPr/>
    <a:lstStyle/>
    <a:p>
      <a:pPr>
        <a:defRPr lang="fr-FR"/>
      </a:pPr>
      <a:endParaRPr lang="fr-FR"/>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069685039370099"/>
          <c:y val="5.0925925925925902E-2"/>
          <c:w val="0.53094203849518795"/>
          <c:h val="0.74788568095654695"/>
        </c:manualLayout>
      </c:layout>
      <c:scatterChart>
        <c:scatterStyle val="lineMarker"/>
        <c:varyColors val="0"/>
        <c:ser>
          <c:idx val="0"/>
          <c:order val="0"/>
          <c:tx>
            <c:strRef>
              <c:f>Feuil1!$L$4</c:f>
              <c:strCache>
                <c:ptCount val="1"/>
                <c:pt idx="0">
                  <c:v>Extrait éthanolique</c:v>
                </c:pt>
              </c:strCache>
            </c:strRef>
          </c:tx>
          <c:spPr>
            <a:ln w="28575" cap="rnd">
              <a:solidFill>
                <a:srgbClr val="C00000"/>
              </a:solidFill>
              <a:round/>
            </a:ln>
            <a:effectLst/>
          </c:spPr>
          <c:marker>
            <c:symbol val="circle"/>
            <c:size val="5"/>
            <c:spPr>
              <a:solidFill>
                <a:srgbClr val="C00000"/>
              </a:solidFill>
              <a:ln w="28575">
                <a:solidFill>
                  <a:srgbClr val="C00000"/>
                </a:solidFill>
              </a:ln>
              <a:effectLst/>
            </c:spPr>
          </c:marker>
          <c:xVal>
            <c:numRef>
              <c:f>Feuil1!$K$5:$K$11</c:f>
              <c:numCache>
                <c:formatCode>General</c:formatCode>
                <c:ptCount val="7"/>
                <c:pt idx="0">
                  <c:v>10</c:v>
                </c:pt>
                <c:pt idx="1">
                  <c:v>40</c:v>
                </c:pt>
                <c:pt idx="2">
                  <c:v>60</c:v>
                </c:pt>
                <c:pt idx="3">
                  <c:v>80</c:v>
                </c:pt>
                <c:pt idx="4">
                  <c:v>100</c:v>
                </c:pt>
                <c:pt idx="5">
                  <c:v>200</c:v>
                </c:pt>
                <c:pt idx="6">
                  <c:v>400</c:v>
                </c:pt>
              </c:numCache>
            </c:numRef>
          </c:xVal>
          <c:yVal>
            <c:numRef>
              <c:f>Feuil1!$L$5:$L$11</c:f>
              <c:numCache>
                <c:formatCode>General</c:formatCode>
                <c:ptCount val="7"/>
                <c:pt idx="0">
                  <c:v>0.112</c:v>
                </c:pt>
                <c:pt idx="1">
                  <c:v>0.26</c:v>
                </c:pt>
                <c:pt idx="2">
                  <c:v>0.35299999999999998</c:v>
                </c:pt>
                <c:pt idx="3">
                  <c:v>0.439</c:v>
                </c:pt>
                <c:pt idx="4">
                  <c:v>0.48</c:v>
                </c:pt>
                <c:pt idx="5">
                  <c:v>0.54800000000000004</c:v>
                </c:pt>
                <c:pt idx="6">
                  <c:v>0.58199999999999996</c:v>
                </c:pt>
              </c:numCache>
            </c:numRef>
          </c:yVal>
          <c:smooth val="0"/>
          <c:extLst>
            <c:ext xmlns:c16="http://schemas.microsoft.com/office/drawing/2014/chart" uri="{C3380CC4-5D6E-409C-BE32-E72D297353CC}">
              <c16:uniqueId val="{00000000-17CE-4E27-B7D3-37924F9EB05C}"/>
            </c:ext>
          </c:extLst>
        </c:ser>
        <c:ser>
          <c:idx val="1"/>
          <c:order val="1"/>
          <c:tx>
            <c:strRef>
              <c:f>Feuil1!$M$4</c:f>
              <c:strCache>
                <c:ptCount val="1"/>
                <c:pt idx="0">
                  <c:v>Extrait aqueux</c:v>
                </c:pt>
              </c:strCache>
            </c:strRef>
          </c:tx>
          <c:spPr>
            <a:ln w="28575" cap="rnd">
              <a:solidFill>
                <a:srgbClr val="0070C0"/>
              </a:solidFill>
              <a:round/>
            </a:ln>
            <a:effectLst/>
          </c:spPr>
          <c:marker>
            <c:symbol val="circle"/>
            <c:size val="5"/>
            <c:spPr>
              <a:solidFill>
                <a:srgbClr val="0070C0"/>
              </a:solidFill>
              <a:ln w="28575">
                <a:solidFill>
                  <a:srgbClr val="0070C0"/>
                </a:solidFill>
              </a:ln>
              <a:effectLst/>
            </c:spPr>
          </c:marker>
          <c:xVal>
            <c:numRef>
              <c:f>Feuil1!$K$5:$K$11</c:f>
              <c:numCache>
                <c:formatCode>General</c:formatCode>
                <c:ptCount val="7"/>
                <c:pt idx="0">
                  <c:v>10</c:v>
                </c:pt>
                <c:pt idx="1">
                  <c:v>40</c:v>
                </c:pt>
                <c:pt idx="2">
                  <c:v>60</c:v>
                </c:pt>
                <c:pt idx="3">
                  <c:v>80</c:v>
                </c:pt>
                <c:pt idx="4">
                  <c:v>100</c:v>
                </c:pt>
                <c:pt idx="5">
                  <c:v>200</c:v>
                </c:pt>
                <c:pt idx="6">
                  <c:v>400</c:v>
                </c:pt>
              </c:numCache>
            </c:numRef>
          </c:xVal>
          <c:yVal>
            <c:numRef>
              <c:f>Feuil1!$M$5:$M$11</c:f>
              <c:numCache>
                <c:formatCode>General</c:formatCode>
                <c:ptCount val="7"/>
                <c:pt idx="0">
                  <c:v>0.08</c:v>
                </c:pt>
                <c:pt idx="1">
                  <c:v>0.24</c:v>
                </c:pt>
                <c:pt idx="2">
                  <c:v>0.35099999999999998</c:v>
                </c:pt>
                <c:pt idx="3">
                  <c:v>0.44400000000000001</c:v>
                </c:pt>
                <c:pt idx="4">
                  <c:v>0.47599999999999998</c:v>
                </c:pt>
                <c:pt idx="5">
                  <c:v>0.54400000000000004</c:v>
                </c:pt>
                <c:pt idx="6">
                  <c:v>0.61299999999999999</c:v>
                </c:pt>
              </c:numCache>
            </c:numRef>
          </c:yVal>
          <c:smooth val="0"/>
          <c:extLst>
            <c:ext xmlns:c16="http://schemas.microsoft.com/office/drawing/2014/chart" uri="{C3380CC4-5D6E-409C-BE32-E72D297353CC}">
              <c16:uniqueId val="{00000001-17CE-4E27-B7D3-37924F9EB05C}"/>
            </c:ext>
          </c:extLst>
        </c:ser>
        <c:ser>
          <c:idx val="2"/>
          <c:order val="2"/>
          <c:tx>
            <c:strRef>
              <c:f>Feuil1!$N$4</c:f>
              <c:strCache>
                <c:ptCount val="1"/>
                <c:pt idx="0">
                  <c:v>BHT</c:v>
                </c:pt>
              </c:strCache>
            </c:strRef>
          </c:tx>
          <c:spPr>
            <a:ln w="28575" cap="rnd">
              <a:solidFill>
                <a:srgbClr val="00B050"/>
              </a:solidFill>
              <a:round/>
            </a:ln>
            <a:effectLst/>
          </c:spPr>
          <c:marker>
            <c:symbol val="circle"/>
            <c:size val="5"/>
            <c:spPr>
              <a:solidFill>
                <a:srgbClr val="00B050"/>
              </a:solidFill>
              <a:ln w="28575">
                <a:solidFill>
                  <a:srgbClr val="00B050"/>
                </a:solidFill>
              </a:ln>
              <a:effectLst/>
            </c:spPr>
          </c:marker>
          <c:xVal>
            <c:numRef>
              <c:f>Feuil1!$K$5:$K$11</c:f>
              <c:numCache>
                <c:formatCode>General</c:formatCode>
                <c:ptCount val="7"/>
                <c:pt idx="0">
                  <c:v>10</c:v>
                </c:pt>
                <c:pt idx="1">
                  <c:v>40</c:v>
                </c:pt>
                <c:pt idx="2">
                  <c:v>60</c:v>
                </c:pt>
                <c:pt idx="3">
                  <c:v>80</c:v>
                </c:pt>
                <c:pt idx="4">
                  <c:v>100</c:v>
                </c:pt>
                <c:pt idx="5">
                  <c:v>200</c:v>
                </c:pt>
                <c:pt idx="6">
                  <c:v>400</c:v>
                </c:pt>
              </c:numCache>
            </c:numRef>
          </c:xVal>
          <c:yVal>
            <c:numRef>
              <c:f>Feuil1!$N$5:$N$11</c:f>
              <c:numCache>
                <c:formatCode>General</c:formatCode>
                <c:ptCount val="7"/>
                <c:pt idx="0">
                  <c:v>0.18</c:v>
                </c:pt>
                <c:pt idx="1">
                  <c:v>0.28000000000000003</c:v>
                </c:pt>
                <c:pt idx="2">
                  <c:v>0.36699999999999999</c:v>
                </c:pt>
                <c:pt idx="3">
                  <c:v>0.45700000000000002</c:v>
                </c:pt>
                <c:pt idx="4">
                  <c:v>0.47699999999999998</c:v>
                </c:pt>
                <c:pt idx="5">
                  <c:v>0.57799999999999996</c:v>
                </c:pt>
                <c:pt idx="6">
                  <c:v>0.61799999999999999</c:v>
                </c:pt>
              </c:numCache>
            </c:numRef>
          </c:yVal>
          <c:smooth val="0"/>
          <c:extLst>
            <c:ext xmlns:c16="http://schemas.microsoft.com/office/drawing/2014/chart" uri="{C3380CC4-5D6E-409C-BE32-E72D297353CC}">
              <c16:uniqueId val="{00000002-17CE-4E27-B7D3-37924F9EB05C}"/>
            </c:ext>
          </c:extLst>
        </c:ser>
        <c:ser>
          <c:idx val="3"/>
          <c:order val="3"/>
          <c:tx>
            <c:strRef>
              <c:f>Feuil1!$O$4</c:f>
              <c:strCache>
                <c:ptCount val="1"/>
                <c:pt idx="0">
                  <c:v>Acide ascorbique</c:v>
                </c:pt>
              </c:strCache>
            </c:strRef>
          </c:tx>
          <c:spPr>
            <a:ln w="28575" cap="rnd">
              <a:solidFill>
                <a:schemeClr val="tx1"/>
              </a:solidFill>
              <a:round/>
            </a:ln>
            <a:effectLst/>
          </c:spPr>
          <c:marker>
            <c:symbol val="circle"/>
            <c:size val="5"/>
            <c:spPr>
              <a:solidFill>
                <a:schemeClr val="tx1"/>
              </a:solidFill>
              <a:ln w="28575">
                <a:solidFill>
                  <a:schemeClr val="tx1"/>
                </a:solidFill>
              </a:ln>
              <a:effectLst/>
            </c:spPr>
          </c:marker>
          <c:xVal>
            <c:numRef>
              <c:f>Feuil1!$K$5:$K$11</c:f>
              <c:numCache>
                <c:formatCode>General</c:formatCode>
                <c:ptCount val="7"/>
                <c:pt idx="0">
                  <c:v>10</c:v>
                </c:pt>
                <c:pt idx="1">
                  <c:v>40</c:v>
                </c:pt>
                <c:pt idx="2">
                  <c:v>60</c:v>
                </c:pt>
                <c:pt idx="3">
                  <c:v>80</c:v>
                </c:pt>
                <c:pt idx="4">
                  <c:v>100</c:v>
                </c:pt>
                <c:pt idx="5">
                  <c:v>200</c:v>
                </c:pt>
                <c:pt idx="6">
                  <c:v>400</c:v>
                </c:pt>
              </c:numCache>
            </c:numRef>
          </c:xVal>
          <c:yVal>
            <c:numRef>
              <c:f>Feuil1!$O$5:$O$11</c:f>
              <c:numCache>
                <c:formatCode>General</c:formatCode>
                <c:ptCount val="7"/>
                <c:pt idx="0">
                  <c:v>0.18004999999999999</c:v>
                </c:pt>
                <c:pt idx="1">
                  <c:v>0.28001999999999999</c:v>
                </c:pt>
                <c:pt idx="2">
                  <c:v>0.36699999999999999</c:v>
                </c:pt>
                <c:pt idx="3">
                  <c:v>0.44700000000000001</c:v>
                </c:pt>
                <c:pt idx="4">
                  <c:v>0.49</c:v>
                </c:pt>
                <c:pt idx="5">
                  <c:v>0.57799999999999996</c:v>
                </c:pt>
                <c:pt idx="6">
                  <c:v>0.61802000000000001</c:v>
                </c:pt>
              </c:numCache>
            </c:numRef>
          </c:yVal>
          <c:smooth val="0"/>
          <c:extLst>
            <c:ext xmlns:c16="http://schemas.microsoft.com/office/drawing/2014/chart" uri="{C3380CC4-5D6E-409C-BE32-E72D297353CC}">
              <c16:uniqueId val="{00000003-17CE-4E27-B7D3-37924F9EB05C}"/>
            </c:ext>
          </c:extLst>
        </c:ser>
        <c:dLbls>
          <c:showLegendKey val="0"/>
          <c:showVal val="0"/>
          <c:showCatName val="0"/>
          <c:showSerName val="0"/>
          <c:showPercent val="0"/>
          <c:showBubbleSize val="0"/>
        </c:dLbls>
        <c:axId val="2016788095"/>
        <c:axId val="2016781375"/>
      </c:scatterChart>
      <c:valAx>
        <c:axId val="2016788095"/>
        <c:scaling>
          <c:orientation val="minMax"/>
          <c:max val="400"/>
        </c:scaling>
        <c:delete val="0"/>
        <c:axPos val="b"/>
        <c:title>
          <c:tx>
            <c:rich>
              <a:bodyPr rot="0" spcFirstLastPara="1" vertOverflow="ellipsis" vert="horz" wrap="square" anchor="ctr" anchorCtr="1"/>
              <a:lstStyle/>
              <a:p>
                <a:pPr>
                  <a:defRPr lang="fr-FR" sz="1100" b="1" i="0" u="none" strike="noStrike" kern="1200" baseline="0">
                    <a:solidFill>
                      <a:sysClr val="windowText" lastClr="000000"/>
                    </a:solidFill>
                    <a:latin typeface="Times New Roman" panose="02020603050405020304" charset="0"/>
                    <a:ea typeface="+mn-ea"/>
                    <a:cs typeface="Times New Roman" panose="02020603050405020304" charset="0"/>
                  </a:defRPr>
                </a:pPr>
                <a:r>
                  <a:rPr lang="fr-FR" sz="1100" b="1">
                    <a:solidFill>
                      <a:sysClr val="windowText" lastClr="000000"/>
                    </a:solidFill>
                    <a:latin typeface="Times New Roman" panose="02020603050405020304" charset="0"/>
                    <a:cs typeface="Times New Roman" panose="02020603050405020304" charset="0"/>
                  </a:rPr>
                  <a:t>Concentrations (µg/ml)</a:t>
                </a:r>
              </a:p>
            </c:rich>
          </c:tx>
          <c:layout>
            <c:manualLayout>
              <c:xMode val="edge"/>
              <c:yMode val="edge"/>
              <c:x val="0.25546653543307102"/>
              <c:y val="0.899791484397784"/>
            </c:manualLayout>
          </c:layout>
          <c:overlay val="0"/>
          <c:spPr>
            <a:noFill/>
            <a:ln>
              <a:noFill/>
            </a:ln>
            <a:effectLst/>
          </c:spPr>
          <c:txPr>
            <a:bodyPr rot="0" spcFirstLastPara="1" vertOverflow="ellipsis" vert="horz" wrap="square" anchor="ctr" anchorCtr="1"/>
            <a:lstStyle/>
            <a:p>
              <a:pPr>
                <a:defRPr lang="fr-FR" sz="1100" b="1" i="0" u="none" strike="noStrike" kern="1200" baseline="0">
                  <a:solidFill>
                    <a:sysClr val="windowText" lastClr="000000"/>
                  </a:solidFill>
                  <a:latin typeface="Times New Roman" panose="02020603050405020304" charset="0"/>
                  <a:ea typeface="+mn-ea"/>
                  <a:cs typeface="Times New Roman" panose="02020603050405020304" charset="0"/>
                </a:defRPr>
              </a:pPr>
              <a:endParaRPr lang="fr-FR"/>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fr-FR" sz="900" b="1" i="0" u="none" strike="noStrike" kern="1200" baseline="0">
                <a:solidFill>
                  <a:sysClr val="windowText" lastClr="000000"/>
                </a:solidFill>
                <a:latin typeface="Times New Roman" panose="02020603050405020304" charset="0"/>
                <a:ea typeface="+mn-ea"/>
                <a:cs typeface="Times New Roman" panose="02020603050405020304" charset="0"/>
              </a:defRPr>
            </a:pPr>
            <a:endParaRPr lang="fr-FR"/>
          </a:p>
        </c:txPr>
        <c:crossAx val="2016781375"/>
        <c:crosses val="autoZero"/>
        <c:crossBetween val="midCat"/>
      </c:valAx>
      <c:valAx>
        <c:axId val="2016781375"/>
        <c:scaling>
          <c:orientation val="minMax"/>
        </c:scaling>
        <c:delete val="0"/>
        <c:axPos val="l"/>
        <c:title>
          <c:tx>
            <c:rich>
              <a:bodyPr rot="-5400000" spcFirstLastPara="1" vertOverflow="ellipsis" vert="horz" wrap="square" anchor="ctr" anchorCtr="1"/>
              <a:lstStyle/>
              <a:p>
                <a:pPr>
                  <a:defRPr lang="fr-FR" sz="1100" b="1" i="0" u="none" strike="noStrike" kern="1200" baseline="0">
                    <a:solidFill>
                      <a:sysClr val="windowText" lastClr="000000"/>
                    </a:solidFill>
                    <a:latin typeface="Times New Roman" panose="02020603050405020304" charset="0"/>
                    <a:ea typeface="+mn-ea"/>
                    <a:cs typeface="Times New Roman" panose="02020603050405020304" charset="0"/>
                  </a:defRPr>
                </a:pPr>
                <a:r>
                  <a:rPr lang="fr-FR" sz="1100" b="1">
                    <a:solidFill>
                      <a:sysClr val="windowText" lastClr="000000"/>
                    </a:solidFill>
                    <a:latin typeface="Times New Roman" panose="02020603050405020304" charset="0"/>
                    <a:cs typeface="Times New Roman" panose="02020603050405020304" charset="0"/>
                  </a:rPr>
                  <a:t> Absorbance à 700</a:t>
                </a:r>
              </a:p>
            </c:rich>
          </c:tx>
          <c:layout>
            <c:manualLayout>
              <c:xMode val="edge"/>
              <c:yMode val="edge"/>
              <c:x val="1.6666666666666701E-2"/>
              <c:y val="0.22006525226013399"/>
            </c:manualLayout>
          </c:layout>
          <c:overlay val="0"/>
          <c:spPr>
            <a:noFill/>
            <a:ln>
              <a:noFill/>
            </a:ln>
            <a:effectLst/>
          </c:spPr>
          <c:txPr>
            <a:bodyPr rot="-5400000" spcFirstLastPara="1" vertOverflow="ellipsis" vert="horz" wrap="square" anchor="ctr" anchorCtr="1"/>
            <a:lstStyle/>
            <a:p>
              <a:pPr>
                <a:defRPr lang="fr-FR" sz="1100" b="1" i="0" u="none" strike="noStrike" kern="1200" baseline="0">
                  <a:solidFill>
                    <a:sysClr val="windowText" lastClr="000000"/>
                  </a:solidFill>
                  <a:latin typeface="Times New Roman" panose="02020603050405020304" charset="0"/>
                  <a:ea typeface="+mn-ea"/>
                  <a:cs typeface="Times New Roman" panose="02020603050405020304" charset="0"/>
                </a:defRPr>
              </a:pPr>
              <a:endParaRPr lang="fr-FR"/>
            </a:p>
          </c:txPr>
        </c:title>
        <c:numFmt formatCode="General" sourceLinked="1"/>
        <c:majorTickMark val="out"/>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fr-FR" sz="900" b="1" i="0" u="none" strike="noStrike" kern="1200" baseline="0">
                <a:solidFill>
                  <a:sysClr val="windowText" lastClr="000000"/>
                </a:solidFill>
                <a:latin typeface="Times New Roman" panose="02020603050405020304" charset="0"/>
                <a:ea typeface="+mn-ea"/>
                <a:cs typeface="Times New Roman" panose="02020603050405020304" charset="0"/>
              </a:defRPr>
            </a:pPr>
            <a:endParaRPr lang="fr-FR"/>
          </a:p>
        </c:txPr>
        <c:crossAx val="2016788095"/>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lang="fr-FR" sz="1000" b="1" i="0" u="none" strike="noStrike" kern="1200" baseline="0">
              <a:solidFill>
                <a:sysClr val="windowText" lastClr="000000"/>
              </a:solidFill>
              <a:latin typeface="Times New Roman" panose="02020603050405020304" charset="0"/>
              <a:ea typeface="+mn-ea"/>
              <a:cs typeface="Times New Roman" panose="02020603050405020304" charset="0"/>
            </a:defRPr>
          </a:pPr>
          <a:endParaRPr lang="fr-FR"/>
        </a:p>
      </c:txPr>
    </c:legend>
    <c:plotVisOnly val="1"/>
    <c:dispBlanksAs val="gap"/>
    <c:showDLblsOverMax val="0"/>
    <c:extLst>
      <c:ext uri="{0b15fc19-7d7d-44ad-8c2d-2c3a37ce22c3}">
        <chartProps xmlns="https://web.wps.cn/et/2018/main" chartId="{21c56292-c550-4b98-b3dc-8f89c6947798}"/>
      </c:ext>
    </c:extLst>
  </c:chart>
  <c:spPr>
    <a:solidFill>
      <a:schemeClr val="bg1"/>
    </a:solidFill>
    <a:ln w="9525" cap="flat" cmpd="sng" algn="ctr">
      <a:solidFill>
        <a:schemeClr val="tx1">
          <a:lumMod val="15000"/>
          <a:lumOff val="85000"/>
        </a:schemeClr>
      </a:solidFill>
      <a:round/>
    </a:ln>
    <a:effectLst/>
  </c:spPr>
  <c:txPr>
    <a:bodyPr/>
    <a:lstStyle/>
    <a:p>
      <a:pPr>
        <a:defRPr lang="fr-FR"/>
      </a:pPr>
      <a:endParaRPr lang="fr-FR"/>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6003637615640301"/>
          <c:y val="5.63380281690141E-2"/>
          <c:w val="0.49473144516631201"/>
          <c:h val="0.71823283293173501"/>
        </c:manualLayout>
      </c:layout>
      <c:scatterChart>
        <c:scatterStyle val="lineMarker"/>
        <c:varyColors val="0"/>
        <c:ser>
          <c:idx val="0"/>
          <c:order val="0"/>
          <c:tx>
            <c:strRef>
              <c:f>fenugrec!$E$25</c:f>
              <c:strCache>
                <c:ptCount val="1"/>
                <c:pt idx="0">
                  <c:v>Extrait aqueux</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fenugrec!$D$26:$D$32</c:f>
              <c:numCache>
                <c:formatCode>General</c:formatCode>
                <c:ptCount val="7"/>
                <c:pt idx="0">
                  <c:v>50</c:v>
                </c:pt>
                <c:pt idx="1">
                  <c:v>100</c:v>
                </c:pt>
                <c:pt idx="2">
                  <c:v>150</c:v>
                </c:pt>
                <c:pt idx="3">
                  <c:v>200</c:v>
                </c:pt>
                <c:pt idx="4">
                  <c:v>250</c:v>
                </c:pt>
                <c:pt idx="5">
                  <c:v>300</c:v>
                </c:pt>
                <c:pt idx="6">
                  <c:v>400</c:v>
                </c:pt>
              </c:numCache>
            </c:numRef>
          </c:xVal>
          <c:yVal>
            <c:numRef>
              <c:f>fenugrec!$E$26:$E$32</c:f>
              <c:numCache>
                <c:formatCode>General</c:formatCode>
                <c:ptCount val="7"/>
                <c:pt idx="0">
                  <c:v>14.51</c:v>
                </c:pt>
                <c:pt idx="1">
                  <c:v>68.45</c:v>
                </c:pt>
                <c:pt idx="2">
                  <c:v>81.36</c:v>
                </c:pt>
                <c:pt idx="3">
                  <c:v>83.69</c:v>
                </c:pt>
                <c:pt idx="4">
                  <c:v>87.45</c:v>
                </c:pt>
                <c:pt idx="5">
                  <c:v>91.39</c:v>
                </c:pt>
                <c:pt idx="6">
                  <c:v>94.08</c:v>
                </c:pt>
              </c:numCache>
            </c:numRef>
          </c:yVal>
          <c:smooth val="0"/>
          <c:extLst>
            <c:ext xmlns:c16="http://schemas.microsoft.com/office/drawing/2014/chart" uri="{C3380CC4-5D6E-409C-BE32-E72D297353CC}">
              <c16:uniqueId val="{00000000-41DD-41C2-870F-66A0A6580643}"/>
            </c:ext>
          </c:extLst>
        </c:ser>
        <c:ser>
          <c:idx val="1"/>
          <c:order val="1"/>
          <c:tx>
            <c:strRef>
              <c:f>fenugrec!$F$25</c:f>
              <c:strCache>
                <c:ptCount val="1"/>
                <c:pt idx="0">
                  <c:v>Aspirine</c:v>
                </c:pt>
              </c:strCache>
            </c:strRef>
          </c:tx>
          <c:spPr>
            <a:ln w="19050" cap="rnd">
              <a:solidFill>
                <a:srgbClr val="00B050"/>
              </a:solidFill>
              <a:round/>
            </a:ln>
            <a:effectLst/>
          </c:spPr>
          <c:marker>
            <c:symbol val="circle"/>
            <c:size val="5"/>
            <c:spPr>
              <a:solidFill>
                <a:srgbClr val="00B050"/>
              </a:solidFill>
              <a:ln w="9525">
                <a:solidFill>
                  <a:srgbClr val="00B050"/>
                </a:solidFill>
              </a:ln>
              <a:effectLst/>
            </c:spPr>
          </c:marker>
          <c:xVal>
            <c:numRef>
              <c:f>fenugrec!$D$26:$D$32</c:f>
              <c:numCache>
                <c:formatCode>General</c:formatCode>
                <c:ptCount val="7"/>
                <c:pt idx="0">
                  <c:v>50</c:v>
                </c:pt>
                <c:pt idx="1">
                  <c:v>100</c:v>
                </c:pt>
                <c:pt idx="2">
                  <c:v>150</c:v>
                </c:pt>
                <c:pt idx="3">
                  <c:v>200</c:v>
                </c:pt>
                <c:pt idx="4">
                  <c:v>250</c:v>
                </c:pt>
                <c:pt idx="5">
                  <c:v>300</c:v>
                </c:pt>
                <c:pt idx="6">
                  <c:v>400</c:v>
                </c:pt>
              </c:numCache>
            </c:numRef>
          </c:xVal>
          <c:yVal>
            <c:numRef>
              <c:f>fenugrec!$F$26:$F$32</c:f>
              <c:numCache>
                <c:formatCode>General</c:formatCode>
                <c:ptCount val="7"/>
                <c:pt idx="0">
                  <c:v>0</c:v>
                </c:pt>
                <c:pt idx="1">
                  <c:v>38.56</c:v>
                </c:pt>
                <c:pt idx="2">
                  <c:v>44.02</c:v>
                </c:pt>
                <c:pt idx="3">
                  <c:v>89.76</c:v>
                </c:pt>
                <c:pt idx="4">
                  <c:v>91.12</c:v>
                </c:pt>
                <c:pt idx="5">
                  <c:v>92.66</c:v>
                </c:pt>
                <c:pt idx="6">
                  <c:v>93.34</c:v>
                </c:pt>
              </c:numCache>
            </c:numRef>
          </c:yVal>
          <c:smooth val="0"/>
          <c:extLst>
            <c:ext xmlns:c16="http://schemas.microsoft.com/office/drawing/2014/chart" uri="{C3380CC4-5D6E-409C-BE32-E72D297353CC}">
              <c16:uniqueId val="{00000001-41DD-41C2-870F-66A0A6580643}"/>
            </c:ext>
          </c:extLst>
        </c:ser>
        <c:ser>
          <c:idx val="2"/>
          <c:order val="2"/>
          <c:tx>
            <c:strRef>
              <c:f>fenugrec!$G$25</c:f>
              <c:strCache>
                <c:ptCount val="1"/>
                <c:pt idx="0">
                  <c:v>Extrait éthanolique</c:v>
                </c:pt>
              </c:strCache>
            </c:strRef>
          </c:tx>
          <c:spPr>
            <a:ln w="19050" cap="rnd">
              <a:solidFill>
                <a:srgbClr val="C00000"/>
              </a:solidFill>
              <a:round/>
            </a:ln>
            <a:effectLst/>
          </c:spPr>
          <c:marker>
            <c:symbol val="circle"/>
            <c:size val="5"/>
            <c:spPr>
              <a:solidFill>
                <a:srgbClr val="C00000"/>
              </a:solidFill>
              <a:ln w="9525">
                <a:solidFill>
                  <a:srgbClr val="C00000"/>
                </a:solidFill>
              </a:ln>
              <a:effectLst/>
            </c:spPr>
          </c:marker>
          <c:xVal>
            <c:numRef>
              <c:f>fenugrec!$D$26:$D$32</c:f>
              <c:numCache>
                <c:formatCode>General</c:formatCode>
                <c:ptCount val="7"/>
                <c:pt idx="0">
                  <c:v>50</c:v>
                </c:pt>
                <c:pt idx="1">
                  <c:v>100</c:v>
                </c:pt>
                <c:pt idx="2">
                  <c:v>150</c:v>
                </c:pt>
                <c:pt idx="3">
                  <c:v>200</c:v>
                </c:pt>
                <c:pt idx="4">
                  <c:v>250</c:v>
                </c:pt>
                <c:pt idx="5">
                  <c:v>300</c:v>
                </c:pt>
                <c:pt idx="6">
                  <c:v>400</c:v>
                </c:pt>
              </c:numCache>
            </c:numRef>
          </c:xVal>
          <c:yVal>
            <c:numRef>
              <c:f>fenugrec!$G$26:$G$32</c:f>
              <c:numCache>
                <c:formatCode>General</c:formatCode>
                <c:ptCount val="7"/>
                <c:pt idx="0">
                  <c:v>15.05</c:v>
                </c:pt>
                <c:pt idx="1">
                  <c:v>72.58</c:v>
                </c:pt>
                <c:pt idx="2">
                  <c:v>80.040000000000006</c:v>
                </c:pt>
                <c:pt idx="3">
                  <c:v>82.25</c:v>
                </c:pt>
                <c:pt idx="4">
                  <c:v>88.88</c:v>
                </c:pt>
                <c:pt idx="5">
                  <c:v>89.42</c:v>
                </c:pt>
                <c:pt idx="6">
                  <c:v>94.18</c:v>
                </c:pt>
              </c:numCache>
            </c:numRef>
          </c:yVal>
          <c:smooth val="0"/>
          <c:extLst>
            <c:ext xmlns:c16="http://schemas.microsoft.com/office/drawing/2014/chart" uri="{C3380CC4-5D6E-409C-BE32-E72D297353CC}">
              <c16:uniqueId val="{00000002-41DD-41C2-870F-66A0A6580643}"/>
            </c:ext>
          </c:extLst>
        </c:ser>
        <c:dLbls>
          <c:showLegendKey val="0"/>
          <c:showVal val="0"/>
          <c:showCatName val="0"/>
          <c:showSerName val="0"/>
          <c:showPercent val="0"/>
          <c:showBubbleSize val="0"/>
        </c:dLbls>
        <c:axId val="510227135"/>
        <c:axId val="510222815"/>
      </c:scatterChart>
      <c:valAx>
        <c:axId val="510227135"/>
        <c:scaling>
          <c:orientation val="minMax"/>
          <c:max val="400"/>
        </c:scaling>
        <c:delete val="0"/>
        <c:axPos val="b"/>
        <c:title>
          <c:tx>
            <c:rich>
              <a:bodyPr rot="0" spcFirstLastPara="1" vertOverflow="ellipsis" vert="horz" wrap="square" anchor="ctr" anchorCtr="1"/>
              <a:lstStyle/>
              <a:p>
                <a:pPr>
                  <a:defRPr lang="fr-FR" sz="1100" b="1" i="0" u="none" strike="noStrike" kern="1200" baseline="0">
                    <a:solidFill>
                      <a:sysClr val="windowText" lastClr="000000"/>
                    </a:solidFill>
                    <a:latin typeface="Times New Roman" panose="02020603050405020304" charset="0"/>
                    <a:ea typeface="+mn-ea"/>
                    <a:cs typeface="Times New Roman" panose="02020603050405020304" charset="0"/>
                  </a:defRPr>
                </a:pPr>
                <a:r>
                  <a:rPr lang="fr-FR" sz="1100" b="1">
                    <a:solidFill>
                      <a:sysClr val="windowText" lastClr="000000"/>
                    </a:solidFill>
                    <a:latin typeface="Times New Roman" panose="02020603050405020304" charset="0"/>
                    <a:cs typeface="Times New Roman" panose="02020603050405020304" charset="0"/>
                  </a:rPr>
                  <a:t>Concentration (µg/ml)</a:t>
                </a:r>
              </a:p>
            </c:rich>
          </c:tx>
          <c:overlay val="0"/>
          <c:spPr>
            <a:noFill/>
            <a:ln>
              <a:noFill/>
            </a:ln>
            <a:effectLst/>
          </c:spPr>
          <c:txPr>
            <a:bodyPr rot="0" spcFirstLastPara="1" vertOverflow="ellipsis" vert="horz" wrap="square" anchor="ctr" anchorCtr="1"/>
            <a:lstStyle/>
            <a:p>
              <a:pPr>
                <a:defRPr lang="fr-FR" sz="1100" b="1" i="0" u="none" strike="noStrike" kern="1200" baseline="0">
                  <a:solidFill>
                    <a:sysClr val="windowText" lastClr="000000"/>
                  </a:solidFill>
                  <a:latin typeface="Times New Roman" panose="02020603050405020304" charset="0"/>
                  <a:ea typeface="+mn-ea"/>
                  <a:cs typeface="Times New Roman" panose="02020603050405020304" charset="0"/>
                </a:defRPr>
              </a:pPr>
              <a:endParaRPr lang="fr-FR"/>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fr-FR" sz="1000" b="1" i="0" u="none" strike="noStrike" kern="1200" baseline="0">
                <a:solidFill>
                  <a:sysClr val="windowText" lastClr="000000"/>
                </a:solidFill>
                <a:latin typeface="Times New Roman" panose="02020603050405020304" charset="0"/>
                <a:ea typeface="+mn-ea"/>
                <a:cs typeface="Times New Roman" panose="02020603050405020304" charset="0"/>
              </a:defRPr>
            </a:pPr>
            <a:endParaRPr lang="fr-FR"/>
          </a:p>
        </c:txPr>
        <c:crossAx val="510222815"/>
        <c:crosses val="autoZero"/>
        <c:crossBetween val="midCat"/>
        <c:majorUnit val="100"/>
      </c:valAx>
      <c:valAx>
        <c:axId val="510222815"/>
        <c:scaling>
          <c:orientation val="minMax"/>
        </c:scaling>
        <c:delete val="0"/>
        <c:axPos val="l"/>
        <c:title>
          <c:tx>
            <c:rich>
              <a:bodyPr rot="-5400000" spcFirstLastPara="1" vertOverflow="ellipsis" vert="horz" wrap="square" anchor="ctr" anchorCtr="1"/>
              <a:lstStyle/>
              <a:p>
                <a:pPr>
                  <a:defRPr lang="fr-FR" sz="1100" b="1" i="0" u="none" strike="noStrike" kern="1200" baseline="0">
                    <a:solidFill>
                      <a:sysClr val="windowText" lastClr="000000"/>
                    </a:solidFill>
                    <a:latin typeface="Times New Roman" panose="02020603050405020304" charset="0"/>
                    <a:ea typeface="+mn-ea"/>
                    <a:cs typeface="Times New Roman" panose="02020603050405020304" charset="0"/>
                  </a:defRPr>
                </a:pPr>
                <a:r>
                  <a:rPr lang="fr-FR" sz="1100" b="1">
                    <a:solidFill>
                      <a:sysClr val="windowText" lastClr="000000"/>
                    </a:solidFill>
                    <a:latin typeface="Times New Roman" panose="02020603050405020304" charset="0"/>
                    <a:cs typeface="Times New Roman" panose="02020603050405020304" charset="0"/>
                  </a:rPr>
                  <a:t>Pourcentage d'inhibition (%)</a:t>
                </a:r>
              </a:p>
            </c:rich>
          </c:tx>
          <c:overlay val="0"/>
          <c:spPr>
            <a:noFill/>
            <a:ln>
              <a:noFill/>
            </a:ln>
            <a:effectLst/>
          </c:spPr>
          <c:txPr>
            <a:bodyPr rot="-5400000" spcFirstLastPara="1" vertOverflow="ellipsis" vert="horz" wrap="square" anchor="ctr" anchorCtr="1"/>
            <a:lstStyle/>
            <a:p>
              <a:pPr>
                <a:defRPr lang="fr-FR" sz="1100" b="1" i="0" u="none" strike="noStrike" kern="1200" baseline="0">
                  <a:solidFill>
                    <a:sysClr val="windowText" lastClr="000000"/>
                  </a:solidFill>
                  <a:latin typeface="Times New Roman" panose="02020603050405020304" charset="0"/>
                  <a:ea typeface="+mn-ea"/>
                  <a:cs typeface="Times New Roman" panose="02020603050405020304" charset="0"/>
                </a:defRPr>
              </a:pPr>
              <a:endParaRPr lang="fr-FR"/>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fr-FR" sz="1000" b="1" i="0" u="none" strike="noStrike" kern="1200" baseline="0">
                <a:solidFill>
                  <a:sysClr val="windowText" lastClr="000000"/>
                </a:solidFill>
                <a:latin typeface="Times New Roman" panose="02020603050405020304" charset="0"/>
                <a:ea typeface="+mn-ea"/>
                <a:cs typeface="Times New Roman" panose="02020603050405020304" charset="0"/>
              </a:defRPr>
            </a:pPr>
            <a:endParaRPr lang="fr-FR"/>
          </a:p>
        </c:txPr>
        <c:crossAx val="510227135"/>
        <c:crosses val="autoZero"/>
        <c:crossBetween val="midCat"/>
      </c:valAx>
      <c:spPr>
        <a:noFill/>
        <a:ln>
          <a:noFill/>
        </a:ln>
        <a:effectLst/>
      </c:spPr>
    </c:plotArea>
    <c:legend>
      <c:legendPos val="r"/>
      <c:layout>
        <c:manualLayout>
          <c:xMode val="edge"/>
          <c:yMode val="edge"/>
          <c:x val="0.59453908565611802"/>
          <c:y val="0.26392894230090602"/>
          <c:w val="0.38011237188507302"/>
          <c:h val="0.33302832024357998"/>
        </c:manualLayout>
      </c:layout>
      <c:overlay val="0"/>
      <c:spPr>
        <a:noFill/>
        <a:ln>
          <a:noFill/>
        </a:ln>
        <a:effectLst/>
      </c:spPr>
      <c:txPr>
        <a:bodyPr rot="0" spcFirstLastPara="1" vertOverflow="ellipsis" vert="horz" wrap="square" anchor="ctr" anchorCtr="1"/>
        <a:lstStyle/>
        <a:p>
          <a:pPr>
            <a:defRPr lang="fr-FR" sz="1100" b="1" i="0" u="none" strike="noStrike" kern="1200" baseline="0">
              <a:solidFill>
                <a:sysClr val="windowText" lastClr="000000"/>
              </a:solidFill>
              <a:latin typeface="Times New Roman" panose="02020603050405020304" charset="0"/>
              <a:ea typeface="+mn-ea"/>
              <a:cs typeface="Times New Roman" panose="02020603050405020304" charset="0"/>
            </a:defRPr>
          </a:pPr>
          <a:endParaRPr lang="fr-FR"/>
        </a:p>
      </c:txPr>
    </c:legend>
    <c:plotVisOnly val="1"/>
    <c:dispBlanksAs val="gap"/>
    <c:showDLblsOverMax val="0"/>
    <c:extLst>
      <c:ext uri="{0b15fc19-7d7d-44ad-8c2d-2c3a37ce22c3}">
        <chartProps xmlns="https://web.wps.cn/et/2018/main" chartId="{a16068d0-31eb-4943-bee6-fbb5199668d8}"/>
      </c:ext>
    </c:extLst>
  </c:chart>
  <c:spPr>
    <a:solidFill>
      <a:schemeClr val="bg1"/>
    </a:solidFill>
    <a:ln w="9525" cap="flat" cmpd="sng" algn="ctr">
      <a:solidFill>
        <a:schemeClr val="tx1">
          <a:lumMod val="15000"/>
          <a:lumOff val="85000"/>
        </a:schemeClr>
      </a:solidFill>
      <a:round/>
    </a:ln>
    <a:effectLst/>
  </c:spPr>
  <c:txPr>
    <a:bodyPr/>
    <a:lstStyle/>
    <a:p>
      <a:pPr>
        <a:defRPr lang="fr-FR"/>
      </a:pPr>
      <a:endParaRPr lang="fr-FR"/>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Pt>
            <c:idx val="1"/>
            <c:invertIfNegative val="0"/>
            <c:bubble3D val="0"/>
            <c:spPr>
              <a:solidFill>
                <a:srgbClr val="C00000"/>
              </a:solidFill>
              <a:ln>
                <a:noFill/>
              </a:ln>
              <a:effectLst/>
            </c:spPr>
            <c:extLst>
              <c:ext xmlns:c16="http://schemas.microsoft.com/office/drawing/2014/chart" uri="{C3380CC4-5D6E-409C-BE32-E72D297353CC}">
                <c16:uniqueId val="{00000001-F3AF-4B86-AC6C-EE7576485DC9}"/>
              </c:ext>
            </c:extLst>
          </c:dPt>
          <c:errBars>
            <c:errBarType val="both"/>
            <c:errValType val="cust"/>
            <c:noEndCap val="0"/>
            <c:plus>
              <c:numRef>
                <c:f>Feuil1!$E$7:$F$7</c:f>
                <c:numCache>
                  <c:formatCode>General</c:formatCode>
                  <c:ptCount val="2"/>
                  <c:pt idx="0">
                    <c:v>1.87</c:v>
                  </c:pt>
                  <c:pt idx="1">
                    <c:v>0.68</c:v>
                  </c:pt>
                </c:numCache>
              </c:numRef>
            </c:plus>
            <c:minus>
              <c:numRef>
                <c:f>Feuil1!$E$7:$F$7</c:f>
                <c:numCache>
                  <c:formatCode>General</c:formatCode>
                  <c:ptCount val="2"/>
                  <c:pt idx="0">
                    <c:v>1.87</c:v>
                  </c:pt>
                  <c:pt idx="1">
                    <c:v>0.68</c:v>
                  </c:pt>
                </c:numCache>
              </c:numRef>
            </c:minus>
            <c:spPr>
              <a:noFill/>
              <a:ln w="19050" cap="flat" cmpd="sng" algn="ctr">
                <a:solidFill>
                  <a:schemeClr val="tx1">
                    <a:lumMod val="65000"/>
                    <a:lumOff val="35000"/>
                  </a:schemeClr>
                </a:solidFill>
                <a:round/>
              </a:ln>
              <a:effectLst/>
            </c:spPr>
          </c:errBars>
          <c:cat>
            <c:strRef>
              <c:f>Feuil1!$E$5:$F$5</c:f>
              <c:strCache>
                <c:ptCount val="2"/>
                <c:pt idx="0">
                  <c:v>Extrait aqueux </c:v>
                </c:pt>
                <c:pt idx="1">
                  <c:v>Extrait éthanolique</c:v>
                </c:pt>
              </c:strCache>
            </c:strRef>
          </c:cat>
          <c:val>
            <c:numRef>
              <c:f>Feuil1!$E$6:$F$6</c:f>
              <c:numCache>
                <c:formatCode>General</c:formatCode>
                <c:ptCount val="2"/>
                <c:pt idx="0">
                  <c:v>81.8</c:v>
                </c:pt>
                <c:pt idx="1">
                  <c:v>73</c:v>
                </c:pt>
              </c:numCache>
            </c:numRef>
          </c:val>
          <c:extLst>
            <c:ext xmlns:c16="http://schemas.microsoft.com/office/drawing/2014/chart" uri="{C3380CC4-5D6E-409C-BE32-E72D297353CC}">
              <c16:uniqueId val="{00000002-F3AF-4B86-AC6C-EE7576485DC9}"/>
            </c:ext>
          </c:extLst>
        </c:ser>
        <c:dLbls>
          <c:showLegendKey val="0"/>
          <c:showVal val="0"/>
          <c:showCatName val="0"/>
          <c:showSerName val="0"/>
          <c:showPercent val="0"/>
          <c:showBubbleSize val="0"/>
        </c:dLbls>
        <c:gapWidth val="485"/>
        <c:overlap val="5"/>
        <c:axId val="78219519"/>
        <c:axId val="78219999"/>
      </c:barChart>
      <c:catAx>
        <c:axId val="7821951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fr-FR" sz="800" b="1" i="0" u="none" strike="noStrike" kern="1200" baseline="0">
                <a:solidFill>
                  <a:schemeClr val="tx1"/>
                </a:solidFill>
                <a:latin typeface="Times New Roman" panose="02020603050405020304" charset="0"/>
                <a:ea typeface="+mn-ea"/>
                <a:cs typeface="Times New Roman" panose="02020603050405020304" charset="0"/>
              </a:defRPr>
            </a:pPr>
            <a:endParaRPr lang="fr-FR"/>
          </a:p>
        </c:txPr>
        <c:crossAx val="78219999"/>
        <c:crosses val="autoZero"/>
        <c:auto val="1"/>
        <c:lblAlgn val="ctr"/>
        <c:lblOffset val="100"/>
        <c:noMultiLvlLbl val="0"/>
      </c:catAx>
      <c:valAx>
        <c:axId val="78219999"/>
        <c:scaling>
          <c:orientation val="minMax"/>
          <c:max val="100"/>
          <c:min val="0"/>
        </c:scaling>
        <c:delete val="0"/>
        <c:axPos val="l"/>
        <c:title>
          <c:tx>
            <c:rich>
              <a:bodyPr rot="-5400000" spcFirstLastPara="1" vertOverflow="ellipsis" vert="horz" wrap="square" anchor="ctr" anchorCtr="1"/>
              <a:lstStyle/>
              <a:p>
                <a:pPr>
                  <a:defRPr lang="fr-FR" sz="1050" b="1" i="0" u="none" strike="noStrike" kern="1200" baseline="0">
                    <a:solidFill>
                      <a:schemeClr val="tx1"/>
                    </a:solidFill>
                    <a:latin typeface="Times New Roman" panose="02020603050405020304" charset="0"/>
                    <a:ea typeface="+mn-ea"/>
                    <a:cs typeface="Times New Roman" panose="02020603050405020304" charset="0"/>
                  </a:defRPr>
                </a:pPr>
                <a:r>
                  <a:rPr lang="fr-FR" sz="1050" b="1">
                    <a:solidFill>
                      <a:schemeClr val="tx1"/>
                    </a:solidFill>
                    <a:latin typeface="Times New Roman" panose="02020603050405020304" charset="0"/>
                    <a:cs typeface="Times New Roman" panose="02020603050405020304" charset="0"/>
                  </a:rPr>
                  <a:t>Pourcentage d'inhibition (%)</a:t>
                </a:r>
              </a:p>
            </c:rich>
          </c:tx>
          <c:overlay val="0"/>
          <c:spPr>
            <a:noFill/>
            <a:ln>
              <a:noFill/>
            </a:ln>
            <a:effectLst/>
          </c:spPr>
          <c:txPr>
            <a:bodyPr rot="-5400000" spcFirstLastPara="1" vertOverflow="ellipsis" vert="horz" wrap="square" anchor="ctr" anchorCtr="1"/>
            <a:lstStyle/>
            <a:p>
              <a:pPr>
                <a:defRPr lang="fr-FR" sz="1050" b="1" i="0" u="none" strike="noStrike" kern="1200" baseline="0">
                  <a:solidFill>
                    <a:schemeClr val="tx1"/>
                  </a:solidFill>
                  <a:latin typeface="Times New Roman" panose="02020603050405020304" charset="0"/>
                  <a:ea typeface="+mn-ea"/>
                  <a:cs typeface="Times New Roman" panose="02020603050405020304" charset="0"/>
                </a:defRPr>
              </a:pPr>
              <a:endParaRPr lang="fr-FR"/>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fr-FR" sz="900" b="0" i="0" u="none" strike="noStrike" kern="1200" baseline="0">
                <a:solidFill>
                  <a:schemeClr val="tx1"/>
                </a:solidFill>
                <a:latin typeface="Times New Roman" panose="02020603050405020304" charset="0"/>
                <a:ea typeface="+mn-ea"/>
                <a:cs typeface="Times New Roman" panose="02020603050405020304" charset="0"/>
              </a:defRPr>
            </a:pPr>
            <a:endParaRPr lang="fr-FR"/>
          </a:p>
        </c:txPr>
        <c:crossAx val="78219519"/>
        <c:crosses val="autoZero"/>
        <c:crossBetween val="between"/>
      </c:valAx>
      <c:spPr>
        <a:noFill/>
        <a:ln>
          <a:noFill/>
        </a:ln>
        <a:effectLst/>
      </c:spPr>
    </c:plotArea>
    <c:plotVisOnly val="1"/>
    <c:dispBlanksAs val="gap"/>
    <c:showDLblsOverMax val="0"/>
    <c:extLst>
      <c:ext uri="{0b15fc19-7d7d-44ad-8c2d-2c3a37ce22c3}">
        <chartProps xmlns="https://web.wps.cn/et/2018/main" chartId="{b803b289-816a-499d-86e6-0ddcd83da0e5}"/>
      </c:ext>
    </c:extLst>
  </c:chart>
  <c:spPr>
    <a:solidFill>
      <a:schemeClr val="bg1"/>
    </a:solidFill>
    <a:ln w="9525" cap="flat" cmpd="sng" algn="ctr">
      <a:solidFill>
        <a:schemeClr val="tx1">
          <a:lumMod val="15000"/>
          <a:lumOff val="85000"/>
        </a:schemeClr>
      </a:solidFill>
      <a:round/>
    </a:ln>
    <a:effectLst/>
  </c:spPr>
  <c:txPr>
    <a:bodyPr/>
    <a:lstStyle/>
    <a:p>
      <a:pPr>
        <a:defRPr lang="fr-FR"/>
      </a:pPr>
      <a:endParaRPr lang="fr-FR"/>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0.73984</cdr:x>
      <cdr:y>0.26915</cdr:y>
    </cdr:from>
    <cdr:to>
      <cdr:x>0.78359</cdr:x>
      <cdr:y>0.36984</cdr:y>
    </cdr:to>
    <cdr:sp macro="" textlink="">
      <cdr:nvSpPr>
        <cdr:cNvPr id="2" name="Rectangle 1"/>
        <cdr:cNvSpPr/>
      </cdr:nvSpPr>
      <cdr:spPr>
        <a:xfrm xmlns:a="http://schemas.openxmlformats.org/drawingml/2006/main">
          <a:off x="2967265" y="629121"/>
          <a:ext cx="175467" cy="235356"/>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fr-FR" sz="1100" b="1" kern="1200">
              <a:latin typeface="Times New Roman" panose="02020603050405020304" charset="0"/>
              <a:cs typeface="Times New Roman" panose="02020603050405020304" charset="0"/>
            </a:rPr>
            <a:t>a</a:t>
          </a:r>
        </a:p>
      </cdr:txBody>
    </cdr:sp>
  </cdr:relSizeAnchor>
  <cdr:relSizeAnchor xmlns:cdr="http://schemas.openxmlformats.org/drawingml/2006/chartDrawing">
    <cdr:from>
      <cdr:x>0.33111</cdr:x>
      <cdr:y>0.60789</cdr:y>
    </cdr:from>
    <cdr:to>
      <cdr:x>0.37486</cdr:x>
      <cdr:y>0.70859</cdr:y>
    </cdr:to>
    <cdr:sp macro="" textlink="">
      <cdr:nvSpPr>
        <cdr:cNvPr id="3" name="Rectangle 2"/>
        <cdr:cNvSpPr/>
      </cdr:nvSpPr>
      <cdr:spPr>
        <a:xfrm xmlns:a="http://schemas.openxmlformats.org/drawingml/2006/main">
          <a:off x="1327987" y="1420904"/>
          <a:ext cx="175467" cy="235379"/>
        </a:xfrm>
        <a:prstGeom xmlns:a="http://schemas.openxmlformats.org/drawingml/2006/main" prst="rect">
          <a:avLst/>
        </a:prstGeom>
      </cdr:spPr>
      <cdr:txBody>
        <a:bodyPr xmlns:a="http://schemas.openxmlformats.org/drawingml/2006/main" vert="horz" wrap="square" lIns="45720" tIns="45720" rIns="45720" bIns="45720" rtlCol="0" anchor="t" anchorCtr="0">
          <a:normAutofit/>
        </a:bodyPr>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fr-FR" sz="1100" b="1" kern="1200">
              <a:latin typeface="Times New Roman" panose="02020603050405020304" charset="0"/>
              <a:cs typeface="Times New Roman" panose="02020603050405020304" charset="0"/>
            </a:rPr>
            <a:t>b</a:t>
          </a:r>
        </a:p>
      </cdr:txBody>
    </cdr:sp>
  </cdr:relSizeAnchor>
</c:userShapes>
</file>

<file path=word/drawings/drawing2.xml><?xml version="1.0" encoding="utf-8"?>
<c:userShapes xmlns:c="http://schemas.openxmlformats.org/drawingml/2006/chart">
  <cdr:relSizeAnchor xmlns:cdr="http://schemas.openxmlformats.org/drawingml/2006/chartDrawing">
    <cdr:from>
      <cdr:x>0.37853</cdr:x>
      <cdr:y>0</cdr:y>
    </cdr:from>
    <cdr:to>
      <cdr:x>0.48061</cdr:x>
      <cdr:y>0.12847</cdr:y>
    </cdr:to>
    <cdr:sp macro="" textlink="">
      <cdr:nvSpPr>
        <cdr:cNvPr id="2" name="Rectangle 1"/>
        <cdr:cNvSpPr/>
      </cdr:nvSpPr>
      <cdr:spPr>
        <a:xfrm xmlns:a="http://schemas.openxmlformats.org/drawingml/2006/main">
          <a:off x="1357364" y="-895350"/>
          <a:ext cx="366043" cy="297190"/>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fr-FR" sz="1200" b="1" kern="1200">
              <a:latin typeface="Times New Roman" panose="02020603050405020304" charset="0"/>
              <a:cs typeface="Times New Roman" panose="02020603050405020304" charset="0"/>
            </a:rPr>
            <a:t>a</a:t>
          </a:r>
        </a:p>
      </cdr:txBody>
    </cdr:sp>
  </cdr:relSizeAnchor>
  <cdr:relSizeAnchor xmlns:cdr="http://schemas.openxmlformats.org/drawingml/2006/chartDrawing">
    <cdr:from>
      <cdr:x>0.75046</cdr:x>
      <cdr:y>0.33927</cdr:y>
    </cdr:from>
    <cdr:to>
      <cdr:x>0.86504</cdr:x>
      <cdr:y>0.48374</cdr:y>
    </cdr:to>
    <cdr:sp macro="" textlink="">
      <cdr:nvSpPr>
        <cdr:cNvPr id="3" name="Rectangle 2"/>
        <cdr:cNvSpPr/>
      </cdr:nvSpPr>
      <cdr:spPr>
        <a:xfrm xmlns:a="http://schemas.openxmlformats.org/drawingml/2006/main">
          <a:off x="2691038" y="784835"/>
          <a:ext cx="410866" cy="334203"/>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fr-FR" sz="1200" b="1" kern="1200">
              <a:latin typeface="Times New Roman" panose="02020603050405020304" charset="0"/>
              <a:cs typeface="Times New Roman" panose="02020603050405020304" charset="0"/>
            </a:rPr>
            <a:t>b</a:t>
          </a:r>
        </a:p>
      </cdr:txBody>
    </cdr:sp>
  </cdr:relSizeAnchor>
</c:userShapes>
</file>

<file path=word/drawings/drawing3.xml><?xml version="1.0" encoding="utf-8"?>
<c:userShapes xmlns:c="http://schemas.openxmlformats.org/drawingml/2006/chart">
  <cdr:relSizeAnchor xmlns:cdr="http://schemas.openxmlformats.org/drawingml/2006/chartDrawing">
    <cdr:from>
      <cdr:x>0.37304</cdr:x>
      <cdr:y>0.20855</cdr:y>
    </cdr:from>
    <cdr:to>
      <cdr:x>0.48282</cdr:x>
      <cdr:y>0.30487</cdr:y>
    </cdr:to>
    <cdr:sp macro="" textlink="">
      <cdr:nvSpPr>
        <cdr:cNvPr id="2" name="Rectangle 1"/>
        <cdr:cNvSpPr/>
      </cdr:nvSpPr>
      <cdr:spPr>
        <a:xfrm xmlns:a="http://schemas.openxmlformats.org/drawingml/2006/main">
          <a:off x="1346663" y="506537"/>
          <a:ext cx="396303" cy="233949"/>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fr-FR" sz="1200" b="1" kern="1200">
              <a:latin typeface="Times New Roman" panose="02020603050405020304" charset="0"/>
              <a:cs typeface="Times New Roman" panose="02020603050405020304" charset="0"/>
            </a:rPr>
            <a:t>a</a:t>
          </a:r>
        </a:p>
      </cdr:txBody>
    </cdr:sp>
  </cdr:relSizeAnchor>
</c:userShapes>
</file>

<file path=word/drawings/drawing4.xml><?xml version="1.0" encoding="utf-8"?>
<c:userShapes xmlns:c="http://schemas.openxmlformats.org/drawingml/2006/chart">
  <cdr:relSizeAnchor xmlns:cdr="http://schemas.openxmlformats.org/drawingml/2006/chartDrawing">
    <cdr:from>
      <cdr:x>0.3125</cdr:x>
      <cdr:y>0.1684</cdr:y>
    </cdr:from>
    <cdr:to>
      <cdr:x>0.40625</cdr:x>
      <cdr:y>0.28646</cdr:y>
    </cdr:to>
    <cdr:sp macro="" textlink="">
      <cdr:nvSpPr>
        <cdr:cNvPr id="2" name="Rectangle 1"/>
        <cdr:cNvSpPr/>
      </cdr:nvSpPr>
      <cdr:spPr>
        <a:xfrm xmlns:a="http://schemas.openxmlformats.org/drawingml/2006/main">
          <a:off x="1428750" y="461963"/>
          <a:ext cx="428625" cy="323850"/>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endParaRPr lang="fr-FR" sz="1100" kern="1200"/>
        </a:p>
      </cdr:txBody>
    </cdr:sp>
  </cdr:relSizeAnchor>
  <cdr:relSizeAnchor xmlns:cdr="http://schemas.openxmlformats.org/drawingml/2006/chartDrawing">
    <cdr:from>
      <cdr:x>0.33693</cdr:x>
      <cdr:y>0.30978</cdr:y>
    </cdr:from>
    <cdr:to>
      <cdr:x>0.4536</cdr:x>
      <cdr:y>0.39659</cdr:y>
    </cdr:to>
    <cdr:sp macro="" textlink="">
      <cdr:nvSpPr>
        <cdr:cNvPr id="3" name="Rectangle 2"/>
        <cdr:cNvSpPr/>
      </cdr:nvSpPr>
      <cdr:spPr>
        <a:xfrm xmlns:a="http://schemas.openxmlformats.org/drawingml/2006/main">
          <a:off x="1197062" y="622580"/>
          <a:ext cx="414508" cy="174469"/>
        </a:xfrm>
        <a:prstGeom xmlns:a="http://schemas.openxmlformats.org/drawingml/2006/main" prst="rect">
          <a:avLst/>
        </a:prstGeom>
      </cdr:spPr>
      <cdr:txBody>
        <a:bodyPr xmlns:a="http://schemas.openxmlformats.org/drawingml/2006/main" vertOverflow="clip" vert="horz" wrap="square" lIns="45720" tIns="45720" rIns="45720" bIns="45720" rtlCol="0" anchor="t" anchorCtr="0">
          <a:normAutofit/>
        </a:bodyPr>
        <a:lstStyle xmlns:a="http://schemas.openxmlformats.org/drawingml/2006/main"/>
        <a:p xmlns:a="http://schemas.openxmlformats.org/drawingml/2006/main">
          <a:r>
            <a:rPr lang="fr-FR" sz="1200" b="1" kern="1200">
              <a:latin typeface="Times New Roman" panose="02020603050405020304" charset="0"/>
              <a:cs typeface="Times New Roman" panose="02020603050405020304" charset="0"/>
            </a:rPr>
            <a:t>b</a:t>
          </a:r>
        </a:p>
      </cdr:txBody>
    </cdr:sp>
  </cdr:relSizeAnchor>
</c:userShape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680B8CB-01CD-44F2-889C-7196B3DF17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98</Pages>
  <Words>26364</Words>
  <Characters>145005</Characters>
  <Application>Microsoft Office Word</Application>
  <DocSecurity>0</DocSecurity>
  <Lines>1208</Lines>
  <Paragraphs>342</Paragraphs>
  <ScaleCrop>false</ScaleCrop>
  <HeadingPairs>
    <vt:vector size="2" baseType="variant">
      <vt:variant>
        <vt:lpstr>Titre</vt:lpstr>
      </vt:variant>
      <vt:variant>
        <vt:i4>1</vt:i4>
      </vt:variant>
    </vt:vector>
  </HeadingPairs>
  <TitlesOfParts>
    <vt:vector size="1" baseType="lpstr">
      <vt:lpstr>Introduction</vt:lpstr>
    </vt:vector>
  </TitlesOfParts>
  <Company/>
  <LinksUpToDate>false</LinksUpToDate>
  <CharactersWithSpaces>171027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Introduction</dc:title>
  <dc:creator>DELL LATITUDE</dc:creator>
  <cp:lastModifiedBy>DELL LATITUDE</cp:lastModifiedBy>
  <cp:revision>5</cp:revision>
  <dcterms:created xsi:type="dcterms:W3CDTF">2025-06-29T12:50:00Z</dcterms:created>
  <dcterms:modified xsi:type="dcterms:W3CDTF">2025-06-30T10:45:00Z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1036-12.2.0.21179</vt:lpwstr>
  </property>
  <property fmtid="{D5CDD505-2E9C-101B-9397-08002B2CF9AE}" pid="3" name="ICV">
    <vt:lpwstr>BE3C6DABD87A4E7689E90B54B49F4831_13</vt:lpwstr>
  </property>
</Properties>
</file>